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944"/>
        <w:gridCol w:w="4896"/>
      </w:tblGrid>
      <w:tr>
        <w:tc>
          <w:tcPr>
            <w:tcW w:type="dxa" w:w="7272"/>
            <w:tcMar>
              <w:top w:w="160" w:type="dxa"/>
              <w:start w:w="220" w:type="dxa"/>
              <w:bottom w:w="160" w:type="dxa"/>
              <w:end w:w="220" w:type="dxa"/>
            </w:tcMar>
            <w:shd w:fill="18212B"/>
          </w:tcPr>
          <w:p>
            <w:pPr>
              <w:spacing w:after="200"/>
            </w:pPr>
            <w:r>
              <w:rPr>
                <w:rFonts w:ascii="Aptos" w:hAnsi="Aptos"/>
                <w:b/>
                <w:color w:val="C9D3DC"/>
                <w:sz w:val="28"/>
              </w:rPr>
              <w:t>OPEN NUCLEAR ENGINEERING</w:t>
              <w:br/>
              <w:t>TEACHING SUITE</w:t>
            </w:r>
          </w:p>
          <w:p>
            <w:pPr>
              <w:spacing w:before="400" w:after="160"/>
            </w:pPr>
            <w:r>
              <w:rPr>
                <w:rFonts w:ascii="Aptos" w:hAnsi="Aptos"/>
                <w:b/>
                <w:color w:val="FFFFFF"/>
                <w:sz w:val="60"/>
              </w:rPr>
              <w:t>Thermal-Hydraulics and LOCA Simulator</w:t>
            </w:r>
          </w:p>
          <w:p>
            <w:r>
              <w:rPr>
                <w:rFonts w:ascii="Aptos" w:hAnsi="Aptos"/>
                <w:color w:val="DDE4EA"/>
                <w:sz w:val="32"/>
              </w:rPr>
              <w:t>What it is, what it teaches, and how the plant physics is deliberately reduced</w:t>
            </w:r>
          </w:p>
          <w:p>
            <w:pPr>
              <w:spacing w:before="680"/>
            </w:pPr>
            <w:r>
              <w:rPr>
                <w:rFonts w:ascii="Aptos" w:hAnsi="Aptos"/>
                <w:b/>
                <w:color w:val="B8C4CE"/>
                <w:sz w:val="22"/>
              </w:rPr>
              <w:t>TEACHING PRESENTATION BRIEF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shd w:fill="7D1238"/>
          </w:tcPr>
          <w:p>
            <w:pPr>
              <w:spacing w:before="700"/>
              <w:jc w:val="center"/>
            </w:pPr>
            <w:r/>
          </w:p>
          <w:p>
            <w:pPr>
              <w:spacing w:before="360" w:after="16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7"/>
              </w:rPr>
              <w:t>Nuclear Engineering Programme</w:t>
            </w:r>
          </w:p>
          <w:p>
            <w:pPr>
              <w:spacing w:before="0" w:after="80" w:line="252" w:lineRule="auto"/>
              <w:jc w:val="center"/>
            </w:pPr>
            <w:r>
              <w:rPr>
                <w:rFonts w:ascii="Aptos" w:hAnsi="Aptos"/>
                <w:b w:val="0"/>
                <w:i w:val="0"/>
                <w:color w:val="F4DDE5"/>
                <w:sz w:val="21"/>
              </w:rPr>
              <w:t/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  <w:gridCol w:w="5184"/>
      </w:tblGrid>
      <w:tr>
        <w:tc>
          <w:tcPr>
            <w:tcW w:type="dxa" w:w="7272"/>
            <w:shd w:fill="E9EEF2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7D1238"/>
                <w:sz w:val="20"/>
              </w:rPr>
              <w:t xml:space="preserve">Source basis  </w:t>
            </w:r>
            <w:r>
              <w:rPr>
                <w:rFonts w:ascii="Aptos" w:hAnsi="Aptos"/>
                <w:color w:val="18212B"/>
                <w:sz w:val="20"/>
              </w:rPr>
              <w:t>simulators/ThermalHydraulicsSimulator/thermal_hydraulics_simulator.py - current verified implementation</w:t>
            </w:r>
          </w:p>
        </w:tc>
        <w:tc>
          <w:tcPr>
            <w:tcW w:type="dxa" w:w="7272"/>
            <w:shd w:fill="F7E8E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7D1238"/>
                <w:sz w:val="20"/>
              </w:rPr>
              <w:t xml:space="preserve">Scope  </w:t>
            </w:r>
            <w:r>
              <w:rPr>
                <w:rFonts w:ascii="Aptos" w:hAnsi="Aptos"/>
                <w:color w:val="18212B"/>
                <w:sz w:val="20"/>
              </w:rPr>
              <w:t>Current educational implementation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/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THERMAL-HYDRAULICS AND LOCA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1. </w:t>
      </w:r>
      <w:r>
        <w:rPr>
          <w:rFonts w:ascii="Aptos" w:hAnsi="Aptos"/>
          <w:b/>
          <w:color w:val="18212B"/>
          <w:sz w:val="50"/>
        </w:rPr>
        <w:t>What it 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5"/>
        <w:gridCol w:w="7805"/>
      </w:tblGrid>
      <w:tr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2E5E88"/>
                <w:sz w:val="33"/>
              </w:rPr>
              <w:t>Core identity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An interactive Python/Tkinter model coupling reactor power, decay heat, fuel/cladding temperatures, coolant mass and energy, pressure, and inventory.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A generic 3000 MWth, 15.5 MPa PWR-like lumped system rather than a named plant model.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A classroom demonstrator of heat removal, boiling/CHF transitions, ECCS, and accident-response trends.</w:t>
            </w:r>
          </w:p>
        </w:tc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2E6B4F"/>
                <w:sz w:val="33"/>
              </w:rPr>
              <w:t>Intended learning role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Links trip and decay heat to the continuing need for inventory, core coverage, and heat removal.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Shows how pressure governs saturation, discharge, boiling, ECCS availability, and RHR access.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8"/>
              </w:rPr>
              <w:t>Supports scenario demonstrations, intervention exercises, event-timeline review, and CSV analysis.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768"/>
      </w:tblGrid>
      <w:tr>
        <w:tc>
          <w:tcPr>
            <w:tcW w:type="dxa" w:w="14544"/>
            <w:shd w:fill="FFF4D6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B68B2C"/>
                <w:sz w:val="23"/>
              </w:rPr>
              <w:t xml:space="preserve">Teaching position: </w:t>
            </w:r>
            <w:r>
              <w:rPr>
                <w:rFonts w:ascii="Aptos" w:hAnsi="Aptos"/>
                <w:color w:val="18212B"/>
                <w:sz w:val="23"/>
              </w:rPr>
              <w:t>This module extends point kinetics into conservation-based lumped thermal-hydraulics and qualitative accident progression.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/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THERMAL-HYDRAULICS AND LOCA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2. </w:t>
      </w:r>
      <w:r>
        <w:rPr>
          <w:rFonts w:ascii="Aptos" w:hAnsi="Aptos"/>
          <w:b/>
          <w:color w:val="18212B"/>
          <w:sz w:val="50"/>
        </w:rPr>
        <w:t>What it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7920"/>
      </w:tblGrid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5E88"/>
                <w:sz w:val="30"/>
              </w:rPr>
              <w:t>Run major scenarios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Normal operation, SBLOCA, LBLOCA, loss of flow, loss of heat sink, and station blackout presets.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6B4F"/>
                <w:sz w:val="30"/>
              </w:rPr>
              <w:t>Control the plant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Adjust rods, reactivity trim, boron, primary flow, steam-generator heat removal, break size, ECCS, AFW, PORV, spray, heaters, and RHR.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7D1238"/>
                <w:sz w:val="30"/>
              </w:rPr>
              <w:t>Watch system response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Plot neutron power, decay heat, fuel/cladding/coolant temperatures, pressure, inventory, reactivity, and effective flow.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3261E"/>
                <w:sz w:val="30"/>
              </w:rPr>
              <w:t>Use automatic systems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Enable or disable automatic reactor trip and automatic ECCS logic; observe pressure-dependent injection availability.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68B2C"/>
                <w:sz w:val="30"/>
              </w:rPr>
              <w:t>Follow guided demos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Use staged SBLOCA, LBLOCA, loss-of-heat-sink, and station-blackout recovery scripts with explanatory status messages.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334455"/>
                <w:sz w:val="30"/>
              </w:rPr>
              <w:t>Record evidence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Freeze or scroll the recorder and log scenario, controls, alarms, state variables, and responses to CSV.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/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THERMAL-HYDRAULICS AND LOCA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3. </w:t>
      </w:r>
      <w:r>
        <w:rPr>
          <w:rFonts w:ascii="Aptos" w:hAnsi="Aptos"/>
          <w:b/>
          <w:color w:val="18212B"/>
          <w:sz w:val="50"/>
        </w:rPr>
        <w:t>What it doesn't 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5"/>
        <w:gridCol w:w="7805"/>
      </w:tblGrid>
      <w:tr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B3261E"/>
                <w:sz w:val="33"/>
              </w:rPr>
              <w:t>Physics not resolved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No one- or three-dimensional flow network, component geometry, loop asymmetry, or spatial core model.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No two-fluid equations, slip, phase separation, counter-current limits, entrainment, or mechanistic reflood.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No validated steam-property package, critical-flow correlation, DNBR method, or mechanistic CHF correlation.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No fuel-rod conduction, quench front, cladding oxidation, hydrogen generation, or core-damage progression.</w:t>
            </w:r>
          </w:p>
        </w:tc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7D1238"/>
                <w:sz w:val="33"/>
              </w:rPr>
              <w:t>Plant scope not represented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No detailed pressurizer levels, steam-generator secondary inventory/pressure, containment, sump, or train logic.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No plant-specific pumps, valves, accumulators, protection setpoints, ECCS capacities, or procedures.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Not validated as a system or safety-analysis code; thresholds and coefficients are classroom parameters.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6"/>
              </w:rPr>
              <w:t>Warnings, CHF ratio, void, and temperatures illustrate trends and are not acceptance criteria.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768"/>
      </w:tblGrid>
      <w:tr>
        <w:tc>
          <w:tcPr>
            <w:tcW w:type="dxa" w:w="14544"/>
            <w:shd w:fill="FCE8E6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B3261E"/>
                <w:sz w:val="23"/>
              </w:rPr>
              <w:t xml:space="preserve">Boundary of use: </w:t>
            </w:r>
            <w:r>
              <w:rPr>
                <w:rFonts w:ascii="Aptos" w:hAnsi="Aptos"/>
                <w:color w:val="18212B"/>
                <w:sz w:val="23"/>
              </w:rPr>
              <w:t>The simulator demonstrates interacting inventories, energies, and protection responses; it does not calculate regulatory margins.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/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THERMAL-HYDRAULICS AND LOCA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4. </w:t>
      </w:r>
      <w:r>
        <w:rPr>
          <w:rFonts w:ascii="Aptos" w:hAnsi="Aptos"/>
          <w:b/>
          <w:color w:val="18212B"/>
          <w:sz w:val="50"/>
        </w:rPr>
        <w:t>Physics included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7920"/>
      </w:tblGrid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5E88"/>
                <w:sz w:val="30"/>
              </w:rPr>
              <w:t>Power &amp; reactivity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Six-group point kinetics with rod, trim, boron, fuel-temperature, and moderator-temperature feedback.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3261E"/>
                <w:sz w:val="30"/>
              </w:rPr>
              <w:t>Decay heat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Three decay-heat groups initialized at full-power equilibrium and retained after reactor trip.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6B4F"/>
                <w:sz w:val="30"/>
              </w:rPr>
              <w:t>Fuel-to-coolant heat transfer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Lumped fuel and cladding energy balances with inventory-, coverage-, and flow-dependent conductance.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Single-phase, nucleate, transition, and film-boiling regimes with an illustrative CHF ratio.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334455"/>
                <w:sz w:val="30"/>
              </w:rPr>
              <w:t>Coolant mass, energy &amp; pressure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A synchronized coolant inventory/stored-energy balance with enthalpy-carrying boundary flows.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A saturated pressurizer obtains pressure from the same compact curve used for boiling onset.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68B2C"/>
                <w:sz w:val="30"/>
              </w:rPr>
              <w:t>Inventory &amp; safety injection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Pressure-dependent break/PORV flow, evaporation, and staged automatic or manual ECCS injection.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Cold injection simultaneously restores mass and changes coolant energy.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7D1238"/>
                <w:sz w:val="30"/>
              </w:rPr>
              <w:t>Heat sinks &amp; event evidence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Steam-generator/AFW removal, spray, heaters, and low-pressure RHR controls.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The timeline records trip, ECCS, inventory, boiling regime, CHF, and recovery transitions.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/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THERMAL-HYDRAULICS AND LOCA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5. </w:t>
      </w:r>
      <w:r>
        <w:rPr>
          <w:rFonts w:ascii="Aptos" w:hAnsi="Aptos"/>
          <w:b/>
          <w:color w:val="18212B"/>
          <w:sz w:val="50"/>
        </w:rPr>
        <w:t>Physics simplified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05"/>
        <w:gridCol w:w="7805"/>
      </w:tblGrid>
      <w:tr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2E5E88"/>
                <w:sz w:val="33"/>
              </w:rPr>
              <w:t>Single-volume plant model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The primary system has one mass inventory, one stored-energy state, one pressure, and one bulk coolant temperature.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Fuel and cladding are single thermal nodes; displayed cladding temperature is not a local peak prediction.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Core coverage, natural circulation, CHF, void, and boiling regimes use transparent empirical relationships.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Break, PORV, evaporation, ECCS, spray, AFW, and RHR remain coefficient-based source/sink terms.</w:t>
            </w:r>
          </w:p>
        </w:tc>
        <w:tc>
          <w:tcPr>
            <w:tcW w:type="dxa" w:w="7272"/>
            <w:shd w:fill="E9EEF2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20"/>
            </w:pPr>
            <w:r>
              <w:rPr>
                <w:rFonts w:ascii="Aptos" w:hAnsi="Aptos"/>
                <w:b/>
                <w:color w:val="B68B2C"/>
                <w:sz w:val="33"/>
              </w:rPr>
              <w:t>Consistent but approximate thermodynamics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A compact saturation table ties pressurizer pressure and boiling onset together; it is not a steam-table package.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A fixed latent-heat equivalent represents vaporization energy and flashing discharge.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CHF availability scales with pressure, forced flow, and wetted-core fraction; post-CHF conductance degrades smoothly.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5"/>
              </w:rPr>
              <w:t>Bounds and smooth thresholds preserve stable classroom behaviour outside no validated extrapolation range.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2096"/>
        <w:gridCol w:w="1440"/>
      </w:tblGrid>
      <w:tr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left"/>
            </w:pPr>
            <w:r/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68737D"/>
                <w:sz w:val="20"/>
              </w:rPr>
              <w:t>THERMAL-HYDRAULICS AND LOCA SIMULATOR</w:t>
            </w:r>
          </w:p>
        </w:tc>
        <w:tc>
          <w:tcPr>
            <w:tcW w:type="dxa" w:w="4848"/>
            <w:vAlign w:val="center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7D1238"/>
                <w:sz w:val="26"/>
              </w:rPr>
              <w:t>07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2"/>
      </w:tblGrid>
      <w:tr>
        <w:tc>
          <w:tcPr>
            <w:tcW w:type="dxa" w:w="14544"/>
            <w:shd w:fill="7D123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40" w:after="60"/>
      </w:pPr>
      <w:r>
        <w:rPr>
          <w:rFonts w:ascii="Aptos" w:hAnsi="Aptos"/>
          <w:b/>
          <w:color w:val="7D1238"/>
          <w:sz w:val="50"/>
        </w:rPr>
        <w:t xml:space="preserve">6. </w:t>
      </w:r>
      <w:r>
        <w:rPr>
          <w:rFonts w:ascii="Aptos" w:hAnsi="Aptos"/>
          <w:b/>
          <w:color w:val="18212B"/>
          <w:sz w:val="50"/>
        </w:rPr>
        <w:t>Pedagogical decisions taken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7920"/>
      </w:tblGrid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7D1238"/>
                <w:sz w:val="30"/>
              </w:rPr>
              <w:t>Slowed kinetics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Lambda = 0.055 s is deliberately enlarged so neutron and thermal-hydraulic responses can be followed together.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5E88"/>
                <w:sz w:val="30"/>
              </w:rPr>
              <w:t>Controlled substepping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Each update is subdivided to model steps no larger than 0.05 s; animation speed does not remove numerical substeps.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2E6B4F"/>
                <w:sz w:val="30"/>
              </w:rPr>
              <w:t>Conservative coupling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Mass and stored energy advance with the same effective boundary flows, including cold ECCS and discharge enthalpy.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3261E"/>
                <w:sz w:val="30"/>
              </w:rPr>
              <w:t>Visible boiling limits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Regime labels, void fraction, and CHF ratio show why heat transfer can improve near boiling and collapse after CHF.</w:t>
            </w:r>
          </w:p>
        </w:tc>
      </w:tr>
      <w:tr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B68B2C"/>
                <w:sz w:val="30"/>
              </w:rPr>
              <w:t>Qualitative availability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Injection strengthens as pressure falls; RHR becomes useful mainly below about 3.5 MPa; uncovering reduces conductance.</w:t>
            </w:r>
          </w:p>
        </w:tc>
        <w:tc>
          <w:tcPr>
            <w:tcW w:type="dxa" w:w="7272"/>
            <w:tcMar>
              <w:top w:w="125" w:type="dxa"/>
              <w:start w:w="160" w:type="dxa"/>
              <w:bottom w:w="125" w:type="dxa"/>
              <w:end w:w="160" w:type="dxa"/>
            </w:tcMar>
            <w:vAlign w:val="top"/>
            <w:shd w:fill="E9EEF2"/>
          </w:tcPr>
          <w:p>
            <w:pPr>
              <w:spacing w:after="100"/>
            </w:pPr>
            <w:r>
              <w:rPr>
                <w:rFonts w:ascii="Aptos" w:hAnsi="Aptos"/>
                <w:b/>
                <w:color w:val="334455"/>
                <w:sz w:val="30"/>
              </w:rPr>
              <w:t>Evidence-rich scenarios</w:t>
            </w:r>
          </w:p>
          <w:p>
            <w:pPr>
              <w:pStyle w:val="ListBullet"/>
              <w:spacing w:after="50" w:line="245" w:lineRule="auto"/>
              <w:ind w:left="173" w:hanging="115"/>
            </w:pPr>
            <w:r>
              <w:rPr>
                <w:rFonts w:ascii="Aptos" w:hAnsi="Aptos"/>
                <w:color w:val="18212B"/>
                <w:sz w:val="24"/>
              </w:rPr>
              <w:t>Presets, guided recoveries, alarms, transition timeline, strip charts, and CSV logging support prediction-intervention-analysis.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768"/>
      </w:tblGrid>
      <w:tr>
        <w:tc>
          <w:tcPr>
            <w:tcW w:type="dxa" w:w="14544"/>
            <w:shd w:fill="FFF4D6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B68B2C"/>
                <w:sz w:val="22"/>
              </w:rPr>
              <w:t xml:space="preserve">Current-code clarification: </w:t>
            </w:r>
            <w:r>
              <w:rPr>
                <w:rFonts w:ascii="Aptos" w:hAnsi="Aptos"/>
                <w:color w:val="18212B"/>
                <w:sz w:val="22"/>
              </w:rPr>
              <w:t>The current model uses a saturation-consistent pressurizer, coolant mass/energy conservation with enthalpy transport, and an illustrative boiling/CHF transition model. These improve internal consistency without making the simulator a best-estimate system code.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61" w:right="648" w:bottom="547" w:left="648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336"/>
      <w:gridCol w:w="6192"/>
      <w:gridCol w:w="3384"/>
    </w:tblGrid>
    <w:tr>
      <w:tc>
        <w:tcPr>
          <w:tcW w:type="dxa" w:w="5304"/>
        </w:tcPr>
        <w:p>
          <w:pPr>
            <w:spacing w:after="0"/>
            <w:jc w:val="left"/>
          </w:pPr>
          <w:r>
            <w:rPr>
              <w:rFonts w:ascii="Aptos" w:hAnsi="Aptos"/>
              <w:color w:val="68737D"/>
              <w:sz w:val="17"/>
            </w:rPr>
            <w:t>Open Nuclear Engineering Teaching Suite</w:t>
          </w:r>
        </w:p>
      </w:tc>
      <w:tc>
        <w:tcPr>
          <w:tcW w:type="dxa" w:w="5304"/>
        </w:tcPr>
        <w:p>
          <w:pPr>
            <w:spacing w:after="0"/>
            <w:jc w:val="center"/>
          </w:pPr>
          <w:r>
            <w:rPr>
              <w:rFonts w:ascii="Aptos" w:hAnsi="Aptos"/>
              <w:color w:val="68737D"/>
              <w:sz w:val="17"/>
            </w:rPr>
            <w:t>Educational model - not for design, licensing, or operation</w:t>
          </w:r>
        </w:p>
      </w:tc>
      <w:tc>
        <w:tcPr>
          <w:tcW w:type="dxa" w:w="5304"/>
        </w:tcPr>
        <w:p>
          <w:pPr>
            <w:spacing w:after="0"/>
            <w:jc w:val="right"/>
          </w:pPr>
          <w:r>
            <w:rPr>
              <w:rFonts w:ascii="Aptos" w:hAnsi="Aptos"/>
              <w:color w:val="68737D"/>
              <w:sz w:val="17"/>
            </w:rPr>
            <w:t>Thermal-Hydraulics &amp; LOCA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Physics-audited presentation: conserved mass/energy, saturation, boiling and CHF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