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7.png" ContentType="image/png"/>
  <Override PartName="/word/media/rId9.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4b634fcaf6c5b9fd531521873d578ae7589730"/>
    <w:p>
      <w:pPr>
        <w:pStyle w:val="Heading1"/>
      </w:pPr>
      <w:r>
        <w:t xml:space="preserve">12 Sep 23 - Activity: The Dynamical Systems Approach and Phase Portraits</w:t>
      </w:r>
    </w:p>
    <w:p>
      <w:pPr>
        <w:pStyle w:val="FirstParagraph"/>
      </w:pPr>
      <w:r>
        <w:t xml:space="preserve">Up to now, most of your work with models in physics are those you can solve analytically in terms of known functions. Think about solving differential equations that produce polynomials or sines and cosines.</w:t>
      </w:r>
    </w:p>
    <w:p>
      <w:pPr>
        <w:pStyle w:val="BodyText"/>
      </w:pPr>
      <w:r>
        <w:t xml:space="preserve">But what happens when the solution to the problem is not obviously tractable in an analytical form. Rather, how can we investigate systems that are new to us?</w:t>
      </w:r>
    </w:p>
    <w:p>
      <w:pPr>
        <w:pStyle w:val="BodyText"/>
      </w:pPr>
      <w:r>
        <w:t xml:space="preserve">In today’s activity you will:</w:t>
      </w:r>
    </w:p>
    <w:p>
      <w:pPr>
        <w:pStyle w:val="Compact"/>
        <w:numPr>
          <w:ilvl w:val="0"/>
          <w:numId w:val="1001"/>
        </w:numPr>
      </w:pPr>
      <w:r>
        <w:t xml:space="preserve">Remind yourself how to interpret a 1d phase portrait using the differential equation</w:t>
      </w:r>
      <w:r>
        <w:t xml:space="preserve"> </w:t>
      </w:r>
      <m:oMath>
        <m:acc>
          <m:accPr>
            <m:chr m:val="̇"/>
          </m:accPr>
          <m:e>
            <m:r>
              <m:t>x</m:t>
            </m:r>
          </m:e>
        </m:acc>
        <m:r>
          <m:rPr>
            <m:sty m:val="p"/>
          </m:rPr>
          <m:t>=</m:t>
        </m:r>
        <m:sSup>
          <m:e>
            <m:r>
              <m:t>x</m:t>
            </m:r>
          </m:e>
          <m:sup>
            <m:r>
              <m:t>2</m:t>
            </m:r>
          </m:sup>
        </m:sSup>
        <m:r>
          <m:rPr>
            <m:sty m:val="p"/>
          </m:rPr>
          <m:t>+</m:t>
        </m:r>
        <m:r>
          <m:t>1</m:t>
        </m:r>
      </m:oMath>
    </w:p>
    <w:p>
      <w:pPr>
        <w:pStyle w:val="Compact"/>
        <w:numPr>
          <w:ilvl w:val="0"/>
          <w:numId w:val="1001"/>
        </w:numPr>
      </w:pPr>
      <w:r>
        <w:t xml:space="preserve">Remind yourself how to interpret a 2d phase portrait (phase space plot) using the SHO model</w:t>
      </w:r>
    </w:p>
    <w:p>
      <w:pPr>
        <w:pStyle w:val="Compact"/>
        <w:numPr>
          <w:ilvl w:val="0"/>
          <w:numId w:val="1001"/>
        </w:numPr>
      </w:pPr>
      <w:r>
        <w:t xml:space="preserve">Explain what you see in the phase space figure for the SHO</w:t>
      </w:r>
    </w:p>
    <w:p>
      <w:pPr>
        <w:pStyle w:val="Compact"/>
        <w:numPr>
          <w:ilvl w:val="0"/>
          <w:numId w:val="1001"/>
        </w:numPr>
      </w:pPr>
      <w:r>
        <w:t xml:space="preserve">Develop the ODE for the large angle pendulum</w:t>
      </w:r>
    </w:p>
    <w:p>
      <w:pPr>
        <w:pStyle w:val="Compact"/>
        <w:numPr>
          <w:ilvl w:val="0"/>
          <w:numId w:val="1001"/>
        </w:numPr>
      </w:pPr>
      <w:r>
        <w:t xml:space="preserve">Show how we can recover the SHO using mathematics and graphs</w:t>
      </w:r>
    </w:p>
    <w:p>
      <w:pPr>
        <w:pStyle w:val="Compact"/>
        <w:numPr>
          <w:ilvl w:val="0"/>
          <w:numId w:val="1001"/>
        </w:numPr>
      </w:pPr>
      <w:r>
        <w:t xml:space="preserve">Use an existing program to work with a new system</w:t>
      </w:r>
    </w:p>
    <w:p>
      <w:pPr>
        <w:pStyle w:val="Compact"/>
        <w:numPr>
          <w:ilvl w:val="0"/>
          <w:numId w:val="1001"/>
        </w:numPr>
      </w:pPr>
      <w:r>
        <w:t xml:space="preserve">Explain the insights developed from a phase space plot of the Large Angle Pendulum</w:t>
      </w:r>
    </w:p>
    <w:bookmarkStart w:id="16" w:name="d-system"/>
    <w:p>
      <w:pPr>
        <w:pStyle w:val="Heading2"/>
      </w:pPr>
      <w:r>
        <w:t xml:space="preserve">1D System</w:t>
      </w:r>
    </w:p>
    <w:p>
      <w:pPr>
        <w:pStyle w:val="FirstParagraph"/>
      </w:pPr>
      <w:r>
        <w:t xml:space="preserve">Let’s look at a simple 1d system first, given by the differential equation:</w:t>
      </w:r>
    </w:p>
    <w:p>
      <w:pPr>
        <w:pStyle w:val="BodyText"/>
      </w:pPr>
      <m:oMathPara>
        <m:oMathParaPr>
          <m:jc m:val="center"/>
        </m:oMathParaPr>
        <m:oMath>
          <m:acc>
            <m:accPr>
              <m:chr m:val="̇"/>
            </m:accPr>
            <m:e>
              <m:r>
                <m:t>x</m:t>
              </m:r>
            </m:e>
          </m:acc>
          <m:r>
            <m:rPr>
              <m:sty m:val="p"/>
            </m:rPr>
            <m:t>=</m:t>
          </m:r>
          <m:sSup>
            <m:e>
              <m:r>
                <m:t>x</m:t>
              </m:r>
            </m:e>
            <m:sup>
              <m:r>
                <m:t>2</m:t>
              </m:r>
            </m:sup>
          </m:sSup>
          <m:r>
            <m:rPr>
              <m:sty m:val="p"/>
            </m:rPr>
            <m:t>−</m:t>
          </m:r>
          <m:r>
            <m:t>1</m:t>
          </m:r>
        </m:oMath>
      </m:oMathPara>
    </w:p>
    <w:p>
      <w:pPr>
        <w:pStyle w:val="FirstParagraph"/>
      </w:pPr>
      <w:r>
        <w:t xml:space="preserve">Let’s start by looking at what the plot of this differential equation looks like: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plt.title(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2 - 1</w:t>
      </w:r>
      <w:r>
        <w:rPr>
          <w:rStyle w:val="DecValTok"/>
        </w:rPr>
        <w:t xml:space="preserve">$</w:t>
      </w:r>
      <w:r>
        <w:rPr>
          <w:rStyle w:val="VerbatimStringTok"/>
        </w:rPr>
        <w:t xml:space="preserve">"</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w:t>
      </w:r>
      <w:r>
        <w:rPr>
          <w:rStyle w:val="OperatorTok"/>
        </w:rPr>
        <w:t xml:space="preserve">=</w:t>
      </w:r>
      <w:r>
        <w:rPr>
          <w:rStyle w:val="StringTok"/>
        </w:rPr>
        <w:t xml:space="preserve">"black"</w:t>
      </w:r>
      <w:r>
        <w:rPr>
          <w:rStyle w:val="NormalTok"/>
        </w:rPr>
        <w:t xml:space="preserve">)</w:t>
      </w:r>
      <w:r>
        <w:br/>
      </w:r>
      <w:r>
        <w:rPr>
          <w:rStyle w:val="NormalTok"/>
        </w:rPr>
        <w:t xml:space="preserve">plt.plot(x,xdot)</w:t>
      </w:r>
      <w:r>
        <w:br/>
      </w:r>
      <w:r>
        <w:rPr>
          <w:rStyle w:val="NormalTok"/>
        </w:rPr>
        <w:t xml:space="preserve">plt.grid()</w:t>
      </w:r>
      <w:r>
        <w:br/>
      </w:r>
      <w:r>
        <w:rPr>
          <w:rStyle w:val="NormalTok"/>
        </w:rPr>
        <w:t xml:space="preserve">plt.show()</w:t>
      </w:r>
    </w:p>
    <w:p>
      <w:pPr>
        <w:pStyle w:val="CaptionedFigure"/>
      </w:pPr>
      <w:r>
        <w:drawing>
          <wp:inline>
            <wp:extent cx="5163127" cy="4045527"/>
            <wp:effectExtent b="0" l="0" r="0" t="0"/>
            <wp:docPr descr="png" title="" id="10" name="Picture"/>
            <a:graphic>
              <a:graphicData uri="http://schemas.openxmlformats.org/drawingml/2006/picture">
                <pic:pic>
                  <pic:nvPicPr>
                    <pic:cNvPr descr="../images/activity-phase_space_activity-phase_space_tmp_2_0.png" id="11" name="Picture"/>
                    <pic:cNvPicPr>
                      <a:picLocks noChangeArrowheads="1" noChangeAspect="1"/>
                    </pic:cNvPicPr>
                  </pic:nvPicPr>
                  <pic:blipFill>
                    <a:blip r:embed="rId9"/>
                    <a:stretch>
                      <a:fillRect/>
                    </a:stretch>
                  </pic:blipFill>
                  <pic:spPr bwMode="auto">
                    <a:xfrm>
                      <a:off x="0" y="0"/>
                      <a:ext cx="5163127" cy="404552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Since this is a first order equation we have a nice physical way of thinking about it: at position</w:t>
      </w:r>
      <w:r>
        <w:t xml:space="preserve"> </w:t>
      </w:r>
      <m:oMath>
        <m:r>
          <m:t>x</m:t>
        </m:r>
      </m:oMath>
      <w:r>
        <w:t xml:space="preserve">, a particles velocity is</w:t>
      </w:r>
      <w:r>
        <w:t xml:space="preserve"> </w:t>
      </w:r>
      <m:oMath>
        <m:sSup>
          <m:e>
            <m:r>
              <m:t>x</m:t>
            </m:r>
          </m:e>
          <m:sup>
            <m:r>
              <m:t>2</m:t>
            </m:r>
          </m:sup>
        </m:sSup>
        <m:r>
          <m:rPr>
            <m:sty m:val="p"/>
          </m:rPr>
          <m:t>−</m:t>
        </m:r>
        <m:r>
          <m:t>1</m:t>
        </m:r>
      </m:oMath>
      <w:r>
        <w:t xml:space="preserve">. So when the</w:t>
      </w:r>
      <w:r>
        <w:t xml:space="preserve"> </w:t>
      </w:r>
      <m:oMath>
        <m:sSup>
          <m:e>
            <m:r>
              <m:t>x</m:t>
            </m:r>
          </m:e>
          <m:sup>
            <m:r>
              <m:t>2</m:t>
            </m:r>
          </m:sup>
        </m:sSup>
        <m:r>
          <m:rPr>
            <m:sty m:val="p"/>
          </m:rPr>
          <m:t>−</m:t>
        </m:r>
        <m:r>
          <m:t>1</m:t>
        </m:r>
      </m:oMath>
      <w:r>
        <w:t xml:space="preserve"> </w:t>
      </w:r>
      <w:r>
        <w:t xml:space="preserve">is positive, the particle’s velocity is positive (or to the right) and vice versa. We can use this knowledge to work out qualitative behavor of our system.</w:t>
      </w:r>
    </w:p>
    <w:p>
      <w:pPr>
        <w:pStyle w:val="BodyText"/>
      </w:pPr>
      <w:r>
        <w:rPr>
          <w:b/>
          <w:bCs/>
        </w:rPr>
        <w:t xml:space="preserve">✅ Do this</w:t>
      </w:r>
    </w:p>
    <w:p>
      <w:pPr>
        <w:pStyle w:val="Compact"/>
        <w:numPr>
          <w:ilvl w:val="0"/>
          <w:numId w:val="1002"/>
        </w:numPr>
      </w:pPr>
      <w:r>
        <w:t xml:space="preserve">Consider a trajectory that starts at</w:t>
      </w:r>
      <w:r>
        <w:t xml:space="preserve"> </w:t>
      </w:r>
      <m:oMath>
        <m:r>
          <m:t>x</m:t>
        </m:r>
        <m:r>
          <m:rPr>
            <m:sty m:val="p"/>
          </m:rPr>
          <m:t>=</m:t>
        </m:r>
        <m:r>
          <m:rPr>
            <m:sty m:val="p"/>
          </m:rPr>
          <m:t>−</m:t>
        </m:r>
        <m:r>
          <m:t>1.5</m:t>
        </m:r>
      </m:oMath>
      <w:r>
        <w:t xml:space="preserve">. Does this trajectory move to the right or left?</w:t>
      </w:r>
    </w:p>
    <w:p>
      <w:pPr>
        <w:pStyle w:val="Compact"/>
        <w:numPr>
          <w:ilvl w:val="0"/>
          <w:numId w:val="1002"/>
        </w:numPr>
      </w:pPr>
      <w:r>
        <w:t xml:space="preserve">What direction does a trajectory that starts at</w:t>
      </w:r>
      <w:r>
        <w:t xml:space="preserve"> </w:t>
      </w:r>
      <m:oMath>
        <m:r>
          <m:t>x</m:t>
        </m:r>
        <m:r>
          <m:rPr>
            <m:sty m:val="p"/>
          </m:rPr>
          <m:t>=</m:t>
        </m:r>
        <m:r>
          <m:t>0</m:t>
        </m:r>
      </m:oMath>
      <w:r>
        <w:t xml:space="preserve"> </w:t>
      </w:r>
      <w:r>
        <w:t xml:space="preserve">go?</w:t>
      </w:r>
    </w:p>
    <w:p>
      <w:pPr>
        <w:pStyle w:val="Compact"/>
        <w:numPr>
          <w:ilvl w:val="0"/>
          <w:numId w:val="1002"/>
        </w:numPr>
      </w:pPr>
      <w:r>
        <w:t xml:space="preserve">What direction does a trajectory that starts at $ x = 1.5$ go?</w:t>
      </w:r>
    </w:p>
    <w:p>
      <w:pPr>
        <w:pStyle w:val="Compact"/>
        <w:numPr>
          <w:ilvl w:val="0"/>
          <w:numId w:val="1002"/>
        </w:numPr>
      </w:pPr>
      <w:r>
        <w:t xml:space="preserve">What trends do you notice? Do trajectories settle down at certain locations or blast off to infinity?</w:t>
      </w:r>
    </w:p>
    <w:bookmarkStart w:id="15" w:name="fixed-points"/>
    <w:p>
      <w:pPr>
        <w:pStyle w:val="Heading3"/>
      </w:pPr>
      <w:r>
        <w:t xml:space="preserve">Fixed Points</w:t>
      </w:r>
    </w:p>
    <w:p>
      <w:pPr>
        <w:pStyle w:val="FirstParagraph"/>
      </w:pPr>
      <w:r>
        <w:t xml:space="preserve">The</w:t>
      </w:r>
      <w:r>
        <w:t xml:space="preserve"> </w:t>
      </w:r>
      <w:r>
        <w:rPr>
          <w:b/>
          <w:bCs/>
        </w:rPr>
        <w:t xml:space="preserve">fixed points</w:t>
      </w:r>
      <w:r>
        <w:t xml:space="preserve"> </w:t>
      </w:r>
      <w:r>
        <w:t xml:space="preserve">of a system are where its derivative vanishes, that is</w:t>
      </w:r>
      <w:r>
        <w:t xml:space="preserve"> </w:t>
      </w:r>
      <m:oMath>
        <m:acc>
          <m:accPr>
            <m:chr m:val="̇"/>
          </m:accPr>
          <m:e>
            <m:r>
              <m:rPr>
                <m:sty m:val="b"/>
              </m:rPr>
              <m:t>x</m:t>
            </m:r>
          </m:e>
        </m:acc>
        <m:r>
          <m:rPr>
            <m:sty m:val="p"/>
          </m:rPr>
          <m:t>=</m:t>
        </m:r>
        <m:r>
          <m:t>0</m:t>
        </m:r>
      </m:oMath>
      <w:r>
        <w:t xml:space="preserve">. At any fixed point, a system is constant (why?). In the dynamical systems approach, we often care about charactarizing the behavor of systems near fixed points. In 1d, most fixed points are either stable (they attract trajectories) or unstable (they repel trajectories).</w:t>
      </w:r>
    </w:p>
    <w:p>
      <w:pPr>
        <w:pStyle w:val="BodyText"/>
      </w:pPr>
      <w:r>
        <w:rPr>
          <w:b/>
          <w:bCs/>
        </w:rPr>
        <w:t xml:space="preserve">✅ Do this</w:t>
      </w:r>
    </w:p>
    <w:p>
      <w:pPr>
        <w:pStyle w:val="BodyText"/>
      </w:pPr>
      <w:r>
        <w:t xml:space="preserve">Find and characterize the fixed points of</w:t>
      </w:r>
      <w:r>
        <w:t xml:space="preserve"> </w:t>
      </w:r>
      <m:oMath>
        <m:acc>
          <m:accPr>
            <m:chr m:val="̇"/>
          </m:accPr>
          <m:e>
            <m:r>
              <m:t>x</m:t>
            </m:r>
          </m:e>
        </m:acc>
        <m:r>
          <m:rPr>
            <m:sty m:val="p"/>
          </m:rPr>
          <m:t>=</m:t>
        </m:r>
        <m:sSup>
          <m:e>
            <m:r>
              <m:t>x</m:t>
            </m:r>
          </m:e>
          <m:sup>
            <m:r>
              <m:t>2</m:t>
            </m:r>
          </m:sup>
        </m:sSup>
        <m:r>
          <m:rPr>
            <m:sty m:val="p"/>
          </m:rPr>
          <m:t>−</m:t>
        </m:r>
        <m:r>
          <m:t>1</m:t>
        </m:r>
      </m:oMath>
      <w:r>
        <w:t xml:space="preserve"> </w:t>
      </w:r>
      <w:r>
        <w:t xml:space="preserve">as stable or unstable.</w:t>
      </w:r>
    </w:p>
    <w:p>
      <w:pPr>
        <w:pStyle w:val="BodyText"/>
      </w:pPr>
      <w:r>
        <w:t xml:space="preserve">Another way we can visualize these is with</w:t>
      </w:r>
      <w:r>
        <w:t xml:space="preserve"> </w:t>
      </w:r>
      <w:r>
        <w:rPr>
          <w:b/>
          <w:bCs/>
        </w:rPr>
        <w:t xml:space="preserve">slope fields</w:t>
      </w:r>
      <w:r>
        <w:t xml:space="preserve">. Here we essentially plot the slopes</w:t>
      </w:r>
      <w:r>
        <w:t xml:space="preserve"> </w:t>
      </w:r>
      <m:oMath>
        <m:acc>
          <m:accPr>
            <m:chr m:val="̇"/>
          </m:accPr>
          <m:e>
            <m:r>
              <m:t>x</m:t>
            </m:r>
          </m:e>
        </m:acc>
        <m:r>
          <m:rPr>
            <m:sty m:val="p"/>
          </m:rPr>
          <m:t>(</m:t>
        </m:r>
        <m:r>
          <m:t>x</m:t>
        </m:r>
        <m:r>
          <m:rPr>
            <m:sty m:val="p"/>
          </m:rPr>
          <m:t>)</m:t>
        </m:r>
      </m:oMath>
      <w:r>
        <w:t xml:space="preserve"> </w:t>
      </w:r>
      <w:r>
        <w:t xml:space="preserve">over and over again for many values of</w:t>
      </w:r>
      <w:r>
        <w:t xml:space="preserve"> </w:t>
      </w:r>
      <m:oMath>
        <m:r>
          <m:t>t</m:t>
        </m:r>
      </m:oMath>
      <w:r>
        <w:t xml:space="preserve">. The actual solution of the differential equation will be a curve that is always tangent to the local slope. Below we’ve plotted this using both</w:t>
      </w:r>
      <w:r>
        <w:t xml:space="preserve"> </w:t>
      </w:r>
      <w:r>
        <w:rPr>
          <w:rStyle w:val="VerbatimChar"/>
        </w:rPr>
        <w:t xml:space="preserve">plt.quiver</w:t>
      </w:r>
      <w:r>
        <w:t xml:space="preserve"> </w:t>
      </w:r>
      <w:r>
        <w:t xml:space="preserve">and</w:t>
      </w:r>
      <w:r>
        <w:t xml:space="preserve"> </w:t>
      </w:r>
      <w:r>
        <w:rPr>
          <w:rStyle w:val="VerbatimChar"/>
        </w:rPr>
        <w:t xml:space="preserve">plt.streamplot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11</w:t>
      </w:r>
      <w:r>
        <w:rPr>
          <w:rStyle w:val="NormalTok"/>
        </w:rPr>
        <w:t xml:space="preserve">, </w:t>
      </w:r>
      <w:r>
        <w:rPr>
          <w:rStyle w:val="FloatTok"/>
        </w:rPr>
        <w:t xml:space="preserve">0.8</w:t>
      </w:r>
      <w:r>
        <w:rPr>
          <w:rStyle w:val="NormalTok"/>
        </w:rPr>
        <w:t xml:space="preserve">)</w:t>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0.4</w:t>
      </w:r>
      <w:r>
        <w:rPr>
          <w:rStyle w:val="NormalTok"/>
        </w:rPr>
        <w:t xml:space="preserve">)</w:t>
      </w:r>
      <w:r>
        <w:br/>
      </w:r>
      <w:r>
        <w:br/>
      </w:r>
      <w:r>
        <w:rPr>
          <w:rStyle w:val="CommentTok"/>
        </w:rPr>
        <w:t xml:space="preserve"># Make grid</w:t>
      </w:r>
      <w:r>
        <w:br/>
      </w:r>
      <w:r>
        <w:rPr>
          <w:rStyle w:val="NormalTok"/>
        </w:rPr>
        <w:t xml:space="preserve">T, X </w:t>
      </w:r>
      <w:r>
        <w:rPr>
          <w:rStyle w:val="OperatorTok"/>
        </w:rPr>
        <w:t xml:space="preserve">=</w:t>
      </w:r>
      <w:r>
        <w:rPr>
          <w:rStyle w:val="NormalTok"/>
        </w:rPr>
        <w:t xml:space="preserve"> np.meshgrid(t, x)</w:t>
      </w:r>
      <w:r>
        <w:br/>
      </w:r>
      <w:r>
        <w:br/>
      </w:r>
      <w:r>
        <w:rPr>
          <w:rStyle w:val="CommentTok"/>
        </w:rPr>
        <w:t xml:space="preserve"># calculate derivative (dt is const so just use ones)</w:t>
      </w:r>
      <w:r>
        <w:br/>
      </w:r>
      <w:r>
        <w:rPr>
          <w:rStyle w:val="NormalTok"/>
        </w:rPr>
        <w:t xml:space="preserve">dx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dt </w:t>
      </w:r>
      <w:r>
        <w:rPr>
          <w:rStyle w:val="OperatorTok"/>
        </w:rPr>
        <w:t xml:space="preserve">=</w:t>
      </w:r>
      <w:r>
        <w:rPr>
          <w:rStyle w:val="NormalTok"/>
        </w:rPr>
        <w:t xml:space="preserve"> np.ones(dx.shape)</w:t>
      </w:r>
      <w:r>
        <w:br/>
      </w:r>
      <w:r>
        <w:br/>
      </w:r>
      <w:r>
        <w:rPr>
          <w:rStyle w:val="CommentTok"/>
        </w:rPr>
        <w:t xml:space="preserve"># plot</w:t>
      </w:r>
      <w:r>
        <w:br/>
      </w:r>
      <w:r>
        <w:rPr>
          <w:rStyle w:val="NormalTok"/>
        </w:rPr>
        <w:t xml:space="preserve">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plt.quiver(T,X,dt,dx)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plt.streamplot(T,X,dt,dx)</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plt.suptitle(</w:t>
      </w:r>
      <w:r>
        <w:rPr>
          <w:rStyle w:val="StringTok"/>
        </w:rPr>
        <w:t xml:space="preserve">"Slope Field"</w:t>
      </w:r>
      <w:r>
        <w:rPr>
          <w:rStyle w:val="NormalTok"/>
        </w:rPr>
        <w:t xml:space="preserve">)</w:t>
      </w:r>
      <w:r>
        <w:br/>
      </w:r>
      <w:r>
        <w:rPr>
          <w:rStyle w:val="NormalTok"/>
        </w:rPr>
        <w:t xml:space="preserve">plt.show()</w:t>
      </w:r>
    </w:p>
    <w:p>
      <w:pPr>
        <w:pStyle w:val="CaptionedFigure"/>
      </w:pPr>
      <w:r>
        <w:drawing>
          <wp:inline>
            <wp:extent cx="5334000" cy="3095958"/>
            <wp:effectExtent b="0" l="0" r="0" t="0"/>
            <wp:docPr descr="png" title="" id="13" name="Picture"/>
            <a:graphic>
              <a:graphicData uri="http://schemas.openxmlformats.org/drawingml/2006/picture">
                <pic:pic>
                  <pic:nvPicPr>
                    <pic:cNvPr descr="../images/activity-phase_space_activity-phase_space_tmp_5_0.png" id="14" name="Picture"/>
                    <pic:cNvPicPr>
                      <a:picLocks noChangeArrowheads="1" noChangeAspect="1"/>
                    </pic:cNvPicPr>
                  </pic:nvPicPr>
                  <pic:blipFill>
                    <a:blip r:embed="rId12"/>
                    <a:stretch>
                      <a:fillRect/>
                    </a:stretch>
                  </pic:blipFill>
                  <pic:spPr bwMode="auto">
                    <a:xfrm>
                      <a:off x="0" y="0"/>
                      <a:ext cx="5334000" cy="3095958"/>
                    </a:xfrm>
                    <a:prstGeom prst="rect">
                      <a:avLst/>
                    </a:prstGeom>
                    <a:noFill/>
                    <a:ln w="9525">
                      <a:noFill/>
                      <a:headEnd/>
                      <a:tailEnd/>
                    </a:ln>
                  </pic:spPr>
                </pic:pic>
              </a:graphicData>
            </a:graphic>
          </wp:inline>
        </w:drawing>
      </w:r>
    </w:p>
    <w:p>
      <w:pPr>
        <w:pStyle w:val="ImageCaption"/>
      </w:pPr>
      <w:r>
        <w:t xml:space="preserve">png</w:t>
      </w:r>
    </w:p>
    <w:bookmarkEnd w:id="15"/>
    <w:bookmarkEnd w:id="16"/>
    <w:bookmarkStart w:id="17" w:name="reminders-about-the-sho"/>
    <w:p>
      <w:pPr>
        <w:pStyle w:val="Heading2"/>
      </w:pPr>
      <w:r>
        <w:t xml:space="preserve">Reminders about the SHO</w:t>
      </w:r>
    </w:p>
    <w:p>
      <w:pPr>
        <w:pStyle w:val="FirstParagraph"/>
      </w:pPr>
      <w:r>
        <w:t xml:space="preserve">To get this started, let’s remind ourselves of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3"/>
        </w:numPr>
      </w:pPr>
      <w:r>
        <w:t xml:space="preserve">Phase space is a space in which all possible states of the system can be shown</w:t>
      </w:r>
    </w:p>
    <w:p>
      <w:pPr>
        <w:pStyle w:val="Compact"/>
        <w:numPr>
          <w:ilvl w:val="1"/>
          <w:numId w:val="1004"/>
        </w:numPr>
      </w:pPr>
      <w:r>
        <w:t xml:space="preserve">a state is a collection of conditions of the state (it’s known position and velocity in our case)</w:t>
      </w:r>
    </w:p>
    <w:p>
      <w:pPr>
        <w:pStyle w:val="Compact"/>
        <w:numPr>
          <w:ilvl w:val="0"/>
          <w:numId w:val="1003"/>
        </w:numPr>
      </w:pPr>
      <w:r>
        <w:t xml:space="preserve">Each state is a unique point in phase space</w:t>
      </w:r>
    </w:p>
    <w:p>
      <w:pPr>
        <w:pStyle w:val="Compact"/>
        <w:numPr>
          <w:ilvl w:val="1"/>
          <w:numId w:val="1005"/>
        </w:numPr>
      </w:pPr>
      <w:r>
        <w:t xml:space="preserve">Think about ordered Cartesian pairs, there’s a pair of numbers for every point in a 2D space</w:t>
      </w:r>
    </w:p>
    <w:p>
      <w:pPr>
        <w:pStyle w:val="Compact"/>
        <w:numPr>
          <w:ilvl w:val="0"/>
          <w:numId w:val="1003"/>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6"/>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6"/>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6"/>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7"/>
        </w:numPr>
      </w:pPr>
      <w:r>
        <w:t xml:space="preserve">That arrow represents the local flow of the system at that point</w:t>
      </w:r>
    </w:p>
    <w:p>
      <w:pPr>
        <w:pStyle w:val="Compact"/>
        <w:numPr>
          <w:ilvl w:val="0"/>
          <w:numId w:val="1006"/>
        </w:numPr>
      </w:pPr>
      <w:r>
        <w:t xml:space="preserve">Repeat for all points of interest</w:t>
      </w:r>
    </w:p>
    <w:p>
      <w:pPr>
        <w:pStyle w:val="Compact"/>
        <w:numPr>
          <w:ilvl w:val="0"/>
          <w:numId w:val="1006"/>
        </w:numPr>
      </w:pPr>
      <w:r>
        <w:t xml:space="preserve">Plot arrows to demonstrate flow of the solutions in phase space</w:t>
      </w:r>
    </w:p>
    <w:bookmarkEnd w:id="17"/>
    <w:bookmarkStart w:id="24"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08"/>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08"/>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08"/>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one</w:t>
      </w:r>
      <w:r>
        <w:t xml:space="preserve"> </w:t>
      </w:r>
      <m:oMath>
        <m:r>
          <m:t>N</m:t>
        </m:r>
        <m:r>
          <m:t>t</m:t>
        </m:r>
        <m:r>
          <m:t>h</m:t>
        </m:r>
      </m:oMath>
      <w:r>
        <w:t xml:space="preserve"> </w:t>
      </w:r>
      <w:r>
        <w:t xml:space="preserve">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22"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8">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 Plot with Quiver</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Plot with streamplot for subplot</w:t>
      </w:r>
      <w:r>
        <w:br/>
      </w:r>
      <w:r>
        <w:rPr>
          <w:rStyle w:val="NormalTok"/>
        </w:rPr>
        <w:t xml:space="preserve">Q </w:t>
      </w:r>
      <w:r>
        <w:rPr>
          <w:rStyle w:val="OperatorTok"/>
        </w:rPr>
        <w:t xml:space="preserve">=</w:t>
      </w:r>
      <w:r>
        <w:rPr>
          <w:rStyle w:val="NormalTok"/>
        </w:rPr>
        <w:t xml:space="preserve"> plt.streamplot(X, VX, xdot, vxdot, color</w:t>
      </w:r>
      <w:r>
        <w:rPr>
          <w:rStyle w:val="OperatorTok"/>
        </w:rPr>
        <w:t xml:space="preserve">=</w:t>
      </w:r>
      <w:r>
        <w:rPr>
          <w:rStyle w:val="StringTok"/>
        </w:rPr>
        <w:t xml:space="preserve">'k'</w:t>
      </w:r>
      <w:r>
        <w:rPr>
          <w:rStyle w:val="NormalTok"/>
        </w:rPr>
        <w:t xml:space="preserve">)</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2549400"/>
            <wp:effectExtent b="0" l="0" r="0" t="0"/>
            <wp:docPr descr="png" title="" id="20" name="Picture"/>
            <a:graphic>
              <a:graphicData uri="http://schemas.openxmlformats.org/drawingml/2006/picture">
                <pic:pic>
                  <pic:nvPicPr>
                    <pic:cNvPr descr="../images/activity-phase_space_activity-phase_space_tmp_10_0.png" id="21" name="Picture"/>
                    <pic:cNvPicPr>
                      <a:picLocks noChangeArrowheads="1" noChangeAspect="1"/>
                    </pic:cNvPicPr>
                  </pic:nvPicPr>
                  <pic:blipFill>
                    <a:blip r:embed="rId19"/>
                    <a:stretch>
                      <a:fillRect/>
                    </a:stretch>
                  </pic:blipFill>
                  <pic:spPr bwMode="auto">
                    <a:xfrm>
                      <a:off x="0" y="0"/>
                      <a:ext cx="5334000" cy="2549400"/>
                    </a:xfrm>
                    <a:prstGeom prst="rect">
                      <a:avLst/>
                    </a:prstGeom>
                    <a:noFill/>
                    <a:ln w="9525">
                      <a:noFill/>
                      <a:headEnd/>
                      <a:tailEnd/>
                    </a:ln>
                  </pic:spPr>
                </pic:pic>
              </a:graphicData>
            </a:graphic>
          </wp:inline>
        </w:drawing>
      </w:r>
    </w:p>
    <w:p>
      <w:pPr>
        <w:pStyle w:val="ImageCaption"/>
      </w:pPr>
      <w:r>
        <w:t xml:space="preserve">png</w:t>
      </w:r>
    </w:p>
    <w:bookmarkEnd w:id="22"/>
    <w:bookmarkStart w:id="23" w:name="what-can-phase-space-help-us-do"/>
    <w:p>
      <w:pPr>
        <w:pStyle w:val="Heading3"/>
      </w:pPr>
      <w:r>
        <w:t xml:space="preserve">What can phase space help us do?</w:t>
      </w:r>
    </w:p>
    <w:p>
      <w:pPr>
        <w:pStyle w:val="FirstParagraph"/>
      </w:pPr>
      <w:r>
        <w:rPr>
          <w:b/>
          <w:bCs/>
        </w:rPr>
        <w:t xml:space="preserve">✅ Do this</w:t>
      </w:r>
    </w:p>
    <w:p>
      <w:pPr>
        <w:pStyle w:val="BodyText"/>
      </w:pPr>
      <w:r>
        <w:t xml:space="preserve">Let’s remember a few things about the SHO.</w:t>
      </w:r>
    </w:p>
    <w:p>
      <w:pPr>
        <w:pStyle w:val="Compact"/>
        <w:numPr>
          <w:ilvl w:val="0"/>
          <w:numId w:val="1009"/>
        </w:numPr>
      </w:pPr>
      <w:r>
        <w:t xml:space="preserve">With your neighbors, list all the things you know about the SHO. Include anything we haven’t discussed (e.g., the energetics of the problem).</w:t>
      </w:r>
    </w:p>
    <w:p>
      <w:pPr>
        <w:pStyle w:val="Compact"/>
        <w:numPr>
          <w:ilvl w:val="0"/>
          <w:numId w:val="1009"/>
        </w:numPr>
      </w:pPr>
      <w:r>
        <w:t xml:space="preserve">Name which of those things you can see in the phase diagram. Which things are you sure you can see? What things don’t seem to be able to be seen from the phase diagram?</w:t>
      </w:r>
    </w:p>
    <w:p>
      <w:pPr>
        <w:pStyle w:val="Compact"/>
        <w:numPr>
          <w:ilvl w:val="0"/>
          <w:numId w:val="1009"/>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0"/>
        </w:numPr>
      </w:pPr>
      <w:r>
        <w:t xml:space="preserve">Explain how your expression for energy conservation can be seen in your phase diagram.</w:t>
      </w:r>
    </w:p>
    <w:p>
      <w:pPr>
        <w:pStyle w:val="Compact"/>
        <w:numPr>
          <w:ilvl w:val="1"/>
          <w:numId w:val="1010"/>
        </w:numPr>
      </w:pPr>
      <w:r>
        <w:t xml:space="preserve">You might try to show analytically that the ellipse above is related to your energy conservation expression</w:t>
      </w:r>
    </w:p>
    <w:p>
      <w:pPr>
        <w:pStyle w:val="Compact"/>
        <w:numPr>
          <w:ilvl w:val="0"/>
          <w:numId w:val="1009"/>
        </w:numPr>
      </w:pPr>
      <w:r>
        <w:t xml:space="preserve">What are the fixed points for this system? Can it be classified as stable/unstable or do we need to think of something new?</w:t>
      </w:r>
    </w:p>
    <w:p>
      <w:pPr>
        <w:pStyle w:val="FirstParagraph"/>
      </w:pPr>
      <w:r>
        <w:t xml:space="preserve">What do these plots tell you about all potential solutions?</w:t>
      </w:r>
    </w:p>
    <w:bookmarkEnd w:id="23"/>
    <w:bookmarkEnd w:id="24"/>
    <w:bookmarkStart w:id="31" w:name="the-large-angle-pendulum"/>
    <w:p>
      <w:pPr>
        <w:pStyle w:val="Heading2"/>
      </w:pPr>
      <w:r>
        <w:t xml:space="preserve">The Large Angle Pendulum</w:t>
      </w:r>
    </w:p>
    <w:p>
      <w:pPr>
        <w:pStyle w:val="FirstParagraph"/>
      </w:pPr>
      <w:r>
        <w:t xml:space="preserve">The Large Angle Pendulum is the first of a number of nonlinear differential equations out there. This one is quite special in that the integral that solves for the period of this pendulum has a name! It’s called and</w:t>
      </w:r>
      <w:r>
        <w:t xml:space="preserve"> </w:t>
      </w:r>
      <w:hyperlink r:id="rId25">
        <w:r>
          <w:rPr>
            <w:rStyle w:val="Hyperlink"/>
          </w:rPr>
          <w:t xml:space="preserve">Elliptical Integral of the First Kind</w:t>
        </w:r>
      </w:hyperlink>
      <w:r>
        <w:t xml:space="preserve">. Elliptical because of the nature of the kernel of the integral, which has an elliptic form (in our case, one over the square root of a quantity squared subtracted from one, yes, seriously, we have a name for that).</w:t>
      </w:r>
    </w:p>
    <w:p>
      <w:pPr>
        <w:pStyle w:val="BodyText"/>
      </w:pPr>
      <w:r>
        <w:t xml:space="preserve">Here’s the pendulum in all it’s glory.</w:t>
      </w:r>
    </w:p>
    <w:tbl>
      <w:tblPr>
        <w:tblStyle w:val="FigureTable"/>
        <w:tblW w:type="auto" w:w="0"/>
        <w:jc w:val="center"/>
        <w:tblLook w:firstRow="0" w:lastRow="0" w:firstColumn="0" w:lastColumn="0"/>
      </w:tblPr>
      <w:tblGrid>
        <w:gridCol w:w="7920"/>
      </w:tblGrid>
      <w:tr>
        <w:tc>
          <w:tcPr/>
          <w:p>
            <w:pPr>
              <w:pStyle w:val="Compact"/>
              <w:jc w:val="center"/>
            </w:pPr>
            <w:r>
              <w:t xml:space="preserve">Large Angle Pendulum</w:t>
            </w:r>
          </w:p>
        </w:tc>
      </w:tr>
    </w:tbl>
    <w:p>
      <w:pPr>
        <w:pStyle w:val="ImageCaption"/>
      </w:pPr>
      <w:r>
        <w:t xml:space="preserve">Large Angle Pendulum</w:t>
      </w:r>
    </w:p>
    <w:p>
      <w:pPr>
        <w:pStyle w:val="BodyText"/>
      </w:pPr>
      <w:r>
        <w:t xml:space="preserve">The analytical solution for the period is given by:</w:t>
      </w:r>
    </w:p>
    <w:p>
      <w:pPr>
        <w:pStyle w:val="BodyText"/>
      </w:pPr>
      <m:oMathPara>
        <m:oMathParaPr>
          <m:jc m:val="center"/>
        </m:oMathParaPr>
        <m:oMath>
          <m:r>
            <m:t>T</m:t>
          </m:r>
          <m:r>
            <m:rPr>
              <m:sty m:val="p"/>
            </m:rPr>
            <m:t>=</m:t>
          </m:r>
          <m:r>
            <m:t>4</m:t>
          </m:r>
          <m:rad>
            <m:radPr>
              <m:degHide m:val="on"/>
            </m:radPr>
            <m:deg/>
            <m:e>
              <m:f>
                <m:fPr>
                  <m:type m:val="bar"/>
                </m:fPr>
                <m:num>
                  <m:r>
                    <m:t>L</m:t>
                  </m:r>
                </m:num>
                <m:den>
                  <m:r>
                    <m:t>g</m:t>
                  </m:r>
                </m:den>
              </m:f>
            </m:e>
          </m:rad>
          <m:nary>
            <m:naryPr>
              <m:chr m:val="∫"/>
              <m:limLoc m:val="subSup"/>
              <m:subHide m:val="off"/>
              <m:supHide m:val="off"/>
            </m:naryPr>
            <m:sub>
              <m:r>
                <m:t>0</m:t>
              </m:r>
            </m:sub>
            <m:sup>
              <m:r>
                <m:t>π</m:t>
              </m:r>
              <m:r>
                <m:rPr>
                  <m:sty m:val="p"/>
                </m:rPr>
                <m:t>/</m:t>
              </m:r>
              <m:r>
                <m:t>2</m:t>
              </m:r>
            </m:sup>
            <m:e>
              <m:f>
                <m:fPr>
                  <m:type m:val="bar"/>
                </m:fPr>
                <m:num>
                  <m:r>
                    <m:t>d</m:t>
                  </m:r>
                  <m:r>
                    <m:t>θ</m:t>
                  </m:r>
                </m:num>
                <m:den>
                  <m:rad>
                    <m:radPr>
                      <m:degHide m:val="on"/>
                    </m:radPr>
                    <m:deg/>
                    <m:e>
                      <m:r>
                        <m:t>1</m:t>
                      </m:r>
                      <m:r>
                        <m:rPr>
                          <m:sty m:val="p"/>
                        </m:rPr>
                        <m:t>−</m:t>
                      </m:r>
                      <m:sSup>
                        <m:e>
                          <m:r>
                            <m:t>k</m:t>
                          </m:r>
                        </m:e>
                        <m:sup>
                          <m:r>
                            <m:t>2</m:t>
                          </m:r>
                        </m:sup>
                      </m:sSup>
                      <m:sSup>
                        <m:e>
                          <m:r>
                            <m:rPr>
                              <m:sty m:val="p"/>
                            </m:rPr>
                            <m:t>sin</m:t>
                          </m:r>
                        </m:e>
                        <m:sup>
                          <m:r>
                            <m:t>2</m:t>
                          </m:r>
                        </m:sup>
                      </m:sSup>
                      <m:r>
                        <m:rPr>
                          <m:sty m:val="p"/>
                        </m:rPr>
                        <m:t>(</m:t>
                      </m:r>
                      <m:r>
                        <m:t>θ</m:t>
                      </m:r>
                      <m:r>
                        <m:rPr>
                          <m:sty m:val="p"/>
                        </m:rPr>
                        <m:t>)</m:t>
                      </m:r>
                    </m:e>
                  </m:rad>
                </m:den>
              </m:f>
            </m:e>
          </m:nary>
        </m:oMath>
      </m:oMathPara>
    </w:p>
    <w:p>
      <w:pPr>
        <w:pStyle w:val="FirstParagraph"/>
      </w:pPr>
      <w:r>
        <w:t xml:space="preserve">To find the period, we have to use some form of computation, even it’s the</w:t>
      </w:r>
      <w:r>
        <w:t xml:space="preserve"> </w:t>
      </w:r>
      <w:r>
        <w:t xml:space="preserve">“well-known”</w:t>
      </w:r>
      <w:r>
        <w:t xml:space="preserve"> </w:t>
      </w:r>
      <w:hyperlink r:id="rId26">
        <w:r>
          <w:rPr>
            <w:rStyle w:val="Hyperlink"/>
          </w:rPr>
          <w:t xml:space="preserve">recurrence relationship</w:t>
        </w:r>
      </w:hyperlink>
      <w:r>
        <w:t xml:space="preserve"> </w:t>
      </w:r>
      <w:r>
        <w:t xml:space="preserve">that was used for centuries to compute this integral</w:t>
      </w:r>
      <w:r>
        <w:t xml:space="preserve"> </w:t>
      </w:r>
      <w:r>
        <w:rPr>
          <w:b/>
          <w:bCs/>
        </w:rPr>
        <w:t xml:space="preserve">by hand</w:t>
      </w:r>
      <w:r>
        <w:t xml:space="preserve">.</w:t>
      </w:r>
    </w:p>
    <w:p>
      <w:pPr>
        <w:pStyle w:val="BodyText"/>
      </w:pPr>
      <w:r>
        <w:t xml:space="preserve">But let’s try to gain insight from the phase space instead. We can [derive] the differential equation that describes the motion of the pendulum through an angle</w:t>
      </w:r>
      <w:r>
        <w:t xml:space="preserve"> </w:t>
      </w:r>
      <m:oMath>
        <m:r>
          <m:t>θ</m:t>
        </m:r>
      </m:oMath>
      <w:r>
        <w:t xml:space="preserve"> </w:t>
      </w:r>
      <w:r>
        <w:t xml:space="preserve">thusly:</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You have a second order differential equation for</w:t>
      </w:r>
      <w:r>
        <w:t xml:space="preserve"> </w:t>
      </w:r>
      <m:oMath>
        <m:r>
          <m:t>θ</m:t>
        </m:r>
      </m:oMath>
      <w:r>
        <w:t xml:space="preserve">.</w:t>
      </w:r>
    </w:p>
    <w:bookmarkStart w:id="30" w:name="make-a-new-phase-portrait"/>
    <w:p>
      <w:pPr>
        <w:pStyle w:val="Heading3"/>
      </w:pPr>
      <w:r>
        <w:t xml:space="preserve">Make a new phase portrait</w:t>
      </w:r>
    </w:p>
    <w:p>
      <w:pPr>
        <w:pStyle w:val="FirstParagraph"/>
      </w:pPr>
      <w:r>
        <w:rPr>
          <w:b/>
          <w:bCs/>
        </w:rPr>
        <w:t xml:space="preserve">✅ Do this</w:t>
      </w:r>
    </w:p>
    <w:p>
      <w:pPr>
        <w:pStyle w:val="BodyText"/>
      </w:pPr>
      <w:r>
        <w:t xml:space="preserve">With your partners,</w:t>
      </w:r>
    </w:p>
    <w:p>
      <w:pPr>
        <w:pStyle w:val="Compact"/>
        <w:numPr>
          <w:ilvl w:val="0"/>
          <w:numId w:val="1011"/>
        </w:numPr>
      </w:pPr>
      <w:r>
        <w:t xml:space="preserve">Take the 2nd order ODE and make it two 1st order ODEs (one for</w:t>
      </w:r>
      <w:r>
        <w:t xml:space="preserve"> </w:t>
      </w:r>
      <m:oMath>
        <m:r>
          <m:t>θ</m:t>
        </m:r>
      </m:oMath>
      <w:r>
        <w:t xml:space="preserve"> </w:t>
      </w:r>
      <w:r>
        <w:t xml:space="preserve">and one for</w:t>
      </w:r>
      <w:r>
        <w:t xml:space="preserve"> </w:t>
      </w:r>
      <m:oMath>
        <m:r>
          <m:t>ω</m:t>
        </m:r>
        <m:r>
          <m:rPr>
            <m:sty m:val="p"/>
          </m:rPr>
          <m:t>=</m:t>
        </m:r>
        <m:acc>
          <m:accPr>
            <m:chr m:val="̇"/>
          </m:accPr>
          <m:e>
            <m:r>
              <m:t>θ</m:t>
            </m:r>
          </m:e>
        </m:acc>
      </m:oMath>
      <w:r>
        <w:t xml:space="preserve">). Make sure you agree on the analytics.</w:t>
      </w:r>
    </w:p>
    <w:p>
      <w:pPr>
        <w:pStyle w:val="Compact"/>
        <w:numPr>
          <w:ilvl w:val="0"/>
          <w:numId w:val="1011"/>
        </w:numPr>
      </w:pPr>
      <w:r>
        <w:t xml:space="preserve">Add those expressions to the function</w:t>
      </w:r>
      <w:r>
        <w:t xml:space="preserve"> </w:t>
      </w:r>
      <w:r>
        <w:rPr>
          <w:rStyle w:val="VerbatimChar"/>
        </w:rPr>
        <w:t xml:space="preserve">LAPPhasePortrait</w:t>
      </w:r>
    </w:p>
    <w:p>
      <w:pPr>
        <w:pStyle w:val="Compact"/>
        <w:numPr>
          <w:ilvl w:val="0"/>
          <w:numId w:val="1011"/>
        </w:numPr>
      </w:pPr>
      <w:r>
        <w:t xml:space="preserve">The rest of the code runs the same as before (we’ve engaged in reproducible and adaptable work!), so make some phase portraits.</w:t>
      </w:r>
    </w:p>
    <w:p>
      <w:pPr>
        <w:pStyle w:val="Compact"/>
        <w:numPr>
          <w:ilvl w:val="1"/>
          <w:numId w:val="1012"/>
        </w:numPr>
      </w:pPr>
      <w:r>
        <w:t xml:space="preserve">What do you notice?</w:t>
      </w:r>
    </w:p>
    <w:p>
      <w:pPr>
        <w:pStyle w:val="Compact"/>
        <w:numPr>
          <w:ilvl w:val="1"/>
          <w:numId w:val="1012"/>
        </w:numPr>
      </w:pPr>
      <w:r>
        <w:t xml:space="preserve">What physics is new?</w:t>
      </w:r>
    </w:p>
    <w:p>
      <w:pPr>
        <w:pStyle w:val="Compact"/>
        <w:numPr>
          <w:ilvl w:val="1"/>
          <w:numId w:val="1012"/>
        </w:numPr>
      </w:pPr>
      <w:r>
        <w:t xml:space="preserve">What physics is old?</w:t>
      </w:r>
    </w:p>
    <w:p>
      <w:pPr>
        <w:pStyle w:val="Compact"/>
        <w:numPr>
          <w:ilvl w:val="0"/>
          <w:numId w:val="1011"/>
        </w:numPr>
      </w:pPr>
      <w:r>
        <w:t xml:space="preserve">Play with parameters and build a story for what is going on with the motion.</w:t>
      </w:r>
    </w:p>
    <w:p>
      <w:pPr>
        <w:pStyle w:val="SourceCode"/>
      </w:pPr>
      <w:r>
        <w:rPr>
          <w:rStyle w:val="KeywordTok"/>
        </w:rPr>
        <w:t xml:space="preserve">def</w:t>
      </w:r>
      <w:r>
        <w:rPr>
          <w:rStyle w:val="NormalTok"/>
        </w:rPr>
        <w:t xml:space="preserve"> LAPPhasePortrait(x, vx, omega0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CHANGE THIS ##</w:t>
      </w:r>
      <w:r>
        <w:br/>
      </w:r>
      <w:r>
        <w:rPr>
          <w:rStyle w:val="NormalTok"/>
        </w:rPr>
        <w:t xml:space="preserve">    </w:t>
      </w:r>
      <w:r>
        <w:rPr>
          <w:rStyle w:val="CommentTok"/>
        </w:rPr>
        <w:t xml:space="preserve">#################</w:t>
      </w:r>
      <w:r>
        <w:br/>
      </w:r>
      <w:r>
        <w:rPr>
          <w:rStyle w:val="NormalTok"/>
        </w:rPr>
        <w:t xml:space="preserve">    xdot, vxdot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Specific to the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KeywordTok"/>
        </w:rPr>
        <w:t xml:space="preserve">def</w:t>
      </w:r>
      <w:r>
        <w:rPr>
          <w:rStyle w:val="NormalTok"/>
        </w:rPr>
        <w:t xml:space="preserve"> ComputeLAPPhase(X, VX, omega0):</w:t>
      </w:r>
      <w:r>
        <w:br/>
      </w:r>
      <w:r>
        <w:rPr>
          <w:rStyle w:val="NormalTok"/>
        </w:rPr>
        <w:t xml:space="preserve">    </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LAPPhasePortrait(xloc, yloc, omega0)</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r>
        <w:br/>
      </w:r>
      <w:r>
        <w:br/>
      </w:r>
      <w:r>
        <w:rPr>
          <w:rStyle w:val="NormalTok"/>
        </w:rPr>
        <w:t xml:space="preserve">omega0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40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6.0</w:t>
      </w:r>
      <w:r>
        <w:rPr>
          <w:rStyle w:val="NormalTok"/>
        </w:rPr>
        <w:t xml:space="preserve">, </w:t>
      </w:r>
      <w:r>
        <w:rPr>
          <w:rStyle w:val="FloatTok"/>
        </w:rPr>
        <w:t xml:space="preserve">6.0</w:t>
      </w:r>
      <w:r>
        <w:rPr>
          <w:rStyle w:val="NormalTok"/>
        </w:rPr>
        <w:t xml:space="preserve">, 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8.0</w:t>
      </w:r>
      <w:r>
        <w:rPr>
          <w:rStyle w:val="NormalTok"/>
        </w:rPr>
        <w:t xml:space="preserve">, </w:t>
      </w:r>
      <w:r>
        <w:rPr>
          <w:rStyle w:val="FloatTok"/>
        </w:rPr>
        <w:t xml:space="preserve">8.0</w:t>
      </w:r>
      <w:r>
        <w:rPr>
          <w:rStyle w:val="NormalTok"/>
        </w:rPr>
        <w:t xml:space="preserve">, N)</w:t>
      </w:r>
      <w:r>
        <w:br/>
      </w:r>
      <w:r>
        <w:br/>
      </w:r>
      <w:r>
        <w:rPr>
          <w:rStyle w:val="NormalTok"/>
        </w:rPr>
        <w:t xml:space="preserve">X, VX </w:t>
      </w:r>
      <w:r>
        <w:rPr>
          <w:rStyle w:val="OperatorTok"/>
        </w:rPr>
        <w:t xml:space="preserve">=</w:t>
      </w:r>
      <w:r>
        <w:rPr>
          <w:rStyle w:val="NormalTok"/>
        </w:rPr>
        <w:t xml:space="preserve"> np.meshgrid(x, vx)</w:t>
      </w:r>
      <w:r>
        <w:br/>
      </w:r>
      <w:r>
        <w:br/>
      </w:r>
      <w:r>
        <w:rPr>
          <w:rStyle w:val="NormalTok"/>
        </w:rPr>
        <w:t xml:space="preserve">xdot, vxdot </w:t>
      </w:r>
      <w:r>
        <w:rPr>
          <w:rStyle w:val="OperatorTok"/>
        </w:rPr>
        <w:t xml:space="preserve">=</w:t>
      </w:r>
      <w:r>
        <w:rPr>
          <w:rStyle w:val="NormalTok"/>
        </w:rPr>
        <w:t xml:space="preserve"> ComputeLAPPhase(X, VX, omega0)</w:t>
      </w:r>
      <w:r>
        <w:br/>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rPr>
          <w:rStyle w:val="NormalTok"/>
        </w:rPr>
        <w:t xml:space="preserve">plt.grid()</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plt.show()</w:t>
      </w:r>
    </w:p>
    <w:p>
      <w:pPr>
        <w:pStyle w:val="CaptionedFigure"/>
      </w:pPr>
      <w:r>
        <w:drawing>
          <wp:inline>
            <wp:extent cx="5334000" cy="3314023"/>
            <wp:effectExtent b="0" l="0" r="0" t="0"/>
            <wp:docPr descr="png" title="" id="28" name="Picture"/>
            <a:graphic>
              <a:graphicData uri="http://schemas.openxmlformats.org/drawingml/2006/picture">
                <pic:pic>
                  <pic:nvPicPr>
                    <pic:cNvPr descr="../images/activity-phase_space_activity-phase_space_tmp_14_0.png" id="29" name="Picture"/>
                    <pic:cNvPicPr>
                      <a:picLocks noChangeArrowheads="1" noChangeAspect="1"/>
                    </pic:cNvPicPr>
                  </pic:nvPicPr>
                  <pic:blipFill>
                    <a:blip r:embed="rId27"/>
                    <a:stretch>
                      <a:fillRect/>
                    </a:stretch>
                  </pic:blipFill>
                  <pic:spPr bwMode="auto">
                    <a:xfrm>
                      <a:off x="0" y="0"/>
                      <a:ext cx="5334000" cy="3314023"/>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BodyText"/>
      </w:pPr>
      <w:r>
        <w:t xml:space="preserve">Find the fixed points of this system. Are they the same as in the SHO case? If they’re different, what about this system makes it different?</w:t>
      </w:r>
    </w:p>
    <w:bookmarkEnd w:id="30"/>
    <w:bookmarkEnd w:id="31"/>
    <w:bookmarkStart w:id="33" w:name="Xbead7c59b63f3f544a4031dff87e5718550c576"/>
    <w:p>
      <w:pPr>
        <w:pStyle w:val="Heading2"/>
      </w:pPr>
      <w:r>
        <w:t xml:space="preserve">(Time Permitting) Fixed Points in 2 Dimensions</w:t>
      </w:r>
    </w:p>
    <w:p>
      <w:pPr>
        <w:pStyle w:val="FirstParagraph"/>
      </w:pPr>
      <w:r>
        <w:t xml:space="preserve">If we don’t get to this in class today don’t worry, we’ll start out with this on thursday!</w:t>
      </w:r>
    </w:p>
    <w:p>
      <w:pPr>
        <w:pStyle w:val="BodyText"/>
      </w:pPr>
      <w:r>
        <w:t xml:space="preserve">Now that we’ve stepped into two dimensional phase space, the amount of interesting geometry that our solutions can have is much greater. In particular, local behavior near fixed points can now exhibit much more complex behavior than just being stable or not, as we can see in this figure.</w:t>
      </w:r>
    </w:p>
    <w:p>
      <w:pPr>
        <w:pStyle w:val="BodyText"/>
      </w:pPr>
    </w:p>
    <w:p>
      <w:pPr>
        <w:pStyle w:val="BodyText"/>
      </w:pPr>
      <w:r>
        <w:t xml:space="preserve">So how do we definitively say what the behavior of our system is like near a fixed point? The anwer lies in</w:t>
      </w:r>
      <w:r>
        <w:t xml:space="preserve"> </w:t>
      </w:r>
      <w:r>
        <w:rPr>
          <w:b/>
          <w:bCs/>
        </w:rPr>
        <w:t xml:space="preserve">linearization</w:t>
      </w:r>
      <w:r>
        <w:t xml:space="preserve">. A linear system in 2d is a system of the form:</w:t>
      </w:r>
    </w:p>
    <w:p>
      <w:pPr>
        <w:pStyle w:val="BodyText"/>
      </w:pPr>
      <m:oMathPara>
        <m:oMathParaPr>
          <m:jc m:val="center"/>
        </m:oMathParaPr>
        <m:oMath>
          <m:acc>
            <m:accPr>
              <m:chr m:val="̇"/>
            </m:accPr>
            <m:e>
              <m:r>
                <m:t>x</m:t>
              </m:r>
            </m:e>
          </m:acc>
          <m:r>
            <m:rPr>
              <m:sty m:val="p"/>
            </m:rPr>
            <m:t>=</m:t>
          </m:r>
          <m:r>
            <m:t>a</m:t>
          </m:r>
          <m:r>
            <m:t>x</m:t>
          </m:r>
          <m:r>
            <m:rPr>
              <m:sty m:val="p"/>
            </m:rPr>
            <m:t>+</m:t>
          </m:r>
          <m:r>
            <m:t>b</m:t>
          </m:r>
          <m:r>
            <m:t>y</m:t>
          </m:r>
          <m:r>
            <m:t>  </m:t>
          </m:r>
          <m:acc>
            <m:accPr>
              <m:chr m:val="̇"/>
            </m:accPr>
            <m:e>
              <m:r>
                <m:t>y</m:t>
              </m:r>
            </m:e>
          </m:acc>
          <m:r>
            <m:rPr>
              <m:sty m:val="p"/>
            </m:rPr>
            <m:t>=</m:t>
          </m:r>
          <m:r>
            <m:t>c</m:t>
          </m:r>
          <m:r>
            <m:t>x</m:t>
          </m:r>
          <m:r>
            <m:rPr>
              <m:sty m:val="p"/>
            </m:rPr>
            <m:t>+</m:t>
          </m:r>
          <m:r>
            <m:t>d</m:t>
          </m:r>
          <m:r>
            <m:t>y</m:t>
          </m:r>
        </m:oMath>
      </m:oMathPara>
    </w:p>
    <w:p>
      <w:pPr>
        <w:pStyle w:val="FirstParagraph"/>
      </w:pPr>
      <w:r>
        <w:t xml:space="preserve">Note we can convieniently write this in matrix notation:</w:t>
      </w:r>
    </w:p>
    <w:p>
      <w:pPr>
        <w:pStyle w:val="BodyText"/>
      </w:pPr>
      <m:oMathPara>
        <m:oMathParaPr>
          <m:jc m:val="center"/>
        </m:oMathParaPr>
        <m:oMath>
          <m:acc>
            <m:accPr>
              <m:chr m:val="̇"/>
            </m:accPr>
            <m:e>
              <m:r>
                <m:rPr>
                  <m:sty m:val="b"/>
                </m:rPr>
                <m:t>x</m:t>
              </m:r>
            </m:e>
          </m:acc>
          <m:r>
            <m:rPr>
              <m:sty m:val="p"/>
            </m:rPr>
            <m:t>=</m:t>
          </m:r>
          <m:r>
            <m:t>A</m:t>
          </m:r>
          <m:r>
            <m:rPr>
              <m:sty m:val="b"/>
            </m:rPr>
            <m:t>x</m:t>
          </m:r>
        </m:oMath>
      </m:oMathPara>
    </w:p>
    <w:p>
      <w:pPr>
        <w:pStyle w:val="FirstParagraph"/>
      </w:pPr>
      <w:r>
        <w:t xml:space="preserve">Where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a</m:t>
                    </m:r>
                  </m:e>
                  <m:e>
                    <m:r>
                      <m:t>b</m:t>
                    </m:r>
                  </m:e>
                </m:mr>
                <m:mr>
                  <m:e>
                    <m:r>
                      <m:t>c</m:t>
                    </m:r>
                  </m:e>
                  <m:e>
                    <m:r>
                      <m:t>d</m:t>
                    </m:r>
                  </m:e>
                </m:mr>
              </m:m>
            </m:e>
          </m:d>
          <m:r>
            <m:t>  </m:t>
          </m:r>
          <m:r>
            <m:rPr>
              <m:nor/>
              <m:sty m:val="p"/>
            </m:rPr>
            <m:t>and</m:t>
          </m:r>
          <m:r>
            <m:t>  </m:t>
          </m:r>
          <m:r>
            <m:rPr>
              <m:sty m:val="b"/>
            </m:rPr>
            <m:t>x</m:t>
          </m:r>
          <m:r>
            <m:rPr>
              <m:sty m:val="p"/>
            </m:rPr>
            <m:t>=</m:t>
          </m:r>
          <m:d>
            <m:dPr>
              <m:begChr m:val="["/>
              <m:sepChr m:val=""/>
              <m:endChr m:val="]"/>
              <m:grow/>
            </m:dPr>
            <m:e>
              <m:m>
                <m:mPr>
                  <m:baseJc m:val="center"/>
                  <m:plcHide m:val="on"/>
                  <m:mcs>
                    <m:mc>
                      <m:mcPr>
                        <m:mcJc m:val="center"/>
                        <m:count m:val="1"/>
                      </m:mcPr>
                    </m:mc>
                  </m:mcs>
                </m:mPr>
                <m:mr>
                  <m:e>
                    <m:r>
                      <m:t>x</m:t>
                    </m:r>
                  </m:e>
                </m:mr>
                <m:mr>
                  <m:e>
                    <m:r>
                      <m:t>y</m:t>
                    </m:r>
                  </m:e>
                </m:mr>
              </m:m>
            </m:e>
          </m:d>
        </m:oMath>
      </m:oMathPara>
    </w:p>
    <w:p>
      <w:pPr>
        <w:pStyle w:val="FirstParagraph"/>
      </w:pPr>
      <w:r>
        <w:t xml:space="preserve">These systems are understood quite well and play very nice mathematically (see strogatz chapter 5). Miraculously, the mathematical tools for classifying fixed points of linear systems carry over into nonlinear systems with little tweaking. This is because most nonlinear systems behave in linear ways near fixed points. This means we can</w:t>
      </w:r>
      <w:r>
        <w:t xml:space="preserve"> </w:t>
      </w:r>
      <w:r>
        <w:rPr>
          <w:b/>
          <w:bCs/>
        </w:rPr>
        <w:t xml:space="preserve">linearize</w:t>
      </w:r>
      <w:r>
        <w:t xml:space="preserve"> </w:t>
      </w:r>
      <w:r>
        <w:t xml:space="preserve">nonlinear systems. Here’s how you do it:</w:t>
      </w:r>
    </w:p>
    <w:p>
      <w:pPr>
        <w:pStyle w:val="BodyText"/>
      </w:pPr>
      <w:r>
        <w:t xml:space="preserve">Suppose you have a system given by:</w:t>
      </w:r>
    </w:p>
    <w:p>
      <w:pPr>
        <w:pStyle w:val="BodyText"/>
      </w:pPr>
      <m:oMathPara>
        <m:oMathParaPr>
          <m:jc m:val="center"/>
        </m:oMathParaPr>
        <m:oMath>
          <m:acc>
            <m:accPr>
              <m:chr m:val="̇"/>
            </m:accPr>
            <m:e>
              <m:r>
                <m:t>x</m:t>
              </m:r>
            </m:e>
          </m:acc>
          <m:r>
            <m:rPr>
              <m:sty m:val="p"/>
            </m:rPr>
            <m:t>=</m:t>
          </m:r>
          <m:r>
            <m:t>f</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y</m:t>
              </m:r>
            </m:e>
          </m:acc>
          <m:r>
            <m:rPr>
              <m:sty m:val="p"/>
            </m:rPr>
            <m:t>=</m:t>
          </m:r>
          <m:r>
            <m:t>g</m:t>
          </m:r>
          <m:r>
            <m:rPr>
              <m:sty m:val="p"/>
            </m:rPr>
            <m:t>(</m:t>
          </m:r>
          <m:r>
            <m:t>x</m:t>
          </m:r>
          <m:r>
            <m:rPr>
              <m:sty m:val="p"/>
            </m:rPr>
            <m:t>,</m:t>
          </m:r>
          <m:r>
            <m:t>y</m:t>
          </m:r>
          <m:r>
            <m:rPr>
              <m:sty m:val="p"/>
            </m:rPr>
            <m:t>)</m:t>
          </m:r>
        </m:oMath>
      </m:oMathPara>
    </w:p>
    <w:p>
      <w:pPr>
        <w:pStyle w:val="FirstParagraph"/>
      </w:pPr>
      <w:r>
        <w:t xml:space="preserve">With fixed point</w:t>
      </w:r>
      <w:r>
        <w:t xml:space="preserve"> </w:t>
      </w:r>
      <m:oMath>
        <m:r>
          <m:rPr>
            <m:sty m:val="p"/>
          </m:rPr>
          <m:t>(</m:t>
        </m:r>
        <m:sSup>
          <m:e>
            <m:r>
              <m:t>x</m:t>
            </m:r>
          </m:e>
          <m:sup>
            <m:r>
              <m:rPr>
                <m:sty m:val="p"/>
              </m:rPr>
              <m:t>*</m:t>
            </m:r>
          </m:sup>
        </m:sSup>
        <m:r>
          <m:rPr>
            <m:sty m:val="p"/>
          </m:rPr>
          <m:t>,</m:t>
        </m:r>
        <m:sSup>
          <m:e>
            <m:r>
              <m:t>y</m:t>
            </m:r>
          </m:e>
          <m:sup>
            <m:r>
              <m:rPr>
                <m:sty m:val="p"/>
              </m:rPr>
              <m:t>*</m:t>
            </m:r>
          </m:sup>
        </m:sSup>
        <m:r>
          <m:rPr>
            <m:sty m:val="p"/>
          </m:rPr>
          <m:t>)</m:t>
        </m:r>
      </m:oMath>
      <w:r>
        <w:t xml:space="preserve">. Near this fixed point, distrubances to the system will evolve approximatley according to:</w:t>
      </w:r>
    </w:p>
    <w:p>
      <w:pPr>
        <w:pStyle w:val="BodyText"/>
      </w:pPr>
      <m:oMathPara>
        <m:oMathParaPr>
          <m:jc m:val="center"/>
        </m:oMathParaPr>
        <m:oMath>
          <m:d>
            <m:dPr>
              <m:begChr m:val="["/>
              <m:sepChr m:val=""/>
              <m:endChr m:val="]"/>
              <m:grow/>
            </m:dPr>
            <m:e>
              <m:m>
                <m:mPr>
                  <m:baseJc m:val="center"/>
                  <m:plcHide m:val="on"/>
                  <m:mcs>
                    <m:mc>
                      <m:mcPr>
                        <m:mcJc m:val="center"/>
                        <m:count m:val="1"/>
                      </m:mcPr>
                    </m:mc>
                  </m:mcs>
                </m:mPr>
                <m:mr>
                  <m:e>
                    <m:acc>
                      <m:accPr>
                        <m:chr m:val="̇"/>
                      </m:accPr>
                      <m:e>
                        <m:r>
                          <m:t>x</m:t>
                        </m:r>
                      </m:e>
                    </m:acc>
                  </m:e>
                </m:mr>
                <m:mr>
                  <m:e>
                    <m:acc>
                      <m:accPr>
                        <m:chr m:val="̇"/>
                      </m:accPr>
                      <m:e>
                        <m:r>
                          <m:t>y</m:t>
                        </m:r>
                      </m:e>
                    </m:acc>
                  </m:e>
                </m:mr>
              </m:m>
            </m:e>
          </m:d>
          <m:r>
            <m:rPr>
              <m:sty m:val="p"/>
            </m:rPr>
            <m:t>=</m:t>
          </m:r>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d>
            <m:dPr>
              <m:begChr m:val="["/>
              <m:sepChr m:val=""/>
              <m:endChr m:val="]"/>
              <m:grow/>
            </m:dPr>
            <m:e>
              <m:m>
                <m:mPr>
                  <m:baseJc m:val="center"/>
                  <m:plcHide m:val="on"/>
                  <m:mcs>
                    <m:mc>
                      <m:mcPr>
                        <m:mcJc m:val="center"/>
                        <m:count m:val="1"/>
                      </m:mcPr>
                    </m:mc>
                  </m:mcs>
                </m:mPr>
                <m:mr>
                  <m:e>
                    <m:r>
                      <m:t>x</m:t>
                    </m:r>
                    <m:r>
                      <m:rPr>
                        <m:sty m:val="p"/>
                      </m:rPr>
                      <m:t>−</m:t>
                    </m:r>
                    <m:sSup>
                      <m:e>
                        <m:r>
                          <m:t>x</m:t>
                        </m:r>
                      </m:e>
                      <m:sup>
                        <m:r>
                          <m:rPr>
                            <m:sty m:val="p"/>
                          </m:rPr>
                          <m:t>*</m:t>
                        </m:r>
                      </m:sup>
                    </m:sSup>
                  </m:e>
                </m:mr>
                <m:mr>
                  <m:e>
                    <m:r>
                      <m:t>y</m:t>
                    </m:r>
                    <m:r>
                      <m:rPr>
                        <m:sty m:val="p"/>
                      </m:rPr>
                      <m:t>−</m:t>
                    </m:r>
                    <m:sSup>
                      <m:e>
                        <m:r>
                          <m:t>y</m:t>
                        </m:r>
                      </m:e>
                      <m:sup>
                        <m:r>
                          <m:rPr>
                            <m:sty m:val="p"/>
                          </m:rPr>
                          <m:t>*</m:t>
                        </m:r>
                      </m:sup>
                    </m:sSup>
                  </m:e>
                </m:mr>
              </m:m>
            </m:e>
          </m:d>
        </m:oMath>
      </m:oMathPara>
    </w:p>
    <w:p>
      <w:pPr>
        <w:pStyle w:val="FirstParagraph"/>
      </w:pPr>
      <w:r>
        <w:t xml:space="preserve">This is called the</w:t>
      </w:r>
      <w:r>
        <w:t xml:space="preserve"> </w:t>
      </w:r>
      <w:r>
        <w:rPr>
          <w:b/>
          <w:bCs/>
        </w:rPr>
        <w:t xml:space="preserve">linearized system</w:t>
      </w:r>
      <w:r>
        <w:t xml:space="preserve">. The matrix</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t xml:space="preserve">is the</w:t>
      </w:r>
      <w:r>
        <w:t xml:space="preserve"> </w:t>
      </w:r>
      <w:r>
        <w:rPr>
          <w:b/>
          <w:bCs/>
        </w:rPr>
        <w:t xml:space="preserve">Jacobian matrix</w:t>
      </w:r>
      <w:r>
        <w:t xml:space="preserve"> </w:t>
      </w:r>
      <w:r>
        <w:t xml:space="preserve">at this fixed point, which is the multivariable version of the derivative. To categorize the fixed points of a given system at a fixed point, calculate</w:t>
      </w:r>
      <w:r>
        <w:t xml:space="preserve"> </w:t>
      </w:r>
      <m:oMath>
        <m:r>
          <m:t>A</m:t>
        </m:r>
      </m:oMath>
      <w:r>
        <w:t xml:space="preserve"> </w:t>
      </w:r>
      <w:r>
        <w:t xml:space="preserve">for said fixed point, then find its Eigenvalues. Recall Eigenvalues are the</w:t>
      </w:r>
      <w:r>
        <w:t xml:space="preserve"> </w:t>
      </w:r>
      <m:oMath>
        <m:r>
          <m:t>λ</m:t>
        </m:r>
      </m:oMath>
      <w:r>
        <w:t xml:space="preserve"> </w:t>
      </w:r>
      <w:r>
        <w:t xml:space="preserve">in</w:t>
      </w:r>
      <w:r>
        <w:t xml:space="preserve"> </w:t>
      </w:r>
      <m:oMath>
        <m:r>
          <m:t>A</m:t>
        </m:r>
        <m:r>
          <m:rPr>
            <m:sty m:val="b"/>
          </m:rPr>
          <m:t>v</m:t>
        </m:r>
        <m:r>
          <m:rPr>
            <m:sty m:val="p"/>
          </m:rPr>
          <m:t>=</m:t>
        </m:r>
        <m:r>
          <m:t>λ</m:t>
        </m:r>
        <m:r>
          <m:rPr>
            <m:sty m:val="b"/>
          </m:rPr>
          <m:t>v</m:t>
        </m:r>
      </m:oMath>
      <w:r>
        <w:t xml:space="preserve">.</w:t>
      </w:r>
      <w:r>
        <w:t xml:space="preserve"> </w:t>
      </w:r>
      <m:oMath>
        <m:r>
          <m:t>2</m:t>
        </m:r>
        <m:r>
          <m:rPr>
            <m:sty m:val="p"/>
          </m:rPr>
          <m:t>×</m:t>
        </m:r>
        <m:r>
          <m:t>2</m:t>
        </m:r>
      </m:oMath>
      <w:r>
        <w:t xml:space="preserve"> </w:t>
      </w:r>
      <w:r>
        <w:t xml:space="preserve">matricies have (up to) 2 eigenvalues. These eigenvalues tell you about the stability of the system:</w:t>
      </w:r>
    </w:p>
    <w:p>
      <w:pPr>
        <w:pStyle w:val="Compact"/>
        <w:numPr>
          <w:ilvl w:val="0"/>
          <w:numId w:val="1013"/>
        </w:numPr>
      </w:pPr>
      <w:r>
        <w:t xml:space="preserve">$</w:t>
      </w:r>
      <w:r>
        <w:t xml:space="preserve">(</w:t>
      </w:r>
      <w:r>
        <w:t xml:space="preserve">) &gt; 0 $ for both eigenvalues: Repeller/Source (unstable)</w:t>
      </w:r>
    </w:p>
    <w:p>
      <w:pPr>
        <w:pStyle w:val="Compact"/>
        <w:numPr>
          <w:ilvl w:val="0"/>
          <w:numId w:val="1013"/>
        </w:numPr>
      </w:pPr>
      <w:r>
        <w:t xml:space="preserve">$</w:t>
      </w:r>
      <w:r>
        <w:t xml:space="preserve">(</w:t>
      </w:r>
      <w:r>
        <w:t xml:space="preserve">) &lt; 0 $ for both eigenvalues: Attractor/Sink (stable)</w:t>
      </w:r>
    </w:p>
    <w:p>
      <w:pPr>
        <w:pStyle w:val="Compact"/>
        <w:numPr>
          <w:ilvl w:val="0"/>
          <w:numId w:val="1013"/>
        </w:numPr>
      </w:pPr>
      <w:r>
        <w:t xml:space="preserve">One eigenvalue positive, one negative: Saddle</w:t>
      </w:r>
    </w:p>
    <w:p>
      <w:pPr>
        <w:pStyle w:val="Compact"/>
        <w:numPr>
          <w:ilvl w:val="0"/>
          <w:numId w:val="1013"/>
        </w:numPr>
      </w:pPr>
      <w:r>
        <w:t xml:space="preserve">Both eigenvalues pure imaginary: Center</w:t>
      </w:r>
    </w:p>
    <w:p>
      <w:pPr>
        <w:pStyle w:val="FirstParagraph"/>
      </w:pPr>
      <w:r>
        <w:t xml:space="preserve">In fact one can learn quite a bit more from a these eigenvalues (see strogatz chapter 6 or section 5.4</w:t>
      </w:r>
      <w:r>
        <w:t xml:space="preserve"> </w:t>
      </w:r>
      <w:hyperlink r:id="rId32">
        <w:r>
          <w:rPr>
            <w:rStyle w:val="Hyperlink"/>
          </w:rPr>
          <w:t xml:space="preserve">here</w:t>
        </w:r>
      </w:hyperlink>
      <w:r>
        <w:t xml:space="preserve">), but these charactarizations are a great starting point.</w:t>
      </w:r>
    </w:p>
    <w:p>
      <w:pPr>
        <w:pStyle w:val="SourceCode"/>
      </w:pPr>
    </w:p>
    <w:p>
      <w:pPr>
        <w:pStyle w:val="FirstParagraph"/>
      </w:pPr>
      <w:r>
        <w:rPr>
          <w:b/>
          <w:bCs/>
        </w:rPr>
        <w:t xml:space="preserve">✅ Do this</w:t>
      </w:r>
    </w:p>
    <w:p>
      <w:pPr>
        <w:pStyle w:val="BodyText"/>
      </w:pPr>
      <w:r>
        <w:t xml:space="preserve">Calculate the Jacobian matrix</w:t>
      </w:r>
      <w:r>
        <w:t xml:space="preserve"> </w:t>
      </w:r>
      <m:oMath>
        <m:r>
          <m:t>A</m:t>
        </m:r>
      </m:oMath>
      <w:r>
        <w:t xml:space="preserve"> </w:t>
      </w:r>
      <w:r>
        <w:t xml:space="preserve">for a fixed point of the large angle pendulum.</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7" Target="media/rId27.png" /><Relationship Type="http://schemas.openxmlformats.org/officeDocument/2006/relationships/image" Id="rId9" Target="media/rId9.png" /><Relationship Type="http://schemas.openxmlformats.org/officeDocument/2006/relationships/image" Id="rId12" Target="media/rId12.png" /><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Elliptic_integral" TargetMode="External" /><Relationship Type="http://schemas.openxmlformats.org/officeDocument/2006/relationships/hyperlink" Id="rId26" Target="https://en.wikipedia.org/wiki/Elliptic_integral#Complete_elliptic_integral_of_the_first_kind" TargetMode="External" /><Relationship Type="http://schemas.openxmlformats.org/officeDocument/2006/relationships/hyperlink" Id="rId18" Target="https://numpy.org/doc/stable/reference/generated/numpy.meshgrid.html" TargetMode="External" /><Relationship Type="http://schemas.openxmlformats.org/officeDocument/2006/relationships/hyperlink" Id="rId32" Target="https://users.math.msu.edu/users/gnagy/teaching/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2025-07-10T06:56:32Z</dcterms:created>
  <dcterms:modified xsi:type="dcterms:W3CDTF">2025-07-10T06:56:32Z</dcterms:modified>
</cp:coreProperties>
</file>

<file path=docProps/custom.xml><?xml version="1.0" encoding="utf-8"?>
<Properties xmlns="http://schemas.openxmlformats.org/officeDocument/2006/custom-properties" xmlns:vt="http://schemas.openxmlformats.org/officeDocument/2006/docPropsVTypes"/>
</file>