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Override PartName="/word/media/rId16.png" ContentType="image/png"/>
  <Override PartName="/word/media/rId1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fac1260285f49a4eb99788b1f0ec0f787c9be7d"/>
    <w:p>
      <w:pPr>
        <w:pStyle w:val="Heading1"/>
      </w:pPr>
      <w:r>
        <w:t xml:space="preserve">5 Oct 23 - Activity: Solving PDEs in Spherical Coordinates</w:t>
      </w:r>
    </w:p>
    <w:p>
      <w:pPr>
        <w:pStyle w:val="FirstParagraph"/>
      </w:pPr>
      <w:r>
        <w:t xml:space="preserve">We can extend the ideas we developed from Separation of Variables to solve PDEs in spherical coordinates. We propose a similar solution to the one we used for Cartesian coordinates, functions of a single variable.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We have</w:t>
      </w:r>
      <w:r>
        <w:t xml:space="preserve"> </w:t>
      </w:r>
      <w:hyperlink r:id="rId9">
        <w:r>
          <w:rPr>
            <w:rStyle w:val="Hyperlink"/>
          </w:rPr>
          <w:t xml:space="preserve">shown that we can solve this problem in general</w:t>
        </w:r>
      </w:hyperlink>
      <w:r>
        <w:t xml:space="preserve">. We will now apply this to a specific problem. Recall these general solutions are written in the following ways:</w:t>
      </w:r>
    </w:p>
    <w:p>
      <w:pPr>
        <w:pStyle w:val="BodyText"/>
      </w:pPr>
      <m:oMathPara>
        <m:oMathParaPr>
          <m:jc m:val="center"/>
        </m:oMathParaPr>
        <m:oMath>
          <m:r>
            <m:t>R</m:t>
          </m:r>
          <m:r>
            <m:rPr>
              <m:sty m:val="p"/>
            </m:rPr>
            <m:t>(</m:t>
          </m:r>
          <m:r>
            <m:t>r</m:t>
          </m:r>
          <m:r>
            <m:rPr>
              <m:sty m:val="p"/>
            </m:rPr>
            <m:t>)</m:t>
          </m:r>
          <m:r>
            <m:rPr>
              <m:sty m:val="p"/>
            </m:rPr>
            <m:t>=</m:t>
          </m:r>
          <m:r>
            <m:t>A</m:t>
          </m:r>
          <m:sSup>
            <m:e>
              <m:r>
                <m:t>r</m:t>
              </m:r>
            </m:e>
            <m:sup>
              <m:r>
                <m:t>n</m:t>
              </m:r>
            </m:sup>
          </m:sSup>
          <m:r>
            <m:rPr>
              <m:sty m:val="p"/>
            </m:rPr>
            <m:t>+</m:t>
          </m:r>
          <m:f>
            <m:fPr>
              <m:type m:val="bar"/>
            </m:fPr>
            <m:num>
              <m:r>
                <m:t>B</m:t>
              </m:r>
            </m:num>
            <m:den>
              <m:sSup>
                <m:e>
                  <m:r>
                    <m:t>r</m:t>
                  </m:r>
                </m:e>
                <m:sup>
                  <m:r>
                    <m:t>n</m:t>
                  </m:r>
                  <m:r>
                    <m:rPr>
                      <m:sty m:val="p"/>
                    </m:rPr>
                    <m:t>+</m:t>
                  </m:r>
                  <m:r>
                    <m:t>1</m:t>
                  </m:r>
                </m:sup>
              </m:sSup>
            </m:den>
          </m:f>
        </m:oMath>
      </m:oMathPara>
    </w:p>
    <w:p>
      <w:pPr>
        <w:pStyle w:val="FirstParagraph"/>
      </w:pPr>
      <m:oMathPara>
        <m:oMathParaPr>
          <m:jc m:val="center"/>
        </m:oMathParaPr>
        <m:oMath>
          <m:r>
            <m:rPr>
              <m:sty m:val="p"/>
            </m:rPr>
            <m:t>Θ</m:t>
          </m:r>
          <m:r>
            <m:rPr>
              <m:sty m:val="p"/>
            </m:rPr>
            <m:t>(</m:t>
          </m:r>
          <m:r>
            <m:t>θ</m:t>
          </m:r>
          <m:r>
            <m:rPr>
              <m:sty m:val="p"/>
            </m:rPr>
            <m:t>)</m:t>
          </m:r>
          <m:r>
            <m:rPr>
              <m:sty m:val="p"/>
            </m:rPr>
            <m:t>=</m:t>
          </m:r>
          <m:sSubSup>
            <m:e>
              <m:r>
                <m:t>P</m:t>
              </m:r>
            </m:e>
            <m:sub>
              <m:r>
                <m:t>l</m:t>
              </m:r>
            </m:sub>
            <m:sup>
              <m:r>
                <m:t>m</m:t>
              </m:r>
            </m:sup>
          </m:sSubSup>
          <m:r>
            <m:rPr>
              <m:sty m:val="p"/>
            </m:rPr>
            <m:t>(</m:t>
          </m:r>
          <m:r>
            <m:rPr>
              <m:sty m:val="p"/>
            </m:rPr>
            <m:t>cos</m:t>
          </m:r>
          <m:r>
            <m:t>θ</m:t>
          </m:r>
          <m:r>
            <m:rPr>
              <m:sty m:val="p"/>
            </m:rPr>
            <m:t>)</m:t>
          </m:r>
        </m:oMath>
      </m:oMathPara>
    </w:p>
    <w:p>
      <w:pPr>
        <w:pStyle w:val="FirstParagraph"/>
      </w:pPr>
      <m:oMathPara>
        <m:oMathParaPr>
          <m:jc m:val="center"/>
        </m:oMathParaPr>
        <m:oMath>
          <m:r>
            <m:rPr>
              <m:sty m:val="p"/>
            </m:rPr>
            <m:t>Φ</m:t>
          </m:r>
          <m:r>
            <m:rPr>
              <m:sty m:val="p"/>
            </m:rPr>
            <m:t>(</m:t>
          </m:r>
          <m:r>
            <m:t>ϕ</m:t>
          </m:r>
          <m:r>
            <m:rPr>
              <m:sty m:val="p"/>
            </m:rPr>
            <m:t>)</m:t>
          </m:r>
          <m:r>
            <m:rPr>
              <m:sty m:val="p"/>
            </m:rPr>
            <m:t>=</m:t>
          </m:r>
          <m:sSup>
            <m:e>
              <m:r>
                <m:t>e</m:t>
              </m:r>
            </m:e>
            <m:sup>
              <m:r>
                <m:t>i</m:t>
              </m:r>
              <m:r>
                <m:t>m</m:t>
              </m:r>
              <m:r>
                <m:t>ϕ</m:t>
              </m:r>
            </m:sup>
          </m:sSup>
        </m:oMath>
      </m:oMathPara>
    </w:p>
    <w:p>
      <w:pPr>
        <w:pStyle w:val="FirstParagraph"/>
      </w:pPr>
      <w:r>
        <w:t xml:space="preserve">where</w:t>
      </w:r>
      <w:r>
        <w:t xml:space="preserve"> </w:t>
      </w:r>
      <m:oMath>
        <m:sSubSup>
          <m:e>
            <m:r>
              <m:t>P</m:t>
            </m:r>
          </m:e>
          <m:sub>
            <m:r>
              <m:t>l</m:t>
            </m:r>
          </m:sub>
          <m:sup>
            <m:r>
              <m:t>m</m:t>
            </m:r>
          </m:sup>
        </m:sSubSup>
        <m:r>
          <m:rPr>
            <m:sty m:val="p"/>
          </m:rPr>
          <m:t>(</m:t>
        </m:r>
        <m:r>
          <m:rPr>
            <m:sty m:val="p"/>
          </m:rPr>
          <m:t>cos</m:t>
        </m:r>
        <m:r>
          <m:t>θ</m:t>
        </m:r>
        <m:r>
          <m:rPr>
            <m:sty m:val="p"/>
          </m:rPr>
          <m:t>)</m:t>
        </m:r>
      </m:oMath>
      <w:r>
        <w:t xml:space="preserve"> </w:t>
      </w:r>
      <w:r>
        <w:t xml:space="preserve">are the</w:t>
      </w:r>
      <w:r>
        <w:t xml:space="preserve"> </w:t>
      </w:r>
      <w:hyperlink r:id="rId10">
        <w:r>
          <w:rPr>
            <w:rStyle w:val="Hyperlink"/>
          </w:rPr>
          <w:t xml:space="preserve">associated Legendre polynomials</w:t>
        </w:r>
      </w:hyperlink>
      <w:r>
        <w:t xml:space="preserve">. So that the general solution is the product of these for different values of</w:t>
      </w:r>
      <w:r>
        <w:t xml:space="preserve"> </w:t>
      </w:r>
      <m:oMath>
        <m:r>
          <m:t>n</m:t>
        </m:r>
      </m:oMath>
      <w:r>
        <w:t xml:space="preserve">,</w:t>
      </w:r>
      <w:r>
        <w:t xml:space="preserve"> </w:t>
      </w:r>
      <m:oMath>
        <m:r>
          <m:t>l</m:t>
        </m:r>
      </m:oMath>
      <w:r>
        <w:t xml:space="preserve">, and</w:t>
      </w:r>
      <w:r>
        <w:t xml:space="preserve"> </w:t>
      </w:r>
      <m:oMath>
        <m:r>
          <m:t>m</m:t>
        </m:r>
      </m:oMath>
      <w:r>
        <w:t xml:space="preserve">. One solution is some combination of</w:t>
      </w:r>
      <w:r>
        <w:t xml:space="preserve"> </w:t>
      </w:r>
      <m:oMath>
        <m:r>
          <m:t>n</m:t>
        </m:r>
      </m:oMath>
      <w:r>
        <w:t xml:space="preserve">,</w:t>
      </w:r>
      <w:r>
        <w:t xml:space="preserve"> </w:t>
      </w:r>
      <m:oMath>
        <m:r>
          <m:t>l</m:t>
        </m:r>
      </m:oMath>
      <w:r>
        <w:t xml:space="preserve">, and</w:t>
      </w:r>
      <w:r>
        <w:t xml:space="preserve"> </w:t>
      </w:r>
      <m:oMath>
        <m:r>
          <m:t>m</m:t>
        </m:r>
      </m:oMath>
      <w:r>
        <w:t xml:space="preserve">, written like this:</w:t>
      </w:r>
    </w:p>
    <w:p>
      <w:pPr>
        <w:pStyle w:val="BodyText"/>
      </w:pPr>
      <m:oMathPara>
        <m:oMathParaPr>
          <m:jc m:val="center"/>
        </m:oMathParaPr>
        <m:oMath>
          <m:sSub>
            <m:e>
              <m:r>
                <m:t>V</m:t>
              </m:r>
            </m:e>
            <m:sub>
              <m:r>
                <m:t>n</m:t>
              </m:r>
              <m:r>
                <m:t>l</m:t>
              </m:r>
              <m:r>
                <m:t>m</m:t>
              </m:r>
            </m:sub>
          </m:sSub>
          <m:r>
            <m:rPr>
              <m:sty m:val="p"/>
            </m:rPr>
            <m:t>(</m:t>
          </m:r>
          <m:r>
            <m:t>r</m:t>
          </m:r>
          <m:r>
            <m:rPr>
              <m:sty m:val="p"/>
            </m:rPr>
            <m:t>,</m:t>
          </m:r>
          <m:r>
            <m:t>θ</m:t>
          </m:r>
          <m:r>
            <m:rPr>
              <m:sty m:val="p"/>
            </m:rPr>
            <m:t>,</m:t>
          </m:r>
          <m:r>
            <m:t>ϕ</m:t>
          </m:r>
          <m:r>
            <m:rPr>
              <m:sty m:val="p"/>
            </m:rPr>
            <m:t>)</m:t>
          </m:r>
          <m:r>
            <m:rPr>
              <m:sty m:val="p"/>
            </m:rPr>
            <m:t>=</m:t>
          </m:r>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p>
      <w:pPr>
        <w:pStyle w:val="FirstParagraph"/>
      </w:pPr>
      <w:r>
        <w:t xml:space="preserve">where</w:t>
      </w:r>
      <w:r>
        <w:t xml:space="preserve"> </w:t>
      </w:r>
      <m:oMath>
        <m:sSub>
          <m:e>
            <m:r>
              <m:t>A</m:t>
            </m:r>
          </m:e>
          <m:sub>
            <m:r>
              <m:t>n</m:t>
            </m:r>
            <m:r>
              <m:t>l</m:t>
            </m:r>
            <m:r>
              <m:t>m</m:t>
            </m:r>
          </m:sub>
        </m:sSub>
      </m:oMath>
      <w:r>
        <w:t xml:space="preserve"> </w:t>
      </w:r>
      <w:r>
        <w:t xml:space="preserve">and</w:t>
      </w:r>
      <w:r>
        <w:t xml:space="preserve"> </w:t>
      </w:r>
      <m:oMath>
        <m:sSub>
          <m:e>
            <m:r>
              <m:t>B</m:t>
            </m:r>
          </m:e>
          <m:sub>
            <m:r>
              <m:t>n</m:t>
            </m:r>
            <m:r>
              <m:t>l</m:t>
            </m:r>
            <m:r>
              <m:t>m</m:t>
            </m:r>
          </m:sub>
        </m:sSub>
      </m:oMath>
      <w:r>
        <w:t xml:space="preserve"> </w:t>
      </w:r>
      <w:r>
        <w:t xml:space="preserve">are constants. Because Laplace’s equation is linear, we can write the general solution as a sum of these solutions:</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nary>
                    <m:naryPr>
                      <m:chr m:val="∑"/>
                      <m:limLoc m:val="undOvr"/>
                      <m:subHide m:val="off"/>
                      <m:supHide m:val="off"/>
                    </m:naryPr>
                    <m:sub>
                      <m:r>
                        <m:t>m</m:t>
                      </m:r>
                      <m:r>
                        <m:rPr>
                          <m:sty m:val="p"/>
                        </m:rPr>
                        <m:t>=</m:t>
                      </m:r>
                      <m:r>
                        <m:rPr>
                          <m:sty m:val="p"/>
                        </m:rPr>
                        <m:t>−</m:t>
                      </m:r>
                      <m:r>
                        <m:t>l</m:t>
                      </m:r>
                    </m:sub>
                    <m:sup>
                      <m:r>
                        <m:t>l</m:t>
                      </m:r>
                    </m:sup>
                    <m:e>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e>
                  </m:nary>
                </m:e>
              </m:nary>
            </m:e>
          </m:nary>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bookmarkStart w:id="15" w:name="visualizing-the-solutions"/>
    <w:p>
      <w:pPr>
        <w:pStyle w:val="Heading2"/>
      </w:pPr>
      <w:r>
        <w:t xml:space="preserve">Visualizing the Solutions</w:t>
      </w:r>
    </w:p>
    <w:p>
      <w:pPr>
        <w:pStyle w:val="FirstParagraph"/>
      </w:pPr>
      <w:r>
        <w:t xml:space="preserve">One of the major challenges with these general solutions is seeing what the solutions look like. We can use these picture to help us dtermine if we can remove one or more terms before trying to match boundary conditions. We will plot each of the solutions below with respect to their relative variables.</w:t>
      </w:r>
    </w:p>
    <w:bookmarkStart w:id="14" w:name="radial-solutions"/>
    <w:p>
      <w:pPr>
        <w:pStyle w:val="Heading3"/>
      </w:pPr>
      <w:r>
        <w:t xml:space="preserve">Radial Solutions</w:t>
      </w:r>
    </w:p>
    <w:p>
      <w:pPr>
        <w:pStyle w:val="FirstParagraph"/>
      </w:pPr>
      <w:r>
        <w:t xml:space="preserve">Below, we are plotting the solutions</w:t>
      </w:r>
      <w:r>
        <w:t xml:space="preserve"> </w:t>
      </w:r>
      <m:oMath>
        <m:sSup>
          <m:e>
            <m:r>
              <m:t>r</m:t>
            </m:r>
          </m:e>
          <m:sup>
            <m:r>
              <m:t>n</m:t>
            </m:r>
          </m:sup>
        </m:sSup>
      </m:oMath>
      <w:r>
        <w:t xml:space="preserve"> </w:t>
      </w:r>
      <w:r>
        <w:t xml:space="preserve">and</w:t>
      </w:r>
      <w:r>
        <w:t xml:space="preserve"> </w:t>
      </w:r>
      <m:oMath>
        <m:sSup>
          <m:e>
            <m:r>
              <m:t>r</m:t>
            </m:r>
          </m:e>
          <m:sup>
            <m:r>
              <m:rPr>
                <m:sty m:val="p"/>
              </m:rPr>
              <m:t>−</m:t>
            </m:r>
            <m:r>
              <m:rPr>
                <m:sty m:val="p"/>
              </m:rPr>
              <m:t>(</m:t>
            </m:r>
            <m:r>
              <m:t>n</m:t>
            </m:r>
            <m:r>
              <m:rPr>
                <m:sty m:val="p"/>
              </m:rPr>
              <m:t>+</m:t>
            </m:r>
            <m:r>
              <m:t>1</m:t>
            </m:r>
            <m:r>
              <m:rPr>
                <m:sty m:val="p"/>
              </m:rPr>
              <m:t>)</m:t>
            </m:r>
          </m:sup>
        </m:sSup>
      </m:oMath>
      <w:r>
        <w:t xml:space="preserve"> </w:t>
      </w:r>
      <w:r>
        <w:t xml:space="preserve">for several choices of</w:t>
      </w:r>
      <w:r>
        <w:t xml:space="preserve"> </w:t>
      </w:r>
      <m:oMath>
        <m:r>
          <m:t>n</m:t>
        </m:r>
      </m:oMath>
      <w:r>
        <w:t xml:space="preserve">. You can see where the solutions blow up. This is helpful for matching boundary conditions.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max_x</w:t>
      </w:r>
      <w:r>
        <w:rPr>
          <w:rStyle w:val="OperatorTok"/>
        </w:rPr>
        <w:t xml:space="preserve">/</w:t>
      </w:r>
      <w:r>
        <w:rPr>
          <w:rStyle w:val="NormalTok"/>
        </w:rPr>
        <w:t xml:space="preserve">step</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A_n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radial_solution </w:t>
      </w:r>
      <w:r>
        <w:rPr>
          <w:rStyle w:val="OperatorTok"/>
        </w:rPr>
        <w:t xml:space="preserve">=</w:t>
      </w:r>
      <w:r>
        <w:rPr>
          <w:rStyle w:val="NormalTok"/>
        </w:rPr>
        <w:t xml:space="preserve"> r</w:t>
      </w:r>
      <w:r>
        <w:rPr>
          <w:rStyle w:val="OperatorTok"/>
        </w:rPr>
        <w:t xml:space="preserve">**</w:t>
      </w:r>
      <w:r>
        <w:rPr>
          <w:rStyle w:val="NormalTok"/>
        </w:rPr>
        <w:t xml:space="preserve">n</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w:t>
      </w:r>
      <w:r>
        <w:rPr>
          <w:rStyle w:val="FloatTok"/>
        </w:rPr>
        <w:t xml:space="preserve">0.1</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B_n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for negative n</w:t>
      </w:r>
      <w:r>
        <w:br/>
      </w:r>
      <w:r>
        <w:br/>
      </w:r>
      <w:r>
        <w:rPr>
          <w:rStyle w:val="NormalTok"/>
        </w:rPr>
        <w:t xml:space="preserve">    radial_solution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2963333"/>
            <wp:effectExtent b="0" l="0" r="0" t="0"/>
            <wp:docPr descr="png" title="" id="12" name="Picture"/>
            <a:graphic>
              <a:graphicData uri="http://schemas.openxmlformats.org/drawingml/2006/picture">
                <pic:pic>
                  <pic:nvPicPr>
                    <pic:cNvPr descr="../images/activity-sep_var_spherical_activity-sep_var_spherical_tmp_2_0.png" id="13" name="Picture"/>
                    <pic:cNvPicPr>
                      <a:picLocks noChangeArrowheads="1" noChangeAspect="1"/>
                    </pic:cNvPicPr>
                  </pic:nvPicPr>
                  <pic:blipFill>
                    <a:blip r:embed="rId11"/>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png</w:t>
      </w:r>
    </w:p>
    <w:bookmarkEnd w:id="14"/>
    <w:bookmarkEnd w:id="15"/>
    <w:bookmarkStart w:id="23" w:name="the-polar-angle-solutions"/>
    <w:p>
      <w:pPr>
        <w:pStyle w:val="Heading2"/>
      </w:pPr>
      <w:r>
        <w:t xml:space="preserve">The Polar Angle Solutions</w:t>
      </w:r>
    </w:p>
    <w:p>
      <w:pPr>
        <w:pStyle w:val="FirstParagraph"/>
      </w:pPr>
      <w:r>
        <w:t xml:space="preserve">These solutions are the associated Legendre Polynomials, presented below.</w:t>
      </w:r>
    </w:p>
    <w:p>
      <w:pPr>
        <w:pStyle w:val="BodyText"/>
      </w:pPr>
      <m:oMathPara>
        <m:oMathParaPr>
          <m:jc m:val="center"/>
        </m:oMathParaPr>
        <m:oMath>
          <m:sSubSup>
            <m:e>
              <m:r>
                <m:t>P</m:t>
              </m:r>
            </m:e>
            <m:sub>
              <m:r>
                <m:t>l</m:t>
              </m:r>
            </m:sub>
            <m:sup>
              <m:r>
                <m:t>m</m:t>
              </m:r>
            </m:sup>
          </m:sSubSup>
          <m:r>
            <m:rPr>
              <m:sty m:val="p"/>
            </m:rPr>
            <m:t>(</m:t>
          </m:r>
          <m:r>
            <m:rPr>
              <m:sty m:val="p"/>
            </m:rPr>
            <m:t>cos</m:t>
          </m:r>
          <m:r>
            <m:t>θ</m:t>
          </m:r>
          <m:r>
            <m:rPr>
              <m:sty m:val="p"/>
            </m:rPr>
            <m:t>)</m:t>
          </m:r>
        </m:oMath>
      </m:oMathPara>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lpmv</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np.pi, </w:t>
      </w:r>
      <w:r>
        <w:rPr>
          <w:rStyle w:val="DecValTok"/>
        </w:rPr>
        <w:t xml:space="preserve">1000</w:t>
      </w:r>
      <w:r>
        <w:rPr>
          <w:rStyle w:val="NormalTok"/>
        </w:rPr>
        <w:t xml:space="preserve">)  </w:t>
      </w:r>
      <w:r>
        <w:rPr>
          <w:rStyle w:val="CommentTok"/>
        </w:rPr>
        <w:t xml:space="preserve"># theta from 0 to pi</w:t>
      </w:r>
      <w:r>
        <w:br/>
      </w:r>
      <w:r>
        <w:rPr>
          <w:rStyle w:val="NormalTok"/>
        </w:rPr>
        <w:t xml:space="preserve">x </w:t>
      </w:r>
      <w:r>
        <w:rPr>
          <w:rStyle w:val="OperatorTok"/>
        </w:rPr>
        <w:t xml:space="preserve">=</w:t>
      </w:r>
      <w:r>
        <w:rPr>
          <w:rStyle w:val="NormalTok"/>
        </w:rPr>
        <w:t xml:space="preserve"> np.cos(theta)  </w:t>
      </w:r>
      <w:r>
        <w:rPr>
          <w:rStyle w:val="CommentTok"/>
        </w:rPr>
        <w:t xml:space="preserve"># x = cos(theta)</w:t>
      </w:r>
      <w:r>
        <w:br/>
      </w:r>
      <w:r>
        <w:br/>
      </w:r>
      <w:r>
        <w:rPr>
          <w:rStyle w:val="CommentTok"/>
        </w:rPr>
        <w:t xml:space="preserve"># Define a set of (l, m) pairs to plot</w:t>
      </w:r>
      <w:r>
        <w:br/>
      </w:r>
      <w:r>
        <w:rPr>
          <w:rStyle w:val="NormalTok"/>
        </w:rPr>
        <w:t xml:space="preserve">lm_pairs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l, m </w:t>
      </w:r>
      <w:r>
        <w:rPr>
          <w:rStyle w:val="KeywordTok"/>
        </w:rPr>
        <w:t xml:space="preserve">in</w:t>
      </w:r>
      <w:r>
        <w:rPr>
          <w:rStyle w:val="NormalTok"/>
        </w:rPr>
        <w:t xml:space="preserve"> lm_pairs:</w:t>
      </w:r>
      <w:r>
        <w:br/>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l:  </w:t>
      </w:r>
      <w:r>
        <w:rPr>
          <w:rStyle w:val="CommentTok"/>
        </w:rPr>
        <w:t xml:space="preserve"># The associated Legendre functions are only defined for m &lt;= l</w:t>
      </w:r>
      <w:r>
        <w:br/>
      </w:r>
      <w:r>
        <w:rPr>
          <w:rStyle w:val="NormalTok"/>
        </w:rPr>
        <w:t xml:space="preserve">        plt.plot(theta, lpmv(m, l, x), label</w:t>
      </w:r>
      <w:r>
        <w:rPr>
          <w:rStyle w:val="OperatorTok"/>
        </w:rPr>
        <w:t xml:space="preserve">=</w:t>
      </w:r>
      <w:r>
        <w:rPr>
          <w:rStyle w:val="SpecialStringTok"/>
        </w:rPr>
        <w:t xml:space="preserve">f'$P_</w:t>
      </w:r>
      <w:r>
        <w:rPr>
          <w:rStyle w:val="CharTok"/>
        </w:rPr>
        <w:t xml:space="preserve">{{</w:t>
      </w:r>
      <w:r>
        <w:rPr>
          <w:rStyle w:val="SpecialCharTok"/>
        </w:rPr>
        <w:t xml:space="preserve">{</w:t>
      </w:r>
      <w:r>
        <w:rPr>
          <w:rStyle w:val="NormalTok"/>
        </w:rPr>
        <w:t xml:space="preserve">l</w:t>
      </w:r>
      <w:r>
        <w:rPr>
          <w:rStyle w:val="SpecialCharTok"/>
        </w:rPr>
        <w:t xml:space="preserve">}</w:t>
      </w:r>
      <w:r>
        <w:rPr>
          <w:rStyle w:val="CharTok"/>
        </w:rPr>
        <w:t xml:space="preserve">}}</w:t>
      </w:r>
      <w:r>
        <w:rPr>
          <w:rStyle w:val="SpecialStringTok"/>
        </w:rPr>
        <w:t xml:space="preserve">^</w:t>
      </w:r>
      <w:r>
        <w:rPr>
          <w:rStyle w:val="CharTok"/>
        </w:rPr>
        <w:t xml:space="preserve">{{</w:t>
      </w:r>
      <w:r>
        <w:rPr>
          <w:rStyle w:val="SpecialCharTok"/>
        </w:rPr>
        <w:t xml:space="preserve">{</w:t>
      </w:r>
      <w:r>
        <w:rPr>
          <w:rStyle w:val="NormalTok"/>
        </w:rPr>
        <w:t xml:space="preserve">m</w:t>
      </w:r>
      <w:r>
        <w:rPr>
          <w:rStyle w:val="SpecialCharTok"/>
        </w:rPr>
        <w:t xml:space="preserve">}</w:t>
      </w:r>
      <w:r>
        <w:rPr>
          <w:rStyle w:val="CharTok"/>
        </w:rPr>
        <w:t xml:space="preserve">}}</w:t>
      </w:r>
      <w:r>
        <w:rPr>
          <w:rStyle w:val="SpecialStringTok"/>
        </w:rPr>
        <w:t xml:space="preserve">$'</w:t>
      </w:r>
      <w:r>
        <w:rPr>
          <w:rStyle w:val="NormalTok"/>
        </w:rPr>
        <w:t xml:space="preserve">)</w:t>
      </w:r>
      <w:r>
        <w:br/>
      </w:r>
      <w:r>
        <w:br/>
      </w:r>
      <w:r>
        <w:rPr>
          <w:rStyle w:val="NormalTok"/>
        </w:rPr>
        <w:t xml:space="preserve">plt.title(</w:t>
      </w:r>
      <w:r>
        <w:rPr>
          <w:rStyle w:val="VerbatimStringTok"/>
        </w:rPr>
        <w:t xml:space="preserve">r'Polar Solutions - </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415250"/>
            <wp:effectExtent b="0" l="0" r="0" t="0"/>
            <wp:docPr descr="png" title="" id="17" name="Picture"/>
            <a:graphic>
              <a:graphicData uri="http://schemas.openxmlformats.org/drawingml/2006/picture">
                <pic:pic>
                  <pic:nvPicPr>
                    <pic:cNvPr descr="../images/activity-sep_var_spherical_activity-sep_var_spherical_tmp_4_0.png" id="18" name="Picture"/>
                    <pic:cNvPicPr>
                      <a:picLocks noChangeArrowheads="1" noChangeAspect="1"/>
                    </pic:cNvPicPr>
                  </pic:nvPicPr>
                  <pic:blipFill>
                    <a:blip r:embed="rId16"/>
                    <a:stretch>
                      <a:fillRect/>
                    </a:stretch>
                  </pic:blipFill>
                  <pic:spPr bwMode="auto">
                    <a:xfrm>
                      <a:off x="0" y="0"/>
                      <a:ext cx="5334000" cy="3415250"/>
                    </a:xfrm>
                    <a:prstGeom prst="rect">
                      <a:avLst/>
                    </a:prstGeom>
                    <a:noFill/>
                    <a:ln w="9525">
                      <a:noFill/>
                      <a:headEnd/>
                      <a:tailEnd/>
                    </a:ln>
                  </pic:spPr>
                </pic:pic>
              </a:graphicData>
            </a:graphic>
          </wp:inline>
        </w:drawing>
      </w:r>
    </w:p>
    <w:p>
      <w:pPr>
        <w:pStyle w:val="ImageCaption"/>
      </w:pPr>
      <w:r>
        <w:t xml:space="preserve">png</w:t>
      </w:r>
    </w:p>
    <w:bookmarkStart w:id="22" w:name="the-azimuthal-angle-solutions"/>
    <w:p>
      <w:pPr>
        <w:pStyle w:val="Heading3"/>
      </w:pPr>
      <w:r>
        <w:t xml:space="preserve">The Azimuthal Angle Solutions</w:t>
      </w:r>
    </w:p>
    <w:p>
      <w:pPr>
        <w:pStyle w:val="FirstParagraph"/>
      </w:pPr>
      <w:r>
        <w:t xml:space="preserve">These solutions are the exponential functions, presented below.</w:t>
      </w:r>
    </w:p>
    <w:p>
      <w:pPr>
        <w:pStyle w:val="BodyText"/>
      </w:pPr>
      <m:oMathPara>
        <m:oMathParaPr>
          <m:jc m:val="center"/>
        </m:oMathParaPr>
        <m:oMath>
          <m:sSup>
            <m:e>
              <m:r>
                <m:t>e</m:t>
              </m:r>
            </m:e>
            <m:sup>
              <m:r>
                <m:t>i</m:t>
              </m:r>
              <m:r>
                <m:t>m</m:t>
              </m:r>
              <m:r>
                <m:t>ϕ</m:t>
              </m:r>
            </m:sup>
          </m:sSup>
        </m:oMath>
      </m:oMathPara>
    </w:p>
    <w:p>
      <w:pPr>
        <w:pStyle w:val="SourceCode"/>
      </w:pPr>
      <w:r>
        <w:rPr>
          <w:rStyle w:val="CommentTok"/>
        </w:rPr>
        <w:t xml:space="preserve"># Define phi from 0 to 2*pi</w:t>
      </w:r>
      <w:r>
        <w:br/>
      </w:r>
      <w:r>
        <w:rPr>
          <w:rStyle w:val="NormalTok"/>
        </w:rPr>
        <w:t xml:space="preserve">phi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br/>
      </w:r>
      <w:r>
        <w:rPr>
          <w:rStyle w:val="CommentTok"/>
        </w:rPr>
        <w:t xml:space="preserve"># Define a set of m values to plot</w:t>
      </w:r>
      <w:r>
        <w:br/>
      </w:r>
      <w:r>
        <w:rPr>
          <w:rStyle w:val="NormalTok"/>
        </w:rPr>
        <w:t xml:space="preserve">m_values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plt.xticks([</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StringTok"/>
        </w:rPr>
        <w:t xml:space="preserve">'0'</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br/>
      </w:r>
      <w:r>
        <w:rPr>
          <w:rStyle w:val="CommentTok"/>
        </w:rPr>
        <w:t xml:space="preserve"># Plot the real and imaginary parts of e^(im*phi) for different m values</w:t>
      </w:r>
      <w:r>
        <w:br/>
      </w:r>
      <w:r>
        <w:rPr>
          <w:rStyle w:val="ControlFlowTok"/>
        </w:rPr>
        <w:t xml:space="preserve">for</w:t>
      </w:r>
      <w:r>
        <w:rPr>
          <w:rStyle w:val="NormalTok"/>
        </w:rPr>
        <w:t xml:space="preserve"> m </w:t>
      </w:r>
      <w:r>
        <w:rPr>
          <w:rStyle w:val="KeywordTok"/>
        </w:rPr>
        <w:t xml:space="preserve">in</w:t>
      </w:r>
      <w:r>
        <w:rPr>
          <w:rStyle w:val="NormalTok"/>
        </w:rPr>
        <w:t xml:space="preserve"> m_values:</w:t>
      </w:r>
      <w:r>
        <w:br/>
      </w:r>
      <w:r>
        <w:rPr>
          <w:rStyle w:val="NormalTok"/>
        </w:rPr>
        <w:t xml:space="preserve">    plt.plot(phi, np.cos(m </w:t>
      </w:r>
      <w:r>
        <w:rPr>
          <w:rStyle w:val="OperatorTok"/>
        </w:rPr>
        <w:t xml:space="preserve">*</w:t>
      </w:r>
      <w:r>
        <w:rPr>
          <w:rStyle w:val="NormalTok"/>
        </w:rPr>
        <w:t xml:space="preserve"> phi),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f'Real, m=</w:t>
      </w:r>
      <w:r>
        <w:rPr>
          <w:rStyle w:val="SpecialCharTok"/>
        </w:rPr>
        <w:t xml:space="preserve">{</w:t>
      </w:r>
      <w:r>
        <w:rPr>
          <w:rStyle w:val="NormalTok"/>
        </w:rPr>
        <w:t xml:space="preserve">m</w:t>
      </w:r>
      <w:r>
        <w:rPr>
          <w:rStyle w:val="SpecialCharTok"/>
        </w:rPr>
        <w:t xml:space="preserve">}</w:t>
      </w:r>
      <w:r>
        <w:rPr>
          <w:rStyle w:val="SpecialStringTok"/>
        </w:rPr>
        <w:t xml:space="preserve">'</w:t>
      </w:r>
      <w:r>
        <w:rPr>
          <w:rStyle w:val="NormalTok"/>
        </w:rPr>
        <w:t xml:space="preserve">)</w:t>
      </w:r>
      <w:r>
        <w:br/>
      </w:r>
      <w:r>
        <w:br/>
      </w:r>
      <w:r>
        <w:rPr>
          <w:rStyle w:val="NormalTok"/>
        </w:rPr>
        <w:t xml:space="preserve">plt.title(</w:t>
      </w:r>
      <w:r>
        <w:rPr>
          <w:rStyle w:val="StringTok"/>
        </w:rPr>
        <w:t xml:space="preserve">'Azimuthal Solutions - Re($e^{im</w:t>
      </w:r>
      <w:r>
        <w:rPr>
          <w:rStyle w:val="ErrorTok"/>
        </w:rPr>
        <w:t xml:space="preserve">\</w:t>
      </w:r>
      <w:r>
        <w:rPr>
          <w:rStyle w:val="StringTok"/>
        </w:rPr>
        <w:t xml:space="preserve">phi}$)'</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ErrorTok"/>
        </w:rPr>
        <w:t xml:space="preserve">\</w:t>
      </w:r>
      <w:r>
        <w:rPr>
          <w:rStyle w:val="VerbatimStringTok"/>
        </w:rPr>
        <w:t xml:space="preserve">phi</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StringTok"/>
        </w:rPr>
        <w:t xml:space="preserve">'Value'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418441"/>
            <wp:effectExtent b="0" l="0" r="0" t="0"/>
            <wp:docPr descr="png" title="" id="20" name="Picture"/>
            <a:graphic>
              <a:graphicData uri="http://schemas.openxmlformats.org/drawingml/2006/picture">
                <pic:pic>
                  <pic:nvPicPr>
                    <pic:cNvPr descr="../images/activity-sep_var_spherical_activity-sep_var_spherical_tmp_6_0.png" id="21" name="Picture"/>
                    <pic:cNvPicPr>
                      <a:picLocks noChangeArrowheads="1" noChangeAspect="1"/>
                    </pic:cNvPicPr>
                  </pic:nvPicPr>
                  <pic:blipFill>
                    <a:blip r:embed="rId19"/>
                    <a:stretch>
                      <a:fillRect/>
                    </a:stretch>
                  </pic:blipFill>
                  <pic:spPr bwMode="auto">
                    <a:xfrm>
                      <a:off x="0" y="0"/>
                      <a:ext cx="5334000" cy="3418441"/>
                    </a:xfrm>
                    <a:prstGeom prst="rect">
                      <a:avLst/>
                    </a:prstGeom>
                    <a:noFill/>
                    <a:ln w="9525">
                      <a:noFill/>
                      <a:headEnd/>
                      <a:tailEnd/>
                    </a:ln>
                  </pic:spPr>
                </pic:pic>
              </a:graphicData>
            </a:graphic>
          </wp:inline>
        </w:drawing>
      </w:r>
    </w:p>
    <w:p>
      <w:pPr>
        <w:pStyle w:val="ImageCaption"/>
      </w:pPr>
      <w:r>
        <w:t xml:space="preserve">png</w:t>
      </w:r>
    </w:p>
    <w:bookmarkEnd w:id="22"/>
    <w:bookmarkEnd w:id="23"/>
    <w:bookmarkStart w:id="28" w:name="azimuthally-symmetric-solutions"/>
    <w:p>
      <w:pPr>
        <w:pStyle w:val="Heading2"/>
      </w:pPr>
      <w:r>
        <w:t xml:space="preserve">Azimuthally Symmetric Solutions</w:t>
      </w:r>
    </w:p>
    <w:p>
      <w:pPr>
        <w:pStyle w:val="FirstParagraph"/>
      </w:pPr>
      <w:r>
        <w:t xml:space="preserve">In the case of azimuthally symmetric solutions, the potential is independent of</w:t>
      </w:r>
      <w:r>
        <w:t xml:space="preserve"> </w:t>
      </w:r>
      <m:oMath>
        <m:r>
          <m:t>ϕ</m:t>
        </m:r>
      </m:oMath>
      <w:r>
        <w:t xml:space="preserve"> </w:t>
      </w:r>
      <w:r>
        <w:t xml:space="preserve">and the solutions are of the form:</w:t>
      </w:r>
    </w:p>
    <w:p>
      <w:pPr>
        <w:pStyle w:val="BodyText"/>
      </w:pPr>
      <m:oMathPara>
        <m:oMathParaPr>
          <m:jc m:val="center"/>
        </m:oMathParaPr>
        <m:oMath>
          <m:r>
            <m:t>V</m:t>
          </m:r>
          <m:r>
            <m:rPr>
              <m:sty m:val="p"/>
            </m:rPr>
            <m:t>(</m:t>
          </m:r>
          <m:r>
            <m:t>r</m:t>
          </m:r>
          <m:r>
            <m:rPr>
              <m:sty m:val="p"/>
            </m:rPr>
            <m:t>,</m:t>
          </m:r>
          <m:r>
            <m:t>θ</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d>
                    <m:dPr>
                      <m:begChr m:val="("/>
                      <m:sepChr m:val=""/>
                      <m:endChr m:val=")"/>
                      <m:grow/>
                    </m:dPr>
                    <m:e>
                      <m:sSub>
                        <m:e>
                          <m:r>
                            <m:t>A</m:t>
                          </m:r>
                        </m:e>
                        <m:sub>
                          <m:r>
                            <m:t>n</m:t>
                          </m:r>
                          <m:r>
                            <m:t>l</m:t>
                          </m:r>
                        </m:sub>
                      </m:sSub>
                      <m:sSup>
                        <m:e>
                          <m:r>
                            <m:t>r</m:t>
                          </m:r>
                        </m:e>
                        <m:sup>
                          <m:r>
                            <m:t>n</m:t>
                          </m:r>
                        </m:sup>
                      </m:sSup>
                      <m:r>
                        <m:rPr>
                          <m:sty m:val="p"/>
                        </m:rPr>
                        <m:t>+</m:t>
                      </m:r>
                      <m:f>
                        <m:fPr>
                          <m:type m:val="bar"/>
                        </m:fPr>
                        <m:num>
                          <m:sSub>
                            <m:e>
                              <m:r>
                                <m:t>B</m:t>
                              </m:r>
                            </m:e>
                            <m:sub>
                              <m:r>
                                <m:t>n</m:t>
                              </m:r>
                              <m:r>
                                <m:t>l</m:t>
                              </m:r>
                            </m:sub>
                          </m:sSub>
                        </m:num>
                        <m:den>
                          <m:sSup>
                            <m:e>
                              <m:r>
                                <m:t>r</m:t>
                              </m:r>
                            </m:e>
                            <m:sup>
                              <m:r>
                                <m:t>n</m:t>
                              </m:r>
                              <m:r>
                                <m:rPr>
                                  <m:sty m:val="p"/>
                                </m:rPr>
                                <m:t>+</m:t>
                              </m:r>
                              <m:r>
                                <m:t>1</m:t>
                              </m:r>
                            </m:sup>
                          </m:sSup>
                        </m:den>
                      </m:f>
                    </m:e>
                  </m:d>
                </m:e>
              </m:nary>
            </m:e>
          </m:nary>
          <m:sSub>
            <m:e>
              <m:r>
                <m:t>P</m:t>
              </m:r>
            </m:e>
            <m:sub>
              <m:r>
                <m:t>l</m:t>
              </m:r>
            </m:sub>
          </m:sSub>
          <m:r>
            <m:rPr>
              <m:sty m:val="p"/>
            </m:rPr>
            <m:t>(</m:t>
          </m:r>
          <m:r>
            <m:rPr>
              <m:sty m:val="p"/>
            </m:rPr>
            <m:t>cos</m:t>
          </m:r>
          <m:r>
            <m:t>θ</m:t>
          </m:r>
          <m:r>
            <m:rPr>
              <m:sty m:val="p"/>
            </m:rPr>
            <m:t>)</m:t>
          </m:r>
        </m:oMath>
      </m:oMathPara>
    </w:p>
    <w:p>
      <w:pPr>
        <w:pStyle w:val="FirstParagraph"/>
      </w:pPr>
      <w:r>
        <w:t xml:space="preserve">where</w:t>
      </w:r>
      <w:r>
        <w:t xml:space="preserve"> </w:t>
      </w:r>
      <m:oMath>
        <m:sSub>
          <m:e>
            <m:r>
              <m:t>P</m:t>
            </m:r>
          </m:e>
          <m:sub>
            <m:r>
              <m:t>l</m:t>
            </m:r>
          </m:sub>
        </m:sSub>
        <m:r>
          <m:rPr>
            <m:sty m:val="p"/>
          </m:rPr>
          <m:t>(</m:t>
        </m:r>
        <m:r>
          <m:rPr>
            <m:sty m:val="p"/>
          </m:rPr>
          <m:t>cos</m:t>
        </m:r>
        <m:r>
          <m:t>θ</m:t>
        </m:r>
        <m:r>
          <m:rPr>
            <m:sty m:val="p"/>
          </m:rPr>
          <m:t>)</m:t>
        </m:r>
      </m:oMath>
      <w:r>
        <w:t xml:space="preserve"> </w:t>
      </w:r>
      <w:r>
        <w:t xml:space="preserve">are the</w:t>
      </w:r>
      <w:r>
        <w:t xml:space="preserve"> </w:t>
      </w:r>
      <w:hyperlink r:id="rId24">
        <w:r>
          <w:rPr>
            <w:rStyle w:val="Hyperlink"/>
          </w:rPr>
          <w:t xml:space="preserve">Legendre polynomials</w:t>
        </w:r>
      </w:hyperlink>
      <w:r>
        <w:t xml:space="preserve">. The solutions are plotted below, but this time in 2D. You can imagine those solutions spun around the z-axis. We will exclusively use these solutions for the remainder of this activity because they make visualization easier.</w:t>
      </w:r>
    </w:p>
    <w:p>
      <w:pPr>
        <w:pStyle w:val="BodyText"/>
      </w:pPr>
      <w:r>
        <w:t xml:space="preserve">We can see here why</w:t>
      </w:r>
      <w:r>
        <w:t xml:space="preserve"> </w:t>
      </w:r>
      <m:oMath>
        <m:sSub>
          <m:e>
            <m:r>
              <m:t>P</m:t>
            </m:r>
          </m:e>
          <m:sub>
            <m:r>
              <m:t>0</m:t>
            </m:r>
          </m:sub>
        </m:sSub>
      </m:oMath>
      <w:r>
        <w:t xml:space="preserve"> </w:t>
      </w:r>
      <w:r>
        <w:t xml:space="preserve">is the only solution for a perfectly spherical charge distribution. The other solutions are not spherically symmetric. It’s also possible to see where the dipole moment is in the</w:t>
      </w:r>
      <w:r>
        <w:t xml:space="preserve"> </w:t>
      </w:r>
      <m:oMath>
        <m:sSub>
          <m:e>
            <m:r>
              <m:t>P</m:t>
            </m:r>
          </m:e>
          <m:sub>
            <m:r>
              <m:t>1</m:t>
            </m:r>
          </m:sub>
        </m:sSub>
      </m:oMath>
      <w:r>
        <w:t xml:space="preserve"> </w:t>
      </w:r>
      <w:r>
        <w:t xml:space="preserve">solution; notice it’s spread out a bit.</w:t>
      </w:r>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legendre</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rPr>
          <w:rStyle w:val="NormalTok"/>
        </w:rPr>
        <w:t xml:space="preserve">x </w:t>
      </w:r>
      <w:r>
        <w:rPr>
          <w:rStyle w:val="OperatorTok"/>
        </w:rPr>
        <w:t xml:space="preserve">=</w:t>
      </w:r>
      <w:r>
        <w:rPr>
          <w:rStyle w:val="NormalTok"/>
        </w:rPr>
        <w:t xml:space="preserve"> np.cos(theta)</w:t>
      </w:r>
      <w:r>
        <w:br/>
      </w:r>
      <w:r>
        <w:br/>
      </w:r>
      <w:r>
        <w:rPr>
          <w:rStyle w:val="CommentTok"/>
        </w:rPr>
        <w:t xml:space="preserve"># Define a set of l values to plot</w:t>
      </w:r>
      <w:r>
        <w:br/>
      </w:r>
      <w:r>
        <w:rPr>
          <w:rStyle w:val="NormalTok"/>
        </w:rPr>
        <w:t xml:space="preserve">l_values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br/>
      </w:r>
      <w:r>
        <w:rPr>
          <w:rStyle w:val="CommentTok"/>
        </w:rPr>
        <w:t xml:space="preserve"># Create a polar subplot</w:t>
      </w:r>
      <w:r>
        <w:br/>
      </w:r>
      <w:r>
        <w:rPr>
          <w:rStyle w:val="NormalTok"/>
        </w:rPr>
        <w:t xml:space="preserve">ax </w:t>
      </w:r>
      <w:r>
        <w:rPr>
          <w:rStyle w:val="OperatorTok"/>
        </w:rPr>
        <w:t xml:space="preserve">=</w:t>
      </w:r>
      <w:r>
        <w:rPr>
          <w:rStyle w:val="NormalTok"/>
        </w:rPr>
        <w:t xml:space="preserve"> plt.subplot(</w:t>
      </w:r>
      <w:r>
        <w:rPr>
          <w:rStyle w:val="DecValTok"/>
        </w:rPr>
        <w:t xml:space="preserve">111</w:t>
      </w:r>
      <w:r>
        <w:rPr>
          <w:rStyle w:val="NormalTok"/>
        </w:rPr>
        <w:t xml:space="preserve">, projection</w:t>
      </w:r>
      <w:r>
        <w:rPr>
          <w:rStyle w:val="OperatorTok"/>
        </w:rPr>
        <w:t xml:space="preserve">=</w:t>
      </w:r>
      <w:r>
        <w:rPr>
          <w:rStyle w:val="StringTok"/>
        </w:rPr>
        <w:t xml:space="preserve">'polar'</w:t>
      </w:r>
      <w:r>
        <w:rPr>
          <w:rStyle w:val="NormalTok"/>
        </w:rPr>
        <w:t xml:space="preserve">)</w:t>
      </w:r>
      <w:r>
        <w:br/>
      </w:r>
      <w:r>
        <w:br/>
      </w:r>
      <w:r>
        <w:rPr>
          <w:rStyle w:val="ControlFlowTok"/>
        </w:rPr>
        <w:t xml:space="preserve">for</w:t>
      </w:r>
      <w:r>
        <w:rPr>
          <w:rStyle w:val="NormalTok"/>
        </w:rPr>
        <w:t xml:space="preserve"> l </w:t>
      </w:r>
      <w:r>
        <w:rPr>
          <w:rStyle w:val="KeywordTok"/>
        </w:rPr>
        <w:t xml:space="preserve">in</w:t>
      </w:r>
      <w:r>
        <w:rPr>
          <w:rStyle w:val="NormalTok"/>
        </w:rPr>
        <w:t xml:space="preserve"> l_values:</w:t>
      </w:r>
      <w:r>
        <w:br/>
      </w:r>
      <w:r>
        <w:rPr>
          <w:rStyle w:val="NormalTok"/>
        </w:rPr>
        <w:t xml:space="preserve">    </w:t>
      </w:r>
      <w:r>
        <w:rPr>
          <w:rStyle w:val="CommentTok"/>
        </w:rPr>
        <w:t xml:space="preserve"># Generate Legendre Polynomial</w:t>
      </w:r>
      <w:r>
        <w:br/>
      </w:r>
      <w:r>
        <w:rPr>
          <w:rStyle w:val="NormalTok"/>
        </w:rPr>
        <w:t xml:space="preserve">    P_l </w:t>
      </w:r>
      <w:r>
        <w:rPr>
          <w:rStyle w:val="OperatorTok"/>
        </w:rPr>
        <w:t xml:space="preserve">=</w:t>
      </w:r>
      <w:r>
        <w:rPr>
          <w:rStyle w:val="NormalTok"/>
        </w:rPr>
        <w:t xml:space="preserve"> legendre(l)</w:t>
      </w:r>
      <w:r>
        <w:br/>
      </w:r>
      <w:r>
        <w:rPr>
          <w:rStyle w:val="NormalTok"/>
        </w:rPr>
        <w:t xml:space="preserve">    </w:t>
      </w:r>
      <w:r>
        <w:rPr>
          <w:rStyle w:val="CommentTok"/>
        </w:rPr>
        <w:t xml:space="preserve"># Evaluate the polynomial at x = cos(theta)</w:t>
      </w:r>
      <w:r>
        <w:br/>
      </w:r>
      <w:r>
        <w:rPr>
          <w:rStyle w:val="NormalTok"/>
        </w:rPr>
        <w:t xml:space="preserve">    y </w:t>
      </w:r>
      <w:r>
        <w:rPr>
          <w:rStyle w:val="OperatorTok"/>
        </w:rPr>
        <w:t xml:space="preserve">=</w:t>
      </w:r>
      <w:r>
        <w:rPr>
          <w:rStyle w:val="NormalTok"/>
        </w:rPr>
        <w:t xml:space="preserve"> P_l(x)</w:t>
      </w:r>
      <w:r>
        <w:br/>
      </w:r>
      <w:r>
        <w:rPr>
          <w:rStyle w:val="NormalTok"/>
        </w:rPr>
        <w:t xml:space="preserve">    ax.plot(theta, y, label</w:t>
      </w:r>
      <w:r>
        <w:rPr>
          <w:rStyle w:val="OperatorTok"/>
        </w:rPr>
        <w:t xml:space="preserve">=</w:t>
      </w:r>
      <w:r>
        <w:rPr>
          <w:rStyle w:val="SpecialStringTok"/>
        </w:rPr>
        <w:t xml:space="preserve">f'$P_</w:t>
      </w:r>
      <w:r>
        <w:rPr>
          <w:rStyle w:val="SpecialCharTok"/>
        </w:rPr>
        <w:t xml:space="preserve">{</w:t>
      </w:r>
      <w:r>
        <w:rPr>
          <w:rStyle w:val="NormalTok"/>
        </w:rPr>
        <w:t xml:space="preserve">l</w:t>
      </w:r>
      <w:r>
        <w:rPr>
          <w:rStyle w:val="SpecialCharTok"/>
        </w:rPr>
        <w:t xml:space="preserve">}</w:t>
      </w:r>
      <w:r>
        <w:rPr>
          <w:rStyle w:val="SpecialStringTok"/>
        </w:rPr>
        <w:t xml:space="preserve">(</w:t>
      </w:r>
      <w:r>
        <w:rPr>
          <w:rStyle w:val="ErrorTok"/>
        </w:rPr>
        <w:t xml:space="preserve">\</w:t>
      </w:r>
      <w:r>
        <w:rPr>
          <w:rStyle w:val="SpecialStringTok"/>
        </w:rPr>
        <w:t xml:space="preserve">cos </w:t>
      </w:r>
      <w:r>
        <w:rPr>
          <w:rStyle w:val="CharTok"/>
        </w:rPr>
        <w:t xml:space="preserve">\\</w:t>
      </w:r>
      <w:r>
        <w:rPr>
          <w:rStyle w:val="SpecialStringTok"/>
        </w:rPr>
        <w:t xml:space="preserve">theta)$'</w:t>
      </w:r>
      <w:r>
        <w:rPr>
          <w:rStyle w:val="NormalTok"/>
        </w:rPr>
        <w:t xml:space="preserve">)</w:t>
      </w:r>
      <w:r>
        <w:br/>
      </w:r>
      <w:r>
        <w:br/>
      </w:r>
      <w:r>
        <w:rPr>
          <w:rStyle w:val="NormalTok"/>
        </w:rPr>
        <w:t xml:space="preserve">ax.set_title(</w:t>
      </w:r>
      <w:r>
        <w:rPr>
          <w:rStyle w:val="StringTok"/>
        </w:rPr>
        <w:t xml:space="preserve">'Legendre Polynomials in Polar Coordinates'</w:t>
      </w:r>
      <w:r>
        <w:rPr>
          <w:rStyle w:val="NormalTok"/>
        </w:rPr>
        <w:t xml:space="preserve">)</w:t>
      </w:r>
      <w:r>
        <w:br/>
      </w:r>
      <w:r>
        <w:rPr>
          <w:rStyle w:val="NormalTok"/>
        </w:rPr>
        <w:t xml:space="preserve">ax.legend(loc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plt.show()</w:t>
      </w:r>
    </w:p>
    <w:p>
      <w:pPr>
        <w:pStyle w:val="CaptionedFigure"/>
      </w:pPr>
      <w:r>
        <w:drawing>
          <wp:inline>
            <wp:extent cx="5033818" cy="5126181"/>
            <wp:effectExtent b="0" l="0" r="0" t="0"/>
            <wp:docPr descr="png" title="" id="26" name="Picture"/>
            <a:graphic>
              <a:graphicData uri="http://schemas.openxmlformats.org/drawingml/2006/picture">
                <pic:pic>
                  <pic:nvPicPr>
                    <pic:cNvPr descr="../images/activity-sep_var_spherical_activity-sep_var_spherical_tmp_8_0.png" id="27" name="Picture"/>
                    <pic:cNvPicPr>
                      <a:picLocks noChangeArrowheads="1" noChangeAspect="1"/>
                    </pic:cNvPicPr>
                  </pic:nvPicPr>
                  <pic:blipFill>
                    <a:blip r:embed="rId25"/>
                    <a:stretch>
                      <a:fillRect/>
                    </a:stretch>
                  </pic:blipFill>
                  <pic:spPr bwMode="auto">
                    <a:xfrm>
                      <a:off x="0" y="0"/>
                      <a:ext cx="5033818" cy="5126181"/>
                    </a:xfrm>
                    <a:prstGeom prst="rect">
                      <a:avLst/>
                    </a:prstGeom>
                    <a:noFill/>
                    <a:ln w="9525">
                      <a:noFill/>
                      <a:headEnd/>
                      <a:tailEnd/>
                    </a:ln>
                  </pic:spPr>
                </pic:pic>
              </a:graphicData>
            </a:graphic>
          </wp:inline>
        </w:drawing>
      </w:r>
    </w:p>
    <w:p>
      <w:pPr>
        <w:pStyle w:val="ImageCaption"/>
      </w:pPr>
      <w:r>
        <w:t xml:space="preserve">png</w:t>
      </w:r>
    </w:p>
    <w:bookmarkEnd w:id="28"/>
    <w:bookmarkStart w:id="30" w:name="Xcbccd19d25576d6ec99130e7ebc9f6d955bb57d"/>
    <w:p>
      <w:pPr>
        <w:pStyle w:val="Heading2"/>
      </w:pPr>
      <w:r>
        <w:t xml:space="preserve">Matching Boundary Conditions and Plotting the Potential</w:t>
      </w:r>
    </w:p>
    <w:p>
      <w:pPr>
        <w:pStyle w:val="FirstParagraph"/>
      </w:pPr>
      <w:r>
        <w:rPr>
          <w:b/>
          <w:bCs/>
        </w:rPr>
        <w:t xml:space="preserve">✅ Do this</w:t>
      </w:r>
    </w:p>
    <w:bookmarkStart w:id="29" w:name="sphere-of-constant-surface-potential"/>
    <w:p>
      <w:pPr>
        <w:pStyle w:val="Heading3"/>
      </w:pPr>
      <w:r>
        <w:t xml:space="preserve">Sphere of constant surface potential</w:t>
      </w:r>
    </w:p>
    <w:p>
      <w:pPr>
        <w:pStyle w:val="FirstParagraph"/>
      </w:pPr>
      <w:r>
        <w:t xml:space="preserve">Consider a sphere of with a radius</w:t>
      </w:r>
      <w:r>
        <w:t xml:space="preserve"> </w:t>
      </w:r>
      <m:oMath>
        <m:r>
          <m:t>a</m:t>
        </m:r>
      </m:oMath>
      <w:r>
        <w:t xml:space="preserve">. If the potential on the surface is</w:t>
      </w:r>
      <w:r>
        <w:t xml:space="preserve"> </w:t>
      </w:r>
      <m:oMath>
        <m:sSub>
          <m:e>
            <m:r>
              <m:t>V</m:t>
            </m:r>
          </m:e>
          <m:sub>
            <m:r>
              <m:t>0</m:t>
            </m:r>
          </m:sub>
        </m:sSub>
      </m:oMath>
      <w:r>
        <w:t xml:space="preserve">, what is the potential inside and outside the sphere?</w:t>
      </w:r>
    </w:p>
    <w:p>
      <w:pPr>
        <w:pStyle w:val="Compact"/>
        <w:numPr>
          <w:ilvl w:val="0"/>
          <w:numId w:val="1001"/>
        </w:numPr>
      </w:pPr>
      <w:r>
        <w:t xml:space="preserve">Consider the radial solutions (what doesn’t blow up?)</w:t>
      </w:r>
    </w:p>
    <w:p>
      <w:pPr>
        <w:pStyle w:val="Compact"/>
        <w:numPr>
          <w:ilvl w:val="0"/>
          <w:numId w:val="1001"/>
        </w:numPr>
      </w:pPr>
      <w:r>
        <w:t xml:space="preserve">Consider the polar angle solutions, what has to be true? What does that say about terms with</w:t>
      </w:r>
      <w:r>
        <w:t xml:space="preserve"> </w:t>
      </w:r>
      <m:oMath>
        <m:r>
          <m:t>l</m:t>
        </m:r>
        <m:r>
          <m:rPr>
            <m:sty m:val="p"/>
          </m:rPr>
          <m:t>&gt;</m:t>
        </m:r>
        <m:r>
          <m:t>0</m:t>
        </m:r>
      </m:oMath>
      <w:r>
        <w:t xml:space="preserve">?</w:t>
      </w:r>
    </w:p>
    <w:p>
      <w:pPr>
        <w:pStyle w:val="Compact"/>
        <w:numPr>
          <w:ilvl w:val="0"/>
          <w:numId w:val="1001"/>
        </w:numPr>
      </w:pPr>
      <w:r>
        <w:t xml:space="preserve">Write down the solution inside and outside the sphere.</w:t>
      </w:r>
    </w:p>
    <w:p>
      <w:pPr>
        <w:pStyle w:val="Compact"/>
        <w:numPr>
          <w:ilvl w:val="0"/>
          <w:numId w:val="1001"/>
        </w:numPr>
      </w:pPr>
      <w:r>
        <w:t xml:space="preserve">Make a heat map plot (in</w:t>
      </w:r>
      <w:r>
        <w:t xml:space="preserve"> </w:t>
      </w:r>
      <m:oMath>
        <m:r>
          <m:t>x</m:t>
        </m:r>
      </m:oMath>
      <w:r>
        <w:t xml:space="preserve"> </w:t>
      </w:r>
      <w:r>
        <w:t xml:space="preserve">and</w:t>
      </w:r>
      <w:r>
        <w:t xml:space="preserve"> </w:t>
      </w:r>
      <m:oMath>
        <m:r>
          <m:t>y</m:t>
        </m:r>
      </m:oMath>
      <w:r>
        <w:t xml:space="preserve">) of the potential inside and outside the sphere. You can set</w:t>
      </w:r>
      <w:r>
        <w:t xml:space="preserve"> </w:t>
      </w:r>
      <m:oMath>
        <m:r>
          <m:t>a</m:t>
        </m:r>
        <m:r>
          <m:rPr>
            <m:sty m:val="p"/>
          </m:rPr>
          <m:t>=</m:t>
        </m:r>
        <m:r>
          <m:t>1</m:t>
        </m:r>
      </m:oMath>
      <w:r>
        <w:t xml:space="preserve"> </w:t>
      </w:r>
      <w:r>
        <w:t xml:space="preserve">and</w:t>
      </w:r>
      <w:r>
        <w:t xml:space="preserve"> </w:t>
      </w:r>
      <m:oMath>
        <m:sSub>
          <m:e>
            <m:r>
              <m:t>V</m:t>
            </m:r>
          </m:e>
          <m:sub>
            <m:r>
              <m:t>0</m:t>
            </m:r>
          </m:sub>
        </m:sSub>
        <m:r>
          <m:rPr>
            <m:sty m:val="p"/>
          </m:rPr>
          <m:t>=</m:t>
        </m:r>
        <m:r>
          <m:t>1</m:t>
        </m:r>
      </m:oMath>
      <w:r>
        <w:t xml:space="preserve"> </w:t>
      </w:r>
      <w:r>
        <w:t xml:space="preserve">if that helps.</w:t>
      </w:r>
    </w:p>
    <w:p>
      <w:pPr>
        <w:pStyle w:val="SourceCode"/>
      </w:pPr>
      <w:r>
        <w:rPr>
          <w:rStyle w:val="CommentTok"/>
        </w:rPr>
        <w:t xml:space="preserve">## your code here</w:t>
      </w:r>
    </w:p>
    <w:p>
      <w:pPr>
        <w:pStyle w:val="SourceCode"/>
      </w:pP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image" Id="rId16" Target="media/rId16.png" /><Relationship Type="http://schemas.openxmlformats.org/officeDocument/2006/relationships/image" Id="rId19" Target="media/rId19.png" /><Relationship Type="http://schemas.openxmlformats.org/officeDocument/2006/relationships/image" Id="rId25" Target="media/rId25.png" /><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_rels/footnotes.xml.rels><?xml version="1.0" encoding="UTF-8"?><Relationships xmlns="http://schemas.openxmlformats.org/package/2006/relationships"><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2025-07-10T17:09:04Z</dcterms:created>
  <dcterms:modified xsi:type="dcterms:W3CDTF">2025-07-10T17:09:04Z</dcterms:modified>
</cp:coreProperties>
</file>

<file path=docProps/custom.xml><?xml version="1.0" encoding="utf-8"?>
<Properties xmlns="http://schemas.openxmlformats.org/officeDocument/2006/custom-properties" xmlns:vt="http://schemas.openxmlformats.org/officeDocument/2006/docPropsVTypes"/>
</file>