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7e0c0c8a602aa64a46f34e5ee14fefd42ee784b"/>
    <w:p>
      <w:pPr>
        <w:pStyle w:val="Heading1"/>
      </w:pPr>
      <w:r>
        <w:t xml:space="preserve">Welcome to Mathematical Modeling in Physics</w:t>
      </w:r>
    </w:p>
    <w:p>
      <w:pPr>
        <w:pStyle w:val="FirstParagraph"/>
      </w:pPr>
      <w:r>
        <w:t xml:space="preserve">PHY 415, called,</w:t>
      </w:r>
      <w:r>
        <w:t xml:space="preserve"> </w:t>
      </w:r>
      <w:r>
        <w:t xml:space="preserve">“Mathematical Methods for Physicists”</w:t>
      </w:r>
      <w:r>
        <w:t xml:space="preserve"> </w:t>
      </w:r>
      <w:r>
        <w:t xml:space="preserve">is a course the brings together many of the mathematical approaches that we commonly use in physics and apply them to variety of problems. In this course, we will take a modeling-based approach where we focus on the mathematical descriptions of physical phenomenon and determine what mathematical and analytical approaches are useful in exploring those models.</w:t>
      </w:r>
    </w:p>
    <w:p>
      <w:pPr>
        <w:pStyle w:val="BodyText"/>
      </w:pPr>
      <w:r>
        <w:t xml:space="preserve">To get a sense of the course, please read all the pages associated with our syllabus.</w: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course, you will learn to:</w:t>
      </w:r>
    </w:p>
    <w:p>
      <w:pPr>
        <w:pStyle w:val="Compact"/>
        <w:numPr>
          <w:ilvl w:val="0"/>
          <w:numId w:val="1001"/>
        </w:numPr>
      </w:pPr>
      <w:r>
        <w:t xml:space="preserve">investigate physical systems using a variety of tools and approaches,</w:t>
      </w:r>
    </w:p>
    <w:p>
      <w:pPr>
        <w:pStyle w:val="Compact"/>
        <w:numPr>
          <w:ilvl w:val="0"/>
          <w:numId w:val="1001"/>
        </w:numPr>
      </w:pPr>
      <w:r>
        <w:t xml:space="preserve">construct and document a reproducible process for those investigations,</w:t>
      </w:r>
    </w:p>
    <w:p>
      <w:pPr>
        <w:pStyle w:val="Compact"/>
        <w:numPr>
          <w:ilvl w:val="0"/>
          <w:numId w:val="1001"/>
        </w:numPr>
      </w:pPr>
      <w:r>
        <w:t xml:space="preserve">use analytical, computational, and graphical approaches to answer specific questions in those investigations,</w:t>
      </w:r>
    </w:p>
    <w:p>
      <w:pPr>
        <w:pStyle w:val="Compact"/>
        <w:numPr>
          <w:ilvl w:val="0"/>
          <w:numId w:val="1001"/>
        </w:numPr>
      </w:pPr>
      <w:r>
        <w:t xml:space="preserve">provide evidence of the quality of work using a variety of sources, and</w:t>
      </w:r>
    </w:p>
    <w:p>
      <w:pPr>
        <w:pStyle w:val="Compact"/>
        <w:numPr>
          <w:ilvl w:val="0"/>
          <w:numId w:val="1001"/>
        </w:numPr>
      </w:pPr>
      <w:r>
        <w:t xml:space="preserve">collaborate effectively and contribute to a inclusive learning environment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2025-07-10T11:47:01Z</dcterms:created>
  <dcterms:modified xsi:type="dcterms:W3CDTF">2025-07-10T11:47:01Z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