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jpg" ContentType="image/jpe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sept-23---notes-maxwells-equations"/>
    <w:p>
      <w:pPr>
        <w:pStyle w:val="Heading1"/>
      </w:pPr>
      <w:r>
        <w:t xml:space="preserve">26 Sept 23 - Notes: Maxwell’s Equations</w:t>
      </w:r>
    </w:p>
    <w:bookmarkStart w:id="21" w:name="electromagnetic-phenomena"/>
    <w:p>
      <w:pPr>
        <w:pStyle w:val="Heading2"/>
      </w:pPr>
      <w:r>
        <w:t xml:space="preserve">Electromagnetic Phenomena</w:t>
      </w:r>
    </w:p>
    <w:p>
      <w:pPr>
        <w:pStyle w:val="FirstParagraph"/>
      </w:pPr>
      <w:r>
        <w:t xml:space="preserve">You have certainly experienced a wide variety of electromagnetic phenomena in your life – both natural (e.g., a sun rise, a rainbow, your hair standing on end) and human-made (e.g., switching on a light, using a microwave, using a cell phone). We now know that we can explain many of those phenomenon using a set of four partial differential equations:</w:t>
      </w:r>
      <w:r>
        <w:t xml:space="preserve"> </w:t>
      </w:r>
      <w:hyperlink r:id="rId9">
        <w:r>
          <w:rPr>
            <w:rStyle w:val="Hyperlink"/>
          </w:rPr>
          <w:t xml:space="preserve">Maxwell’s Equations</w:t>
        </w:r>
      </w:hyperlink>
      <w:r>
        <w:t xml:space="preserve">. These equations describe a new mathematical object: a</w:t>
      </w:r>
      <w:r>
        <w:t xml:space="preserve"> </w:t>
      </w:r>
      <w:hyperlink r:id="rId10">
        <w:r>
          <w:rPr>
            <w:rStyle w:val="Hyperlink"/>
          </w:rPr>
          <w:t xml:space="preserve">field</w:t>
        </w:r>
      </w:hyperlink>
      <w:r>
        <w:t xml:space="preserve">. The models that we develop from this theory are still</w:t>
      </w:r>
      <w:r>
        <w:t xml:space="preserve"> </w:t>
      </w:r>
      <w:hyperlink r:id="rId11">
        <w:r>
          <w:rPr>
            <w:rStyle w:val="Hyperlink"/>
          </w:rPr>
          <w:t xml:space="preserve">Classical</w:t>
        </w:r>
      </w:hyperlink>
      <w:r>
        <w:t xml:space="preserve"> </w:t>
      </w:r>
      <w:r>
        <w:t xml:space="preserve">– in that we don’t consider quantum mechanical effects. Rather we treat the fields as continuous functions of space and time.</w:t>
      </w:r>
    </w:p>
    <w:p>
      <w:pPr>
        <w:pStyle w:val="BodyText"/>
      </w:pPr>
      <w:r>
        <w:t xml:space="preserve">While this might not seem that this classical theory is still useful in modern research, it is often the basis for much of the work done in physics. In fact, some important fusion energy research uses</w:t>
      </w:r>
      <w:r>
        <w:t xml:space="preserve"> </w:t>
      </w:r>
      <w:hyperlink r:id="rId12">
        <w:r>
          <w:rPr>
            <w:rStyle w:val="Hyperlink"/>
          </w:rPr>
          <w:t xml:space="preserve">magnetic confinement</w:t>
        </w:r>
      </w:hyperlink>
      <w:r>
        <w:t xml:space="preserve">, which is effectively a classical electromagnetic phenomenon. The South Korean experimental fusion reactor,</w:t>
      </w:r>
      <w:r>
        <w:t xml:space="preserve"> </w:t>
      </w:r>
      <w:hyperlink r:id="rId13">
        <w:r>
          <w:rPr>
            <w:rStyle w:val="Hyperlink"/>
          </w:rPr>
          <w:t xml:space="preserve">KSTAR</w:t>
        </w:r>
      </w:hyperlink>
      <w:r>
        <w:t xml:space="preserve">, is an example of this type of research, and it recently</w:t>
      </w:r>
      <w:r>
        <w:t xml:space="preserve"> </w:t>
      </w:r>
      <w:hyperlink r:id="rId14">
        <w:r>
          <w:rPr>
            <w:rStyle w:val="Hyperlink"/>
          </w:rPr>
          <w:t xml:space="preserve">sustained temperatures of 100 million degrees Celsius</w:t>
        </w:r>
      </w:hyperlink>
      <w:r>
        <w:t xml:space="preserve">.</w:t>
      </w:r>
    </w:p>
    <w:bookmarkStart w:id="20" w:name="magnetic-confinement-in-fusion-energy"/>
    <w:p>
      <w:pPr>
        <w:pStyle w:val="Heading3"/>
      </w:pPr>
      <w:r>
        <w:t xml:space="preserve">Magnetic Confinement in Fusion Energy</w:t>
      </w:r>
    </w:p>
    <w:p>
      <w:pPr>
        <w:pStyle w:val="FirstParagraph"/>
      </w:pPr>
      <w:hyperlink r:id="rId18">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6" name="Picture"/>
              <a:graphic>
                <a:graphicData uri="http://schemas.openxmlformats.org/drawingml/2006/picture">
                  <pic:pic>
                    <pic:nvPicPr>
                      <pic:cNvPr descr="https://markdown-videos-api.jorgenkh.no/youtube/PWCqwZoE0FY?width=720&amp;height=405" id="17" name="Picture"/>
                      <pic:cNvPicPr>
                        <a:picLocks noChangeArrowheads="1" noChangeAspect="1"/>
                      </pic:cNvPicPr>
                    </pic:nvPicPr>
                    <pic:blipFill>
                      <a:blip r:embed="rId15"/>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8">
        <w:r>
          <w:rPr>
            <w:rStyle w:val="Hyperlink"/>
          </w:rPr>
          <w:t xml:space="preserve">https://inv.tux.pizza/watch?v=PWCqwZoE0FY</w:t>
        </w:r>
      </w:hyperlink>
    </w:p>
    <w:p>
      <w:pPr>
        <w:pStyle w:val="Compact"/>
        <w:numPr>
          <w:ilvl w:val="0"/>
          <w:numId w:val="1001"/>
        </w:numPr>
      </w:pPr>
      <w:r>
        <w:t xml:space="preserve">Commercial Link:</w:t>
      </w:r>
      <w:r>
        <w:t xml:space="preserve"> </w:t>
      </w:r>
      <w:hyperlink r:id="rId19">
        <w:r>
          <w:rPr>
            <w:rStyle w:val="Hyperlink"/>
          </w:rPr>
          <w:t xml:space="preserve">https://youtube.com/watch?v=PWCqwZoE0FY</w:t>
        </w:r>
      </w:hyperlink>
    </w:p>
    <w:bookmarkEnd w:id="20"/>
    <w:bookmarkEnd w:id="21"/>
    <w:bookmarkStart w:id="32" w:name="developing-a-complete-theory"/>
    <w:p>
      <w:pPr>
        <w:pStyle w:val="Heading2"/>
      </w:pPr>
      <w:r>
        <w:t xml:space="preserve">Developing a complete theory</w:t>
      </w:r>
    </w:p>
    <w:p>
      <w:pPr>
        <w:pStyle w:val="FirstParagraph"/>
      </w:pPr>
      <w:r>
        <w:t xml:space="preserve">The work to develop</w:t>
      </w:r>
      <w:r>
        <w:t xml:space="preserve"> </w:t>
      </w:r>
      <w:hyperlink r:id="rId9">
        <w:r>
          <w:rPr>
            <w:rStyle w:val="Hyperlink"/>
          </w:rPr>
          <w:t xml:space="preserve">Maxwell’s Equations</w:t>
        </w:r>
      </w:hyperlink>
      <w:r>
        <w:t xml:space="preserve"> </w:t>
      </w:r>
      <w:r>
        <w:t xml:space="preserve">was substantial and involved not only theoretical developments but confirmations using experiments. A model of reality is only as good as its ability to predict the results of experiments, which classical electromagnetism does very well (up to the point of quantum phenomena). The resulting Maxwell Equations that describe the electric (</w:t>
      </w:r>
      <m:oMath>
        <m:r>
          <m:rPr>
            <m:sty m:val="b"/>
          </m:rPr>
          <m:t>E</m:t>
        </m:r>
      </m:oMath>
      <w:r>
        <w:t xml:space="preserve">) and magnetic (</w:t>
      </w:r>
      <m:oMath>
        <m:r>
          <m:rPr>
            <m:sty m:val="b"/>
          </m:rPr>
          <m:t>B</m:t>
        </m:r>
      </m:oMath>
      <w:r>
        <w:t xml:space="preserve">) fields (in vacuum) are given by:</w:t>
      </w:r>
    </w:p>
    <w:p>
      <w:pPr>
        <w:pStyle w:val="BodyText"/>
      </w:pPr>
      <m:oMathPara>
        <m:oMathParaPr>
          <m:jc m:val="center"/>
        </m:oMathParaPr>
        <m:oMath>
          <m:r>
            <m:rPr>
              <m:nor/>
              <m:sty m:val="b"/>
            </m:rPr>
            <m:t>Differential Form:</m:t>
          </m:r>
        </m:oMath>
      </m:oMathPara>
    </w:p>
    <w:p>
      <w:pPr>
        <w:pStyle w:val="FirstParagraph"/>
      </w:pPr>
      <w:r>
        <w:t xml:space="preserve">Gauss’s Law for Electricity:</w:t>
      </w:r>
    </w:p>
    <w:p>
      <w:pPr>
        <w:pStyle w:val="BodyText"/>
      </w:pPr>
      <m:oMathPara>
        <m:oMathParaPr>
          <m:jc m:val="center"/>
        </m:oMathParaPr>
        <m:oMath>
          <m:r>
            <m:rPr>
              <m:sty m:val="b"/>
            </m:rPr>
            <m:t>∇</m:t>
          </m:r>
          <m:r>
            <m:rPr>
              <m:sty m:val="p"/>
            </m:rPr>
            <m:t>⋅</m:t>
          </m:r>
          <m:r>
            <m:rPr>
              <m:sty m:val="b"/>
            </m:rPr>
            <m:t>E</m:t>
          </m:r>
          <m:r>
            <m:rPr>
              <m:sty m:val="p"/>
            </m:rPr>
            <m:t>=</m:t>
          </m:r>
          <m:f>
            <m:fPr>
              <m:type m:val="bar"/>
            </m:fPr>
            <m:num>
              <m:r>
                <m:t>ρ</m:t>
              </m:r>
            </m:num>
            <m:den>
              <m:sSub>
                <m:e>
                  <m:r>
                    <m:t>ε</m:t>
                  </m:r>
                </m:e>
                <m:sub>
                  <m:r>
                    <m:t>0</m:t>
                  </m:r>
                </m:sub>
              </m:sSub>
            </m:den>
          </m:f>
        </m:oMath>
      </m:oMathPara>
    </w:p>
    <w:p>
      <w:pPr>
        <w:pStyle w:val="FirstParagraph"/>
      </w:pPr>
      <w:r>
        <w:t xml:space="preserve">Gauss’s Law for Magnetism:</w:t>
      </w:r>
    </w:p>
    <w:p>
      <w:pPr>
        <w:pStyle w:val="BodyText"/>
      </w:pPr>
      <m:oMathPara>
        <m:oMathParaPr>
          <m:jc m:val="center"/>
        </m:oMathParaPr>
        <m:oMath>
          <m:r>
            <m:rPr>
              <m:sty m:val="b"/>
            </m:rPr>
            <m:t>∇</m:t>
          </m:r>
          <m:r>
            <m:rPr>
              <m:sty m:val="p"/>
            </m:rPr>
            <m:t>⋅</m:t>
          </m:r>
          <m:r>
            <m:rPr>
              <m:sty m:val="b"/>
            </m:rPr>
            <m:t>B</m:t>
          </m:r>
          <m:r>
            <m:rPr>
              <m:sty m:val="p"/>
            </m:rPr>
            <m:t>=</m:t>
          </m:r>
          <m:r>
            <m:t>0</m:t>
          </m:r>
        </m:oMath>
      </m:oMathPara>
    </w:p>
    <w:p>
      <w:pPr>
        <w:pStyle w:val="FirstParagraph"/>
      </w:pPr>
      <w:r>
        <w:t xml:space="preserve">Faraday’s Law of Electromagnetic Induction:</w:t>
      </w:r>
    </w:p>
    <w:p>
      <w:pPr>
        <w:pStyle w:val="BodyText"/>
      </w:pPr>
      <m:oMathPara>
        <m:oMathParaPr>
          <m:jc m:val="center"/>
        </m:oMathParaPr>
        <m:oMath>
          <m:r>
            <m:rPr>
              <m:sty m:val="b"/>
            </m:rPr>
            <m:t>∇</m:t>
          </m:r>
          <m:r>
            <m:rPr>
              <m:sty m:val="p"/>
            </m:rPr>
            <m:t>×</m:t>
          </m:r>
          <m:r>
            <m:rPr>
              <m:sty m:val="b"/>
            </m:rPr>
            <m:t>E</m:t>
          </m:r>
          <m:r>
            <m:rPr>
              <m:sty m:val="p"/>
            </m:rPr>
            <m:t>=</m:t>
          </m:r>
          <m:r>
            <m:rPr>
              <m:sty m:val="p"/>
            </m:rPr>
            <m:t>−</m:t>
          </m:r>
          <m:f>
            <m:fPr>
              <m:type m:val="bar"/>
            </m:fPr>
            <m:num>
              <m:r>
                <m:rPr>
                  <m:sty m:val="p"/>
                </m:rPr>
                <m:t>∂</m:t>
              </m:r>
              <m:r>
                <m:rPr>
                  <m:sty m:val="b"/>
                </m:rPr>
                <m:t>B</m:t>
              </m:r>
            </m:num>
            <m:den>
              <m:r>
                <m:rPr>
                  <m:sty m:val="p"/>
                </m:rPr>
                <m:t>∂</m:t>
              </m:r>
              <m:r>
                <m:t>t</m:t>
              </m:r>
            </m:den>
          </m:f>
        </m:oMath>
      </m:oMathPara>
    </w:p>
    <w:p>
      <w:pPr>
        <w:pStyle w:val="FirstParagraph"/>
      </w:pPr>
      <w:r>
        <w:t xml:space="preserve">Ampère’s Law with Maxwell’s Addition:</w:t>
      </w:r>
    </w:p>
    <w:p>
      <w:pPr>
        <w:pStyle w:val="BodyText"/>
      </w:pPr>
      <m:oMathPara>
        <m:oMathParaPr>
          <m:jc m:val="center"/>
        </m:oMathParaPr>
        <m:oMath>
          <m:r>
            <m:rPr>
              <m:sty m:val="b"/>
            </m:rPr>
            <m:t>∇</m:t>
          </m:r>
          <m:r>
            <m:rPr>
              <m:sty m:val="p"/>
            </m:rPr>
            <m:t>×</m:t>
          </m:r>
          <m:r>
            <m:rPr>
              <m:sty m:val="b"/>
            </m:rPr>
            <m:t>B</m:t>
          </m:r>
          <m:r>
            <m:rPr>
              <m:sty m:val="p"/>
            </m:rPr>
            <m:t>=</m:t>
          </m:r>
          <m:sSub>
            <m:e>
              <m:r>
                <m:t>μ</m:t>
              </m:r>
            </m:e>
            <m:sub>
              <m:r>
                <m:t>0</m:t>
              </m:r>
            </m:sub>
          </m:sSub>
          <m:r>
            <m:rPr>
              <m:sty m:val="b"/>
            </m:rPr>
            <m:t>J</m:t>
          </m:r>
          <m:r>
            <m:rPr>
              <m:sty m:val="p"/>
            </m:rPr>
            <m:t>+</m:t>
          </m:r>
          <m:sSub>
            <m:e>
              <m:r>
                <m:t>μ</m:t>
              </m:r>
            </m:e>
            <m:sub>
              <m:r>
                <m:t>0</m:t>
              </m:r>
            </m:sub>
          </m:sSub>
          <m:sSub>
            <m:e>
              <m:r>
                <m:t>ε</m:t>
              </m:r>
            </m:e>
            <m:sub>
              <m:r>
                <m:t>0</m:t>
              </m:r>
            </m:sub>
          </m:sSub>
          <m:f>
            <m:fPr>
              <m:type m:val="bar"/>
            </m:fPr>
            <m:num>
              <m:r>
                <m:rPr>
                  <m:sty m:val="p"/>
                </m:rPr>
                <m:t>∂</m:t>
              </m:r>
              <m:r>
                <m:rPr>
                  <m:sty m:val="b"/>
                </m:rPr>
                <m:t>E</m:t>
              </m:r>
            </m:num>
            <m:den>
              <m:r>
                <m:rPr>
                  <m:sty m:val="p"/>
                </m:rPr>
                <m:t>∂</m:t>
              </m:r>
              <m:r>
                <m:t>t</m:t>
              </m:r>
            </m:den>
          </m:f>
        </m:oMath>
      </m:oMathPara>
    </w:p>
    <w:p>
      <w:pPr>
        <w:pStyle w:val="FirstParagraph"/>
      </w:pPr>
      <m:oMathPara>
        <m:oMathParaPr>
          <m:jc m:val="center"/>
        </m:oMathParaPr>
        <m:oMath>
          <m:r>
            <m:rPr>
              <m:nor/>
              <m:sty m:val="b"/>
            </m:rPr>
            <m:t>Integral Form:</m:t>
          </m:r>
        </m:oMath>
      </m:oMathPara>
    </w:p>
    <w:p>
      <w:pPr>
        <w:pStyle w:val="FirstParagraph"/>
      </w:pPr>
      <w:r>
        <w:t xml:space="preserve">Gauss’s Law for Electricity:</w:t>
      </w:r>
    </w:p>
    <w:p>
      <w:pPr>
        <w:pStyle w:val="BodyText"/>
      </w:pPr>
      <m:oMathPara>
        <m:oMathParaPr>
          <m:jc m:val="center"/>
        </m:oMathParaPr>
        <m:oMath>
          <m:r>
            <m:rPr>
              <m:sty m:val="p"/>
            </m:rPr>
            <m:t>∮</m:t>
          </m:r>
          <m:r>
            <m:rPr>
              <m:sty m:val="b"/>
            </m:rPr>
            <m:t>E</m:t>
          </m:r>
          <m:r>
            <m:rPr>
              <m:sty m:val="p"/>
            </m:rPr>
            <m:t>⋅</m:t>
          </m:r>
          <m:r>
            <m:t>d</m:t>
          </m:r>
          <m:r>
            <m:rPr>
              <m:sty m:val="b"/>
            </m:rPr>
            <m:t>A</m:t>
          </m:r>
          <m:r>
            <m:rPr>
              <m:sty m:val="p"/>
            </m:rPr>
            <m:t>=</m:t>
          </m:r>
          <m:f>
            <m:fPr>
              <m:type m:val="bar"/>
            </m:fPr>
            <m:num>
              <m:r>
                <m:t>1</m:t>
              </m:r>
            </m:num>
            <m:den>
              <m:sSub>
                <m:e>
                  <m:r>
                    <m:t>ε</m:t>
                  </m:r>
                </m:e>
                <m:sub>
                  <m:r>
                    <m:t>0</m:t>
                  </m:r>
                </m:sub>
              </m:sSub>
            </m:den>
          </m:f>
          <m:r>
            <m:rPr>
              <m:sty m:val="p"/>
            </m:rPr>
            <m:t>∫</m:t>
          </m:r>
          <m:r>
            <m:t>ρ</m:t>
          </m:r>
          <m:r>
            <m:t>d</m:t>
          </m:r>
          <m:r>
            <m:t>V</m:t>
          </m:r>
        </m:oMath>
      </m:oMathPara>
    </w:p>
    <w:p>
      <w:pPr>
        <w:pStyle w:val="FirstParagraph"/>
      </w:pPr>
      <w:r>
        <w:t xml:space="preserve">Gauss’s Law for Magnetism:</w:t>
      </w:r>
    </w:p>
    <w:p>
      <w:pPr>
        <w:pStyle w:val="BodyText"/>
      </w:pPr>
      <m:oMathPara>
        <m:oMathParaPr>
          <m:jc m:val="center"/>
        </m:oMathParaPr>
        <m:oMath>
          <m:r>
            <m:rPr>
              <m:sty m:val="p"/>
            </m:rPr>
            <m:t>∮</m:t>
          </m:r>
          <m:r>
            <m:rPr>
              <m:sty m:val="b"/>
            </m:rPr>
            <m:t>B</m:t>
          </m:r>
          <m:r>
            <m:rPr>
              <m:sty m:val="p"/>
            </m:rPr>
            <m:t>⋅</m:t>
          </m:r>
          <m:r>
            <m:t>d</m:t>
          </m:r>
          <m:r>
            <m:rPr>
              <m:sty m:val="b"/>
            </m:rPr>
            <m:t>A</m:t>
          </m:r>
          <m:r>
            <m:rPr>
              <m:sty m:val="p"/>
            </m:rPr>
            <m:t>=</m:t>
          </m:r>
          <m:r>
            <m:t>0</m:t>
          </m:r>
        </m:oMath>
      </m:oMathPara>
    </w:p>
    <w:p>
      <w:pPr>
        <w:pStyle w:val="FirstParagraph"/>
      </w:pPr>
      <w:r>
        <w:t xml:space="preserve">Faraday’s Law of Electromagnetic Induction:</w:t>
      </w:r>
    </w:p>
    <w:p>
      <w:pPr>
        <w:pStyle w:val="BodyText"/>
      </w:pPr>
      <m:oMathPara>
        <m:oMathParaPr>
          <m:jc m:val="center"/>
        </m:oMathParaPr>
        <m:oMath>
          <m:r>
            <m:rPr>
              <m:sty m:val="p"/>
            </m:rPr>
            <m:t>∮</m:t>
          </m:r>
          <m:r>
            <m:rPr>
              <m:sty m:val="b"/>
            </m:rPr>
            <m:t>E</m:t>
          </m:r>
          <m:r>
            <m:rPr>
              <m:sty m:val="p"/>
            </m:rPr>
            <m:t>⋅</m:t>
          </m:r>
          <m:r>
            <m:t>d</m:t>
          </m:r>
          <m:r>
            <m:rPr>
              <m:sty m:val="b"/>
            </m:rPr>
            <m:t>l</m:t>
          </m:r>
          <m:r>
            <m:rPr>
              <m:sty m:val="p"/>
            </m:rPr>
            <m:t>=</m:t>
          </m:r>
          <m:r>
            <m:rPr>
              <m:sty m:val="p"/>
            </m:rPr>
            <m:t>−</m:t>
          </m:r>
          <m:f>
            <m:fPr>
              <m:type m:val="bar"/>
            </m:fPr>
            <m:num>
              <m:r>
                <m:t>d</m:t>
              </m:r>
            </m:num>
            <m:den>
              <m:r>
                <m:t>d</m:t>
              </m:r>
              <m:r>
                <m:t>t</m:t>
              </m:r>
            </m:den>
          </m:f>
          <m:r>
            <m:rPr>
              <m:sty m:val="p"/>
            </m:rPr>
            <m:t>∫</m:t>
          </m:r>
          <m:r>
            <m:rPr>
              <m:sty m:val="b"/>
            </m:rPr>
            <m:t>B</m:t>
          </m:r>
          <m:r>
            <m:rPr>
              <m:sty m:val="p"/>
            </m:rPr>
            <m:t>⋅</m:t>
          </m:r>
          <m:r>
            <m:t>d</m:t>
          </m:r>
          <m:r>
            <m:rPr>
              <m:sty m:val="b"/>
            </m:rPr>
            <m:t>A</m:t>
          </m:r>
        </m:oMath>
      </m:oMathPara>
    </w:p>
    <w:p>
      <w:pPr>
        <w:pStyle w:val="FirstParagraph"/>
      </w:pPr>
      <w:r>
        <w:t xml:space="preserve">Ampère’s Law with Maxwell’s Addition:</w:t>
      </w:r>
    </w:p>
    <w:p>
      <w:pPr>
        <w:pStyle w:val="BodyText"/>
      </w:pPr>
      <m:oMathPara>
        <m:oMathParaPr>
          <m:jc m:val="center"/>
        </m:oMathParaPr>
        <m:oMath>
          <m:r>
            <m:rPr>
              <m:sty m:val="p"/>
            </m:rPr>
            <m:t>∮</m:t>
          </m:r>
          <m:r>
            <m:rPr>
              <m:sty m:val="b"/>
            </m:rPr>
            <m:t>B</m:t>
          </m:r>
          <m:r>
            <m:rPr>
              <m:sty m:val="p"/>
            </m:rPr>
            <m:t>⋅</m:t>
          </m:r>
          <m:r>
            <m:t>d</m:t>
          </m:r>
          <m:r>
            <m:rPr>
              <m:sty m:val="b"/>
            </m:rPr>
            <m:t>l</m:t>
          </m:r>
          <m:r>
            <m:rPr>
              <m:sty m:val="p"/>
            </m:rPr>
            <m:t>=</m:t>
          </m:r>
          <m:sSub>
            <m:e>
              <m:r>
                <m:t>μ</m:t>
              </m:r>
            </m:e>
            <m:sub>
              <m:r>
                <m:t>0</m:t>
              </m:r>
            </m:sub>
          </m:sSub>
          <m:r>
            <m:rPr>
              <m:sty m:val="p"/>
            </m:rPr>
            <m:t>∫</m:t>
          </m:r>
          <m:r>
            <m:rPr>
              <m:sty m:val="b"/>
            </m:rPr>
            <m:t>J</m:t>
          </m:r>
          <m:r>
            <m:rPr>
              <m:sty m:val="p"/>
            </m:rPr>
            <m:t>⋅</m:t>
          </m:r>
          <m:r>
            <m:t>d</m:t>
          </m:r>
          <m:r>
            <m:rPr>
              <m:sty m:val="b"/>
            </m:rPr>
            <m:t>A</m:t>
          </m:r>
          <m:r>
            <m:rPr>
              <m:sty m:val="p"/>
            </m:rPr>
            <m:t>+</m:t>
          </m:r>
          <m:sSub>
            <m:e>
              <m:r>
                <m:t>μ</m:t>
              </m:r>
            </m:e>
            <m:sub>
              <m:r>
                <m:t>0</m:t>
              </m:r>
            </m:sub>
          </m:sSub>
          <m:sSub>
            <m:e>
              <m:r>
                <m:t>ε</m:t>
              </m:r>
            </m:e>
            <m:sub>
              <m:r>
                <m:t>0</m:t>
              </m:r>
            </m:sub>
          </m:sSub>
          <m:f>
            <m:fPr>
              <m:type m:val="bar"/>
            </m:fPr>
            <m:num>
              <m:r>
                <m:t>d</m:t>
              </m:r>
            </m:num>
            <m:den>
              <m:r>
                <m:t>d</m:t>
              </m:r>
              <m:r>
                <m:t>t</m:t>
              </m:r>
            </m:den>
          </m:f>
          <m:r>
            <m:rPr>
              <m:sty m:val="p"/>
            </m:rPr>
            <m:t>∫</m:t>
          </m:r>
          <m:r>
            <m:rPr>
              <m:sty m:val="b"/>
            </m:rPr>
            <m:t>E</m:t>
          </m:r>
          <m:r>
            <m:rPr>
              <m:sty m:val="p"/>
            </m:rPr>
            <m:t>⋅</m:t>
          </m:r>
          <m:r>
            <m:t>d</m:t>
          </m:r>
          <m:r>
            <m:rPr>
              <m:sty m:val="b"/>
            </m:rPr>
            <m:t>A</m:t>
          </m:r>
        </m:oMath>
      </m:oMathPara>
    </w:p>
    <w:p>
      <w:pPr>
        <w:pStyle w:val="FirstParagraph"/>
      </w:pPr>
      <w:r>
        <w:t xml:space="preserve">We will work with different aspects of these equations as we make different assumptions about the physical system.</w:t>
      </w:r>
    </w:p>
    <w:bookmarkStart w:id="31" w:name="Xc3539c9435bb7b5940a4c036dbedf031b3e43cb"/>
    <w:p>
      <w:pPr>
        <w:pStyle w:val="Heading3"/>
      </w:pPr>
      <w:r>
        <w:t xml:space="preserve">A comment on the development of this theory</w:t>
      </w:r>
    </w:p>
    <w:p>
      <w:pPr>
        <w:pStyle w:val="FirstParagraph"/>
      </w:pPr>
      <w:r>
        <w:t xml:space="preserve">During the development of Classical Electromagnetism, physics research was often lead by single individuals with small armies of technicians, specialists, drafters, secretarial staff, and the like. While presented as the intellectual work of a single person, the work was an effort by a number of underpaid and under-recognized people (including, at the time, women and non-white men) who are unnamed in many books. A classical, and non critical, view of the development appears below in the video, but also in Meyer’s book</w:t>
      </w:r>
      <w:r>
        <w:t xml:space="preserve"> </w:t>
      </w:r>
      <w:hyperlink r:id="rId22">
        <w:r>
          <w:rPr>
            <w:rStyle w:val="Hyperlink"/>
          </w:rPr>
          <w:t xml:space="preserve">A History of Electricity and Magnetism</w:t>
        </w:r>
      </w:hyperlink>
      <w:r>
        <w:t xml:space="preserve">. A more nuanced view of how science develops and is negotiated appears in Traweek’s book</w:t>
      </w:r>
      <w:r>
        <w:t xml:space="preserve"> </w:t>
      </w:r>
      <w:hyperlink r:id="rId23">
        <w:r>
          <w:rPr>
            <w:rStyle w:val="Hyperlink"/>
          </w:rPr>
          <w:t xml:space="preserve">Beamtimes and Lifetimes</w:t>
        </w:r>
      </w:hyperlink>
      <w:r>
        <w:t xml:space="preserve">.</w:t>
      </w:r>
    </w:p>
    <w:bookmarkStart w:id="30" w:name="the-mechanical-universe"/>
    <w:p>
      <w:pPr>
        <w:pStyle w:val="Heading4"/>
      </w:pPr>
      <w:r>
        <w:t xml:space="preserve">The Mechanical Universe</w:t>
      </w:r>
    </w:p>
    <w:p>
      <w:pPr>
        <w:pStyle w:val="FirstParagraph"/>
      </w:pPr>
      <w:r>
        <w:t xml:space="preserve">This video from the</w:t>
      </w:r>
      <w:r>
        <w:t xml:space="preserve"> </w:t>
      </w:r>
      <w:hyperlink r:id="rId24">
        <w:r>
          <w:rPr>
            <w:rStyle w:val="Hyperlink"/>
          </w:rPr>
          <w:t xml:space="preserve">Mechanical Universe series</w:t>
        </w:r>
      </w:hyperlink>
      <w:r>
        <w:t xml:space="preserve"> </w:t>
      </w:r>
      <w:r>
        <w:t xml:space="preserve">and tells the story of the development of this theory. The video is dated and sexist and the instructor’s stories are similarly problematic. The video puts scientists on a pedestal. But, it is worth a watch, both to recognize the history as presented and to reckon with the issues that these perspectives have continued to perpetuate.</w:t>
      </w:r>
    </w:p>
    <w:p>
      <w:pPr>
        <w:pStyle w:val="BodyText"/>
      </w:pPr>
      <w:hyperlink r:id="rId28">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6" name="Picture"/>
              <a:graphic>
                <a:graphicData uri="http://schemas.openxmlformats.org/drawingml/2006/picture">
                  <pic:pic>
                    <pic:nvPicPr>
                      <pic:cNvPr descr="https://markdown-videos-api.jorgenkh.no/youtube/SS4tcajTsW8?width=720&amp;height=405"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8">
        <w:r>
          <w:rPr>
            <w:rStyle w:val="Hyperlink"/>
          </w:rPr>
          <w:t xml:space="preserve">https://inv.tux.pizza/watch?v=SS4tcajTsW8</w:t>
        </w:r>
      </w:hyperlink>
    </w:p>
    <w:p>
      <w:pPr>
        <w:pStyle w:val="Compact"/>
        <w:numPr>
          <w:ilvl w:val="0"/>
          <w:numId w:val="1002"/>
        </w:numPr>
      </w:pPr>
      <w:r>
        <w:t xml:space="preserve">Commercial Link:</w:t>
      </w:r>
      <w:r>
        <w:t xml:space="preserve"> </w:t>
      </w:r>
      <w:hyperlink r:id="rId29">
        <w:r>
          <w:rPr>
            <w:rStyle w:val="Hyperlink"/>
          </w:rPr>
          <w:t xml:space="preserve">https://youtube.com/watch?v=SS4tcajTsW8</w:t>
        </w:r>
      </w:hyperlink>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jpg" /><Relationship Type="http://schemas.openxmlformats.org/officeDocument/2006/relationships/image" Id="rId25" Target="media/rId25.jpg" /><Relationship Type="http://schemas.openxmlformats.org/officeDocument/2006/relationships/hyperlink" Id="rId23" Target="https://en.wikipedia.org/wiki/Beamtimes_and_Lifetimes" TargetMode="External" /><Relationship Type="http://schemas.openxmlformats.org/officeDocument/2006/relationships/hyperlink" Id="rId11" Target="https://en.wikipedia.org/wiki/Classical_physics" TargetMode="External" /><Relationship Type="http://schemas.openxmlformats.org/officeDocument/2006/relationships/hyperlink" Id="rId10" Target="https://en.wikipedia.org/wiki/Field_(physics)" TargetMode="External" /><Relationship Type="http://schemas.openxmlformats.org/officeDocument/2006/relationships/hyperlink" Id="rId13" Target="https://en.wikipedia.org/wiki/KSTAR" TargetMode="External" /><Relationship Type="http://schemas.openxmlformats.org/officeDocument/2006/relationships/hyperlink" Id="rId12" Target="https://en.wikipedia.org/wiki/Magnetic_confinement_fusion" TargetMode="External" /><Relationship Type="http://schemas.openxmlformats.org/officeDocument/2006/relationships/hyperlink" Id="rId9" Target="https://en.wikipedia.org/wiki/Maxwell%27s_equations" TargetMode="External" /><Relationship Type="http://schemas.openxmlformats.org/officeDocument/2006/relationships/hyperlink" Id="rId24" Target="https://en.wikipedia.org/wiki/The_Mechanical_Universe" TargetMode="External" /><Relationship Type="http://schemas.openxmlformats.org/officeDocument/2006/relationships/hyperlink" Id="rId18" Target="https://inv.tux.pizza/watch?v=PWCqwZoE0FY" TargetMode="External" /><Relationship Type="http://schemas.openxmlformats.org/officeDocument/2006/relationships/hyperlink" Id="rId28" Target="https://inv.tux.pizza/watch?v=SS4tcajTsW8" TargetMode="External" /><Relationship Type="http://schemas.openxmlformats.org/officeDocument/2006/relationships/hyperlink" Id="rId22" Target="https://mitpress.mit.edu/9780262130707/a-history-of-electricity-and-magnetism/" TargetMode="External" /><Relationship Type="http://schemas.openxmlformats.org/officeDocument/2006/relationships/hyperlink" Id="rId14" Target="https://www.popularmechanics.com/science/energy/a41191247/koreas-fusion-reactor-sustained-temperatures-7-times-hotter-than-the-sun-for-30-seconds/" TargetMode="External" /><Relationship Type="http://schemas.openxmlformats.org/officeDocument/2006/relationships/hyperlink" Id="rId19" Target="https://youtube.com/watch?v=PWCqwZoE0FY" TargetMode="External" /><Relationship Type="http://schemas.openxmlformats.org/officeDocument/2006/relationships/hyperlink" Id="rId29" Target="https://youtube.com/watch?v=SS4tcajTsW8" TargetMode="External" /></Relationships>
</file>

<file path=word/_rels/footnotes.xml.rels><?xml version="1.0" encoding="UTF-8"?><Relationships xmlns="http://schemas.openxmlformats.org/package/2006/relationships"><Relationship Type="http://schemas.openxmlformats.org/officeDocument/2006/relationships/hyperlink" Id="rId23" Target="https://en.wikipedia.org/wiki/Beamtimes_and_Lifetimes" TargetMode="External" /><Relationship Type="http://schemas.openxmlformats.org/officeDocument/2006/relationships/hyperlink" Id="rId11" Target="https://en.wikipedia.org/wiki/Classical_physics" TargetMode="External" /><Relationship Type="http://schemas.openxmlformats.org/officeDocument/2006/relationships/hyperlink" Id="rId10" Target="https://en.wikipedia.org/wiki/Field_(physics)" TargetMode="External" /><Relationship Type="http://schemas.openxmlformats.org/officeDocument/2006/relationships/hyperlink" Id="rId13" Target="https://en.wikipedia.org/wiki/KSTAR" TargetMode="External" /><Relationship Type="http://schemas.openxmlformats.org/officeDocument/2006/relationships/hyperlink" Id="rId12" Target="https://en.wikipedia.org/wiki/Magnetic_confinement_fusion" TargetMode="External" /><Relationship Type="http://schemas.openxmlformats.org/officeDocument/2006/relationships/hyperlink" Id="rId9" Target="https://en.wikipedia.org/wiki/Maxwell%27s_equations" TargetMode="External" /><Relationship Type="http://schemas.openxmlformats.org/officeDocument/2006/relationships/hyperlink" Id="rId24" Target="https://en.wikipedia.org/wiki/The_Mechanical_Universe" TargetMode="External" /><Relationship Type="http://schemas.openxmlformats.org/officeDocument/2006/relationships/hyperlink" Id="rId18" Target="https://inv.tux.pizza/watch?v=PWCqwZoE0FY" TargetMode="External" /><Relationship Type="http://schemas.openxmlformats.org/officeDocument/2006/relationships/hyperlink" Id="rId28" Target="https://inv.tux.pizza/watch?v=SS4tcajTsW8" TargetMode="External" /><Relationship Type="http://schemas.openxmlformats.org/officeDocument/2006/relationships/hyperlink" Id="rId22" Target="https://mitpress.mit.edu/9780262130707/a-history-of-electricity-and-magnetism/" TargetMode="External" /><Relationship Type="http://schemas.openxmlformats.org/officeDocument/2006/relationships/hyperlink" Id="rId14" Target="https://www.popularmechanics.com/science/energy/a41191247/koreas-fusion-reactor-sustained-temperatures-7-times-hotter-than-the-sun-for-30-seconds/" TargetMode="External" /><Relationship Type="http://schemas.openxmlformats.org/officeDocument/2006/relationships/hyperlink" Id="rId19" Target="https://youtube.com/watch?v=PWCqwZoE0FY" TargetMode="External" /><Relationship Type="http://schemas.openxmlformats.org/officeDocument/2006/relationships/hyperlink" Id="rId29" Target="https://youtube.com/watch?v=SS4tcajTsW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2025-07-10T16:58:33Z</dcterms:created>
  <dcterms:modified xsi:type="dcterms:W3CDTF">2025-07-10T16:58:33Z</dcterms:modified>
</cp:coreProperties>
</file>

<file path=docProps/custom.xml><?xml version="1.0" encoding="utf-8"?>
<Properties xmlns="http://schemas.openxmlformats.org/officeDocument/2006/custom-properties" xmlns:vt="http://schemas.openxmlformats.org/officeDocument/2006/docPropsVTypes"/>
</file>