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jpg" ContentType="image/jpeg"/>
  <Override PartName="/word/media/rId1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sept-23---notes-static-fields"/>
    <w:p>
      <w:pPr>
        <w:pStyle w:val="Heading1"/>
      </w:pPr>
      <w:r>
        <w:t xml:space="preserve">26 Sept 23 - Notes: Static Fields</w:t>
      </w:r>
    </w:p>
    <w:bookmarkStart w:id="16" w:name="vector-calculus"/>
    <w:p>
      <w:pPr>
        <w:pStyle w:val="Heading2"/>
      </w:pPr>
      <w:r>
        <w:t xml:space="preserve">Vector Calculus</w:t>
      </w:r>
    </w:p>
    <w:p>
      <w:pPr>
        <w:pStyle w:val="FirstParagraph"/>
      </w:pPr>
      <w:hyperlink r:id="rId9">
        <w:r>
          <w:rPr>
            <w:rStyle w:val="Hyperlink"/>
          </w:rPr>
          <w:t xml:space="preserve">Maxwell’s Equations</w:t>
        </w:r>
      </w:hyperlink>
      <w:r>
        <w:t xml:space="preserve">, even in their static form (i.e., static charges or steady currents), are a set of coupled partial differential equations. In order to develop solutions and models to approximate the behavior of electromagnetic fields, we need to be able to use vector calculus.</w:t>
      </w:r>
    </w:p>
    <w:p>
      <w:pPr>
        <w:pStyle w:val="BodyText"/>
      </w:pPr>
      <w:r>
        <w:t xml:space="preserve">The video below from</w:t>
      </w:r>
      <w:r>
        <w:t xml:space="preserve"> </w:t>
      </w:r>
      <w:hyperlink r:id="rId10">
        <w:r>
          <w:rPr>
            <w:rStyle w:val="Hyperlink"/>
          </w:rPr>
          <w:t xml:space="preserve">3Blue1Brown</w:t>
        </w:r>
      </w:hyperlink>
      <w:r>
        <w:t xml:space="preserve"> </w:t>
      </w:r>
      <w:r>
        <w:t xml:space="preserve">provides a conceptual introduction to the vector calculus that we are going to need for this.</w:t>
      </w:r>
    </w:p>
    <w:p>
      <w:pPr>
        <w:pStyle w:val="BodyText"/>
      </w:pPr>
      <w:hyperlink r:id="rId14">
        <w:r>
          <w:drawing>
            <wp:inline>
              <wp:extent cx="5334000" cy="3000375"/>
              <wp:effectExtent b="0" l="0" r="0" t="0"/>
              <wp:docPr descr="Vector Calculus" title="" id="12" name="Picture"/>
              <a:graphic>
                <a:graphicData uri="http://schemas.openxmlformats.org/drawingml/2006/picture">
                  <pic:pic>
                    <pic:nvPicPr>
                      <pic:cNvPr descr="https://markdown-videos-api.jorgenkh.no/youtube/rB83DpBJQsE?width=720&amp;height=405" id="13" name="Picture"/>
                      <pic:cNvPicPr>
                        <a:picLocks noChangeArrowheads="1" noChangeAspect="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4">
        <w:r>
          <w:rPr>
            <w:rStyle w:val="Hyperlink"/>
          </w:rPr>
          <w:t xml:space="preserve">https://inv.tux.pizza/watch?v=rB83DpBJQsE</w:t>
        </w:r>
      </w:hyperlink>
    </w:p>
    <w:p>
      <w:pPr>
        <w:pStyle w:val="Compact"/>
        <w:numPr>
          <w:ilvl w:val="0"/>
          <w:numId w:val="1001"/>
        </w:numPr>
      </w:pPr>
      <w:r>
        <w:t xml:space="preserve">Commercial Link:</w:t>
      </w:r>
      <w:r>
        <w:t xml:space="preserve"> </w:t>
      </w:r>
      <w:hyperlink r:id="rId15">
        <w:r>
          <w:rPr>
            <w:rStyle w:val="Hyperlink"/>
          </w:rPr>
          <w:t xml:space="preserve">https://youtube.com/watch?v=rB83DpBJQsE</w:t>
        </w:r>
      </w:hyperlink>
    </w:p>
    <w:bookmarkEnd w:id="16"/>
    <w:bookmarkStart w:id="25" w:name="electrostatic-fields"/>
    <w:p>
      <w:pPr>
        <w:pStyle w:val="Heading2"/>
      </w:pPr>
      <w:r>
        <w:t xml:space="preserve">Electrostatic fields</w:t>
      </w:r>
    </w:p>
    <w:p>
      <w:pPr>
        <w:pStyle w:val="FirstParagraph"/>
      </w:pPr>
      <w:r>
        <w:t xml:space="preserve">The electrostatic field is one that is created by static (stationary) charges. This is often the first type of field that we encounter, where</w:t>
      </w:r>
      <w:r>
        <w:t xml:space="preserve"> </w:t>
      </w:r>
      <m:oMath>
        <m:r>
          <m:t>ρ</m:t>
        </m:r>
        <m:r>
          <m:rPr>
            <m:sty m:val="p"/>
          </m:rPr>
          <m:t>(</m:t>
        </m:r>
        <m:r>
          <m:rPr>
            <m:sty m:val="b"/>
          </m:rPr>
          <m:t>r</m:t>
        </m:r>
        <m:r>
          <m:rPr>
            <m:sty m:val="p"/>
          </m:rPr>
          <m:t>,</m:t>
        </m:r>
        <m:r>
          <m:t>t</m:t>
        </m:r>
        <m:r>
          <m:rPr>
            <m:sty m:val="p"/>
          </m:rPr>
          <m:t>)</m:t>
        </m:r>
        <m:r>
          <m:rPr>
            <m:sty m:val="p"/>
          </m:rPr>
          <m:t>)</m:t>
        </m:r>
        <m:r>
          <m:rPr>
            <m:sty m:val="p"/>
          </m:rPr>
          <m:t>=</m:t>
        </m:r>
        <m:r>
          <m:t>ρ</m:t>
        </m:r>
        <m:r>
          <m:rPr>
            <m:sty m:val="p"/>
          </m:rPr>
          <m:t>(</m:t>
        </m:r>
        <m:r>
          <m:rPr>
            <m:sty m:val="b"/>
          </m:rPr>
          <m:t>r</m:t>
        </m:r>
        <m:r>
          <m:rPr>
            <m:sty m:val="p"/>
          </m:rPr>
          <m:t>)</m:t>
        </m:r>
      </m:oMath>
      <w:r>
        <w:t xml:space="preserve">. Because the charges are stationary, the current density is zero,</w:t>
      </w:r>
      <w:r>
        <w:t xml:space="preserve"> </w:t>
      </w:r>
      <m:oMath>
        <m:r>
          <m:rPr>
            <m:sty m:val="b"/>
          </m:rPr>
          <m:t>J</m:t>
        </m:r>
        <m:r>
          <m:rPr>
            <m:sty m:val="p"/>
          </m:rPr>
          <m:t>(</m:t>
        </m:r>
        <m:r>
          <m:rPr>
            <m:sty m:val="b"/>
          </m:rPr>
          <m:t>r</m:t>
        </m:r>
        <m:r>
          <m:rPr>
            <m:sty m:val="p"/>
          </m:rPr>
          <m:t>,</m:t>
        </m:r>
        <m:r>
          <m:t>t</m:t>
        </m:r>
        <m:r>
          <m:rPr>
            <m:sty m:val="p"/>
          </m:rPr>
          <m:t>)</m:t>
        </m:r>
        <m:r>
          <m:rPr>
            <m:sty m:val="p"/>
          </m:rPr>
          <m:t>=</m:t>
        </m:r>
        <m:r>
          <m:rPr>
            <m:sty m:val="b"/>
          </m:rPr>
          <m:t>0</m:t>
        </m:r>
      </m:oMath>
      <w:r>
        <w:t xml:space="preserve">.</w:t>
      </w:r>
    </w:p>
    <w:bookmarkStart w:id="23" w:name="the-electric-field"/>
    <w:p>
      <w:pPr>
        <w:pStyle w:val="Heading3"/>
      </w:pPr>
      <w:r>
        <w:t xml:space="preserve">The electric field</w:t>
      </w:r>
    </w:p>
    <w:p>
      <w:pPr>
        <w:pStyle w:val="FirstParagraph"/>
      </w:pPr>
      <w:r>
        <w:t xml:space="preserve">The relevant Maxwell equations for</w:t>
      </w:r>
      <w:r>
        <w:t xml:space="preserve"> </w:t>
      </w:r>
      <m:oMath>
        <m:r>
          <m:rPr>
            <m:sty m:val="b"/>
          </m:rPr>
          <m:t>E</m:t>
        </m:r>
      </m:oMath>
      <w:r>
        <w:t xml:space="preserve"> </w:t>
      </w:r>
      <w:r>
        <w:t xml:space="preserve">that govern an electrostatic situation are the following:</w:t>
      </w:r>
    </w:p>
    <w:p>
      <w:pPr>
        <w:pStyle w:val="BodyText"/>
      </w:pPr>
      <m:oMathPara>
        <m:oMathParaPr>
          <m:jc m:val="center"/>
        </m:oMathParaPr>
        <m:oMath>
          <m:r>
            <m:rPr>
              <m:sty m:val="p"/>
            </m:rPr>
            <m:t>∇</m:t>
          </m:r>
          <m:r>
            <m:rPr>
              <m:sty m:val="p"/>
            </m:rPr>
            <m:t>⋅</m:t>
          </m:r>
          <m:r>
            <m:rPr>
              <m:sty m:val="b"/>
            </m:rPr>
            <m:t>E</m:t>
          </m:r>
          <m:r>
            <m:rPr>
              <m:sty m:val="p"/>
            </m:rPr>
            <m:t>=</m:t>
          </m:r>
          <m:f>
            <m:fPr>
              <m:type m:val="bar"/>
            </m:fPr>
            <m:num>
              <m:r>
                <m:t>ρ</m:t>
              </m:r>
            </m:num>
            <m:den>
              <m:sSub>
                <m:e>
                  <m:r>
                    <m:t>ε</m:t>
                  </m:r>
                </m:e>
                <m:sub>
                  <m:r>
                    <m:t>0</m:t>
                  </m:r>
                </m:sub>
              </m:sSub>
            </m:den>
          </m:f>
        </m:oMath>
      </m:oMathPara>
    </w:p>
    <w:p>
      <w:pPr>
        <w:pStyle w:val="FirstParagraph"/>
      </w:pPr>
      <m:oMathPara>
        <m:oMathParaPr>
          <m:jc m:val="center"/>
        </m:oMathParaPr>
        <m:oMath>
          <m:r>
            <m:rPr>
              <m:sty m:val="p"/>
            </m:rPr>
            <m:t>∇</m:t>
          </m:r>
          <m:r>
            <m:rPr>
              <m:sty m:val="p"/>
            </m:rPr>
            <m:t>×</m:t>
          </m:r>
          <m:r>
            <m:rPr>
              <m:sty m:val="b"/>
            </m:rPr>
            <m:t>E</m:t>
          </m:r>
          <m:r>
            <m:rPr>
              <m:sty m:val="p"/>
            </m:rPr>
            <m:t>=</m:t>
          </m:r>
          <m:r>
            <m:t>0</m:t>
          </m:r>
        </m:oMath>
      </m:oMathPara>
    </w:p>
    <w:p>
      <w:pPr>
        <w:pStyle w:val="FirstParagraph"/>
      </w:pPr>
      <w:r>
        <w:t xml:space="preserve">You might recognize the first equation as the differential form of</w:t>
      </w:r>
      <w:r>
        <w:t xml:space="preserve"> </w:t>
      </w:r>
      <w:hyperlink r:id="rId17">
        <w:r>
          <w:rPr>
            <w:rStyle w:val="Hyperlink"/>
          </w:rPr>
          <w:t xml:space="preserve">Gauss’s Law</w:t>
        </w:r>
      </w:hyperlink>
      <w:r>
        <w:t xml:space="preserve">.</w:t>
      </w:r>
    </w:p>
    <w:p>
      <w:pPr>
        <w:pStyle w:val="CaptionedFigure"/>
      </w:pPr>
      <w:r>
        <w:drawing>
          <wp:inline>
            <wp:extent cx="4407408" cy="2590800"/>
            <wp:effectExtent b="0" l="0" r="0" t="0"/>
            <wp:docPr descr="Gauss’s Law" title="" id="19" name="Picture"/>
            <a:graphic>
              <a:graphicData uri="http://schemas.openxmlformats.org/drawingml/2006/picture">
                <pic:pic>
                  <pic:nvPicPr>
                    <pic:cNvPr descr="https://subratachak.files.wordpress.com/2017/12/gauss-law-diagram-03.jpg?w=782" id="20" name="Picture"/>
                    <pic:cNvPicPr>
                      <a:picLocks noChangeArrowheads="1" noChangeAspect="1"/>
                    </pic:cNvPicPr>
                  </pic:nvPicPr>
                  <pic:blipFill>
                    <a:blip r:embed="rId18"/>
                    <a:stretch>
                      <a:fillRect/>
                    </a:stretch>
                  </pic:blipFill>
                  <pic:spPr bwMode="auto">
                    <a:xfrm>
                      <a:off x="0" y="0"/>
                      <a:ext cx="4407408" cy="2590800"/>
                    </a:xfrm>
                    <a:prstGeom prst="rect">
                      <a:avLst/>
                    </a:prstGeom>
                    <a:noFill/>
                    <a:ln w="9525">
                      <a:noFill/>
                      <a:headEnd/>
                      <a:tailEnd/>
                    </a:ln>
                  </pic:spPr>
                </pic:pic>
              </a:graphicData>
            </a:graphic>
          </wp:inline>
        </w:drawing>
      </w:r>
    </w:p>
    <w:p>
      <w:pPr>
        <w:pStyle w:val="ImageCaption"/>
      </w:pPr>
      <w:r>
        <w:t xml:space="preserve">Gauss’s Law</w:t>
      </w:r>
    </w:p>
    <w:p>
      <w:pPr>
        <w:pStyle w:val="BodyText"/>
      </w:pPr>
      <w:r>
        <w:t xml:space="preserve">As you can see from the figure above, Gauss’s Law is always true, but almost never useful in solving problem outside specific geometries. The integral form of that equation is:</w:t>
      </w:r>
    </w:p>
    <w:p>
      <w:pPr>
        <w:pStyle w:val="BodyText"/>
      </w:pPr>
      <m:oMathPara>
        <m:oMathParaPr>
          <m:jc m:val="center"/>
        </m:oMathParaPr>
        <m:oMath>
          <m:r>
            <m:rPr>
              <m:sty m:val="p"/>
            </m:rPr>
            <m:t>∮</m:t>
          </m:r>
          <m:r>
            <m:rPr>
              <m:sty m:val="b"/>
            </m:rPr>
            <m:t>E</m:t>
          </m:r>
          <m:r>
            <m:rPr>
              <m:sty m:val="p"/>
            </m:rPr>
            <m:t>⋅</m:t>
          </m:r>
          <m:r>
            <m:t>d</m:t>
          </m:r>
          <m:r>
            <m:rPr>
              <m:sty m:val="b"/>
            </m:rPr>
            <m:t>A</m:t>
          </m:r>
          <m:r>
            <m:rPr>
              <m:sty m:val="p"/>
            </m:rPr>
            <m:t>=</m:t>
          </m:r>
          <m:f>
            <m:fPr>
              <m:type m:val="bar"/>
            </m:fPr>
            <m:num>
              <m:sSub>
                <m:e>
                  <m:r>
                    <m:t>Q</m:t>
                  </m:r>
                </m:e>
                <m:sub>
                  <m:r>
                    <m:t>e</m:t>
                  </m:r>
                  <m:r>
                    <m:t>n</m:t>
                  </m:r>
                  <m:r>
                    <m:t>c</m:t>
                  </m:r>
                </m:sub>
              </m:sSub>
            </m:num>
            <m:den>
              <m:sSub>
                <m:e>
                  <m:r>
                    <m:t>ε</m:t>
                  </m:r>
                </m:e>
                <m:sub>
                  <m:r>
                    <m:t>0</m:t>
                  </m:r>
                </m:sub>
              </m:sSub>
            </m:den>
          </m:f>
        </m:oMath>
      </m:oMathPara>
    </w:p>
    <w:p>
      <w:pPr>
        <w:pStyle w:val="FirstParagraph"/>
      </w:pPr>
      <w:r>
        <w:t xml:space="preserve">It is from considering the integral form of Gauss’ Law that we can obtain the electric field produced by a single point charge,</w:t>
      </w:r>
      <w:r>
        <w:t xml:space="preserve"> </w:t>
      </w:r>
      <m:oMath>
        <m:r>
          <m:t>Q</m:t>
        </m:r>
      </m:oMath>
      <w:r>
        <w:t xml:space="preserve">, at a location</w:t>
      </w:r>
      <w:r>
        <w:t xml:space="preserve"> </w:t>
      </w:r>
      <m:oMath>
        <m:sSup>
          <m:e>
            <m:r>
              <m:rPr>
                <m:sty m:val="b"/>
              </m:rPr>
              <m:t>r</m:t>
            </m:r>
          </m:e>
          <m:sup>
            <m:r>
              <m:rPr>
                <m:sty m:val="p"/>
              </m:rPr>
              <m:t>′</m:t>
            </m:r>
          </m:sup>
        </m:sSup>
      </m:oMath>
      <w:r>
        <w:t xml:space="preserve">:</w:t>
      </w:r>
    </w:p>
    <w:p>
      <w:pPr>
        <w:pStyle w:val="BodyText"/>
      </w:pPr>
      <m:oMathPara>
        <m:oMathParaPr>
          <m:jc m:val="center"/>
        </m:oMathParaPr>
        <m:oMath>
          <m:r>
            <m:rPr>
              <m:sty m:val="b"/>
            </m:rPr>
            <m:t>E</m:t>
          </m:r>
          <m:r>
            <m:rPr>
              <m:sty m:val="p"/>
            </m:rPr>
            <m:t>(</m:t>
          </m:r>
          <m:r>
            <m:rPr>
              <m:sty m:val="b"/>
            </m:rPr>
            <m:t>r</m:t>
          </m:r>
          <m:r>
            <m:rPr>
              <m:sty m:val="p"/>
            </m:rPr>
            <m:t>)</m:t>
          </m:r>
          <m:r>
            <m:rPr>
              <m:sty m:val="p"/>
            </m:rPr>
            <m:t>=</m:t>
          </m:r>
          <m:f>
            <m:fPr>
              <m:type m:val="bar"/>
            </m:fPr>
            <m:num>
              <m:r>
                <m:t>Q</m:t>
              </m:r>
            </m:num>
            <m:den>
              <m:r>
                <m:t>4</m:t>
              </m:r>
              <m:r>
                <m:t>π</m:t>
              </m:r>
              <m:sSub>
                <m:e>
                  <m:r>
                    <m:t>ε</m:t>
                  </m:r>
                </m:e>
                <m:sub>
                  <m:r>
                    <m:t>0</m:t>
                  </m:r>
                </m:sub>
              </m:sSub>
            </m:den>
          </m:f>
          <m:f>
            <m:fPr>
              <m:type m:val="bar"/>
            </m:fPr>
            <m:num>
              <m:r>
                <m:rPr>
                  <m:sty m:val="b"/>
                </m:rPr>
                <m:t>r</m:t>
              </m:r>
              <m:r>
                <m:rPr>
                  <m:sty m:val="p"/>
                </m:rPr>
                <m:t>−</m:t>
              </m:r>
              <m:sSup>
                <m:e>
                  <m:r>
                    <m:rPr>
                      <m:sty m:val="b"/>
                    </m:rPr>
                    <m:t>r</m:t>
                  </m:r>
                </m:e>
                <m:sup>
                  <m:r>
                    <m:rPr>
                      <m:sty m:val="p"/>
                    </m:rPr>
                    <m:t>′</m:t>
                  </m:r>
                </m:sup>
              </m:sSup>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The second relevant equation is a statement that the curl of the electrostatic field is zero. This indicates that an electrostatic field is a</w:t>
      </w:r>
      <w:r>
        <w:t xml:space="preserve"> </w:t>
      </w:r>
      <w:hyperlink r:id="rId21">
        <w:r>
          <w:rPr>
            <w:rStyle w:val="Hyperlink"/>
          </w:rPr>
          <w:t xml:space="preserve">conservative field</w:t>
        </w:r>
      </w:hyperlink>
      <w:r>
        <w:t xml:space="preserve">. This means that the electrostatic field can be written as the gradient of a scalar potential,</w:t>
      </w:r>
      <w:r>
        <w:t xml:space="preserve"> </w:t>
      </w:r>
      <m:oMath>
        <m:r>
          <m:rPr>
            <m:sty m:val="b"/>
          </m:rPr>
          <m:t>E</m:t>
        </m:r>
        <m:r>
          <m:rPr>
            <m:sty m:val="p"/>
          </m:rPr>
          <m:t>=</m:t>
        </m:r>
        <m:r>
          <m:rPr>
            <m:sty m:val="p"/>
          </m:rPr>
          <m:t>−</m:t>
        </m:r>
        <m:r>
          <m:rPr>
            <m:sty m:val="p"/>
          </m:rPr>
          <m:t>∇</m:t>
        </m:r>
        <m:r>
          <m:t>V</m:t>
        </m:r>
      </m:oMath>
      <w:r>
        <w:t xml:space="preserve">, as we will see later.</w:t>
      </w:r>
    </w:p>
    <w:p>
      <w:pPr>
        <w:pStyle w:val="BodyText"/>
      </w:pPr>
      <w:r>
        <w:t xml:space="preserve">There is a general integral solution the electrostatic problem, which is built up from the concept of a point charge. That solution, which can be used in certain integrable situations and adapted to numerical methods is:</w:t>
      </w:r>
    </w:p>
    <w:p>
      <w:pPr>
        <w:pStyle w:val="BodyText"/>
      </w:pPr>
      <m:oMathPara>
        <m:oMathParaPr>
          <m:jc m:val="center"/>
        </m:oMathParaPr>
        <m:oMath>
          <m:r>
            <m:t>d</m:t>
          </m:r>
          <m:r>
            <m:rPr>
              <m:sty m:val="b"/>
            </m:rPr>
            <m:t>E</m:t>
          </m:r>
          <m:r>
            <m:rPr>
              <m:sty m:val="p"/>
            </m:rPr>
            <m:t>=</m:t>
          </m:r>
          <m:f>
            <m:fPr>
              <m:type m:val="bar"/>
            </m:fPr>
            <m:num>
              <m:r>
                <m:t>1</m:t>
              </m:r>
            </m:num>
            <m:den>
              <m:r>
                <m:t>4</m:t>
              </m:r>
              <m:r>
                <m:t>π</m:t>
              </m:r>
              <m:sSub>
                <m:e>
                  <m:r>
                    <m:t>ε</m:t>
                  </m:r>
                </m:e>
                <m:sub>
                  <m:r>
                    <m:t>0</m:t>
                  </m:r>
                </m:sub>
              </m:sSub>
            </m:den>
          </m:f>
          <m:f>
            <m:fPr>
              <m:type m:val="bar"/>
            </m:fPr>
            <m:num>
              <m:r>
                <m:t>d</m:t>
              </m:r>
              <m:r>
                <m:t>q</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m:oMathPara>
        <m:oMathParaPr>
          <m:jc m:val="center"/>
        </m:oMathParaPr>
        <m:oMath>
          <m:r>
            <m:rPr>
              <m:sty m:val="b"/>
            </m:rPr>
            <m:t>E</m:t>
          </m:r>
          <m:r>
            <m:rPr>
              <m:sty m:val="p"/>
            </m:rPr>
            <m:t>(</m:t>
          </m:r>
          <m:r>
            <m:rPr>
              <m:sty m:val="b"/>
            </m:rPr>
            <m:t>r</m:t>
          </m:r>
          <m:r>
            <m:rPr>
              <m:sty m:val="p"/>
            </m:rPr>
            <m:t>)</m:t>
          </m:r>
          <m:r>
            <m:rPr>
              <m:sty m:val="p"/>
            </m:rPr>
            <m:t>=</m:t>
          </m:r>
          <m:f>
            <m:fPr>
              <m:type m:val="bar"/>
            </m:fPr>
            <m:num>
              <m:r>
                <m:t>1</m:t>
              </m:r>
            </m:num>
            <m:den>
              <m:r>
                <m:t>4</m:t>
              </m:r>
              <m:r>
                <m:t>π</m:t>
              </m:r>
              <m:sSub>
                <m:e>
                  <m:r>
                    <m:t>ε</m:t>
                  </m:r>
                </m:e>
                <m:sub>
                  <m:r>
                    <m:t>0</m:t>
                  </m:r>
                </m:sub>
              </m:sSub>
            </m:den>
          </m:f>
          <m:r>
            <m:rPr>
              <m:sty m:val="p"/>
            </m:rPr>
            <m:t>∫</m:t>
          </m:r>
          <m:f>
            <m:fPr>
              <m:type m:val="bar"/>
            </m:fPr>
            <m:num>
              <m:r>
                <m:t>d</m:t>
              </m:r>
              <m:r>
                <m:t>q</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w:r>
        <w:t xml:space="preserve">We will find later that the</w:t>
      </w:r>
      <w:r>
        <w:t xml:space="preserve"> </w:t>
      </w:r>
      <w:hyperlink r:id="rId22">
        <w:r>
          <w:rPr>
            <w:rStyle w:val="Hyperlink"/>
          </w:rPr>
          <w:t xml:space="preserve">electric potential</w:t>
        </w:r>
      </w:hyperlink>
      <w:r>
        <w:t xml:space="preserve"> </w:t>
      </w:r>
      <w:r>
        <w:t xml:space="preserve">(</w:t>
      </w:r>
      <m:oMath>
        <m:r>
          <m:t>V</m:t>
        </m:r>
      </m:oMath>
      <w:r>
        <w:t xml:space="preserve">) is a better choice if we can use it. It simplifies our vector problem to a scalar problem.</w:t>
      </w:r>
    </w:p>
    <w:bookmarkEnd w:id="23"/>
    <w:bookmarkStart w:id="24" w:name="the-magnetic-field"/>
    <w:p>
      <w:pPr>
        <w:pStyle w:val="Heading3"/>
      </w:pPr>
      <w:r>
        <w:t xml:space="preserve">The magnetic field</w:t>
      </w:r>
    </w:p>
    <w:p>
      <w:pPr>
        <w:pStyle w:val="FirstParagraph"/>
      </w:pPr>
      <w:r>
        <w:t xml:space="preserve">The relevant Maxwell equations for</w:t>
      </w:r>
      <w:r>
        <w:t xml:space="preserve"> </w:t>
      </w:r>
      <m:oMath>
        <m:r>
          <m:rPr>
            <m:sty m:val="b"/>
          </m:rPr>
          <m:t>B</m:t>
        </m:r>
      </m:oMath>
      <w:r>
        <w:t xml:space="preserve"> </w:t>
      </w:r>
      <w:r>
        <w:t xml:space="preserve">that govern an electrostatic situation are the following:</w:t>
      </w:r>
    </w:p>
    <w:p>
      <w:pPr>
        <w:pStyle w:val="BodyText"/>
      </w:pPr>
      <m:oMathPara>
        <m:oMathParaPr>
          <m:jc m:val="center"/>
        </m:oMathParaPr>
        <m:oMath>
          <m:r>
            <m:rPr>
              <m:sty m:val="p"/>
            </m:rPr>
            <m:t>∇</m:t>
          </m:r>
          <m:r>
            <m:rPr>
              <m:sty m:val="p"/>
            </m:rPr>
            <m:t>⋅</m:t>
          </m:r>
          <m:r>
            <m:rPr>
              <m:sty m:val="b"/>
            </m:rPr>
            <m:t>B</m:t>
          </m:r>
          <m:r>
            <m:rPr>
              <m:sty m:val="p"/>
            </m:rPr>
            <m:t>=</m:t>
          </m:r>
          <m:r>
            <m:t>0</m:t>
          </m:r>
        </m:oMath>
      </m:oMathPara>
    </w:p>
    <w:p>
      <w:pPr>
        <w:pStyle w:val="FirstParagraph"/>
      </w:pPr>
      <m:oMathPara>
        <m:oMathParaPr>
          <m:jc m:val="center"/>
        </m:oMathParaPr>
        <m:oMath>
          <m:r>
            <m:rPr>
              <m:sty m:val="p"/>
            </m:rPr>
            <m:t>∇</m:t>
          </m:r>
          <m:r>
            <m:rPr>
              <m:sty m:val="p"/>
            </m:rPr>
            <m:t>×</m:t>
          </m:r>
          <m:r>
            <m:rPr>
              <m:sty m:val="b"/>
            </m:rPr>
            <m:t>B</m:t>
          </m:r>
          <m:r>
            <m:rPr>
              <m:sty m:val="p"/>
            </m:rPr>
            <m:t>=</m:t>
          </m:r>
          <m:r>
            <m:t>0</m:t>
          </m:r>
        </m:oMath>
      </m:oMathPara>
    </w:p>
    <w:p>
      <w:pPr>
        <w:pStyle w:val="FirstParagraph"/>
      </w:pPr>
      <w:r>
        <w:t xml:space="preserve">Notice that these equations are solved when</w:t>
      </w:r>
      <w:r>
        <w:t xml:space="preserve"> </w:t>
      </w:r>
      <m:oMath>
        <m:r>
          <m:rPr>
            <m:sty m:val="b"/>
          </m:rPr>
          <m:t>B</m:t>
        </m:r>
      </m:oMath>
      <w:r>
        <w:t xml:space="preserve"> </w:t>
      </w:r>
      <w:r>
        <w:t xml:space="preserve">= 0. This is because there are no magnetic monopoles, so if the divergence and curl of the field are zero everywhere, then the field must be zero everywhere. There’s simply no sources of magnetic field. So in an electrostatic situation, the magnetic field is zero and we are purely focused on the electric field.</w:t>
      </w:r>
    </w:p>
    <w:bookmarkEnd w:id="24"/>
    <w:bookmarkEnd w:id="25"/>
    <w:bookmarkStart w:id="37" w:name="magnetostatic-fields"/>
    <w:p>
      <w:pPr>
        <w:pStyle w:val="Heading2"/>
      </w:pPr>
      <w:r>
        <w:t xml:space="preserve">Magnetostatic fields</w:t>
      </w:r>
    </w:p>
    <w:p>
      <w:pPr>
        <w:pStyle w:val="FirstParagraph"/>
      </w:pPr>
      <w:r>
        <w:t xml:space="preserve">In a magnetostatic situation, there have to be currents; that is, moving charges. That is the only make to generate magnetic field from particles. So you are going to have a non-zero current density. But we argue that the currents are steady, so</w:t>
      </w:r>
      <w:r>
        <w:t xml:space="preserve"> </w:t>
      </w:r>
      <m:oMath>
        <m:r>
          <m:rPr>
            <m:sty m:val="b"/>
          </m:rPr>
          <m:t>J</m:t>
        </m:r>
        <m:r>
          <m:rPr>
            <m:sty m:val="p"/>
          </m:rPr>
          <m:t>(</m:t>
        </m:r>
        <m:r>
          <m:rPr>
            <m:sty m:val="b"/>
          </m:rPr>
          <m:t>r</m:t>
        </m:r>
        <m:r>
          <m:rPr>
            <m:sty m:val="p"/>
          </m:rPr>
          <m:t>,</m:t>
        </m:r>
        <m:r>
          <m:t>t</m:t>
        </m:r>
        <m:r>
          <m:rPr>
            <m:sty m:val="p"/>
          </m:rPr>
          <m:t>)</m:t>
        </m:r>
        <m:r>
          <m:rPr>
            <m:sty m:val="p"/>
          </m:rPr>
          <m:t>=</m:t>
        </m:r>
        <m:r>
          <m:rPr>
            <m:sty m:val="b"/>
          </m:rPr>
          <m:t>J</m:t>
        </m:r>
        <m:r>
          <m:rPr>
            <m:sty m:val="p"/>
          </m:rPr>
          <m:t>(</m:t>
        </m:r>
        <m:r>
          <m:rPr>
            <m:sty m:val="b"/>
          </m:rPr>
          <m:t>r</m:t>
        </m:r>
        <m:r>
          <m:rPr>
            <m:sty m:val="p"/>
          </m:rPr>
          <m:t>)</m:t>
        </m:r>
      </m:oMath>
      <w:r>
        <w:t xml:space="preserve">. Now, of course, there will be electric field, but we will discuss how we consider that in a moment.</w:t>
      </w:r>
    </w:p>
    <w:bookmarkStart w:id="35" w:name="the-magnetic-field-1"/>
    <w:p>
      <w:pPr>
        <w:pStyle w:val="Heading3"/>
      </w:pPr>
      <w:r>
        <w:t xml:space="preserve">The magnetic field</w:t>
      </w:r>
    </w:p>
    <w:p>
      <w:pPr>
        <w:pStyle w:val="FirstParagraph"/>
      </w:pPr>
      <w:r>
        <w:t xml:space="preserve">The relevant Maxwell equations for</w:t>
      </w:r>
      <w:r>
        <w:t xml:space="preserve"> </w:t>
      </w:r>
      <m:oMath>
        <m:r>
          <m:rPr>
            <m:sty m:val="b"/>
          </m:rPr>
          <m:t>B</m:t>
        </m:r>
      </m:oMath>
      <w:r>
        <w:t xml:space="preserve"> </w:t>
      </w:r>
      <w:r>
        <w:t xml:space="preserve">that govern a magnetostatic situation are the following:</w:t>
      </w:r>
    </w:p>
    <w:p>
      <w:pPr>
        <w:pStyle w:val="BodyText"/>
      </w:pPr>
      <m:oMathPara>
        <m:oMathParaPr>
          <m:jc m:val="center"/>
        </m:oMathParaPr>
        <m:oMath>
          <m:r>
            <m:rPr>
              <m:sty m:val="p"/>
            </m:rPr>
            <m:t>∇</m:t>
          </m:r>
          <m:r>
            <m:rPr>
              <m:sty m:val="p"/>
            </m:rPr>
            <m:t>⋅</m:t>
          </m:r>
          <m:r>
            <m:rPr>
              <m:sty m:val="b"/>
            </m:rPr>
            <m:t>B</m:t>
          </m:r>
          <m:r>
            <m:rPr>
              <m:sty m:val="p"/>
            </m:rPr>
            <m:t>=</m:t>
          </m:r>
          <m:r>
            <m:t>0</m:t>
          </m:r>
        </m:oMath>
      </m:oMathPara>
    </w:p>
    <w:p>
      <w:pPr>
        <w:pStyle w:val="FirstParagraph"/>
      </w:pPr>
      <m:oMathPara>
        <m:oMathParaPr>
          <m:jc m:val="center"/>
        </m:oMathParaPr>
        <m:oMath>
          <m:r>
            <m:rPr>
              <m:sty m:val="p"/>
            </m:rPr>
            <m:t>∇</m:t>
          </m:r>
          <m:r>
            <m:rPr>
              <m:sty m:val="p"/>
            </m:rPr>
            <m:t>×</m:t>
          </m:r>
          <m:r>
            <m:rPr>
              <m:sty m:val="b"/>
            </m:rPr>
            <m:t>B</m:t>
          </m:r>
          <m:r>
            <m:rPr>
              <m:sty m:val="p"/>
            </m:rPr>
            <m:t>=</m:t>
          </m:r>
          <m:sSub>
            <m:e>
              <m:r>
                <m:t>μ</m:t>
              </m:r>
            </m:e>
            <m:sub>
              <m:r>
                <m:t>0</m:t>
              </m:r>
            </m:sub>
          </m:sSub>
          <m:r>
            <m:rPr>
              <m:sty m:val="b"/>
            </m:rPr>
            <m:t>J</m:t>
          </m:r>
        </m:oMath>
      </m:oMathPara>
    </w:p>
    <w:p>
      <w:pPr>
        <w:pStyle w:val="FirstParagraph"/>
      </w:pPr>
      <w:r>
        <w:t xml:space="preserve">The first equation always holds; there are no</w:t>
      </w:r>
      <w:r>
        <w:t xml:space="preserve"> </w:t>
      </w:r>
      <w:hyperlink r:id="rId26">
        <w:r>
          <w:rPr>
            <w:rStyle w:val="Hyperlink"/>
          </w:rPr>
          <w:t xml:space="preserve">magnetic monopoles</w:t>
        </w:r>
      </w:hyperlink>
      <w:r>
        <w:t xml:space="preserve">, despite much research into the area</w:t>
      </w:r>
      <w:r>
        <w:t xml:space="preserve"> </w:t>
      </w:r>
      <w:hyperlink r:id="rId27">
        <w:r>
          <w:rPr>
            <w:rStyle w:val="Hyperlink"/>
          </w:rPr>
          <w:t xml:space="preserve">including searches</w:t>
        </w:r>
      </w:hyperlink>
      <w:r>
        <w:t xml:space="preserve"> </w:t>
      </w:r>
      <w:r>
        <w:t xml:space="preserve">and a</w:t>
      </w:r>
      <w:r>
        <w:t xml:space="preserve"> </w:t>
      </w:r>
      <w:hyperlink r:id="rId28">
        <w:r>
          <w:rPr>
            <w:rStyle w:val="Hyperlink"/>
          </w:rPr>
          <w:t xml:space="preserve">theory of electromagnetism</w:t>
        </w:r>
      </w:hyperlink>
      <w:r>
        <w:t xml:space="preserve"> </w:t>
      </w:r>
      <w:r>
        <w:t xml:space="preserve">that posits them. Here’s a nice article summarizing the state of the magnetic monopole research from 2016,</w:t>
      </w:r>
      <w:r>
        <w:t xml:space="preserve"> </w:t>
      </w:r>
      <w:hyperlink r:id="rId29">
        <w:r>
          <w:rPr>
            <w:rStyle w:val="Hyperlink"/>
          </w:rPr>
          <w:t xml:space="preserve">The mysterious missing magnetic monopole</w:t>
        </w:r>
      </w:hyperlink>
      <w:r>
        <w:t xml:space="preserve">, and an</w:t>
      </w:r>
      <w:r>
        <w:t xml:space="preserve"> </w:t>
      </w:r>
      <w:hyperlink r:id="rId30">
        <w:r>
          <w:rPr>
            <w:rStyle w:val="Hyperlink"/>
          </w:rPr>
          <w:t xml:space="preserve">article from the IceCube experiment</w:t>
        </w:r>
      </w:hyperlink>
      <w:r>
        <w:t xml:space="preserve">, which a number of our</w:t>
      </w:r>
      <w:r>
        <w:t xml:space="preserve"> </w:t>
      </w:r>
      <w:hyperlink r:id="rId31">
        <w:r>
          <w:rPr>
            <w:rStyle w:val="Hyperlink"/>
          </w:rPr>
          <w:t xml:space="preserve">faculty, grad students, and undergrads are involved in</w:t>
        </w:r>
      </w:hyperlink>
      <w:r>
        <w:t xml:space="preserve">.</w:t>
      </w:r>
    </w:p>
    <w:p>
      <w:pPr>
        <w:pStyle w:val="BodyText"/>
      </w:pPr>
      <w:r>
        <w:t xml:space="preserve">The second equation is</w:t>
      </w:r>
      <w:r>
        <w:t xml:space="preserve"> </w:t>
      </w:r>
      <w:hyperlink r:id="rId32">
        <w:r>
          <w:rPr>
            <w:rStyle w:val="Hyperlink"/>
          </w:rPr>
          <w:t xml:space="preserve">Ampere’s Law</w:t>
        </w:r>
      </w:hyperlink>
      <w:r>
        <w:t xml:space="preserve"> </w:t>
      </w:r>
      <w:r>
        <w:t xml:space="preserve">in it’s differential form. Much like Gauss’s law, it is always true, but rarely useful outside of specific geometries. Note that for the magnetostatic situation that current density can vary with space only. The integral form of Ampere’s Law is can be used to solve problems with symmetry:</w:t>
      </w:r>
    </w:p>
    <w:p>
      <w:pPr>
        <w:pStyle w:val="BodyText"/>
      </w:pPr>
      <m:oMathPara>
        <m:oMathParaPr>
          <m:jc m:val="center"/>
        </m:oMathParaPr>
        <m:oMath>
          <m:r>
            <m:rPr>
              <m:sty m:val="p"/>
            </m:rPr>
            <m:t>∮</m:t>
          </m:r>
          <m:r>
            <m:rPr>
              <m:sty m:val="b"/>
            </m:rPr>
            <m:t>B</m:t>
          </m:r>
          <m:r>
            <m:rPr>
              <m:sty m:val="p"/>
            </m:rPr>
            <m:t>⋅</m:t>
          </m:r>
          <m:r>
            <m:t>d</m:t>
          </m:r>
          <m:r>
            <m:rPr>
              <m:sty m:val="b"/>
            </m:rPr>
            <m:t>l</m:t>
          </m:r>
          <m:r>
            <m:rPr>
              <m:sty m:val="p"/>
            </m:rPr>
            <m:t>=</m:t>
          </m:r>
          <m:sSub>
            <m:e>
              <m:r>
                <m:t>μ</m:t>
              </m:r>
            </m:e>
            <m:sub>
              <m:r>
                <m:t>0</m:t>
              </m:r>
            </m:sub>
          </m:sSub>
          <m:sSub>
            <m:e>
              <m:r>
                <m:t>I</m:t>
              </m:r>
            </m:e>
            <m:sub>
              <m:r>
                <m:t>e</m:t>
              </m:r>
              <m:r>
                <m:t>n</m:t>
              </m:r>
              <m:r>
                <m:t>c</m:t>
              </m:r>
            </m:sub>
          </m:sSub>
        </m:oMath>
      </m:oMathPara>
    </w:p>
    <w:p>
      <w:pPr>
        <w:pStyle w:val="FirstParagraph"/>
      </w:pPr>
      <w:r>
        <w:t xml:space="preserve">And it is from considering this form for a single current carrying wire that we can determine the magnetic field produced by a single current carrying wire,</w:t>
      </w:r>
      <w:r>
        <w:t xml:space="preserve"> </w:t>
      </w:r>
      <m:oMath>
        <m:r>
          <m:t>I</m:t>
        </m:r>
      </m:oMath>
      <w:r>
        <w:t xml:space="preserve">, at a location</w:t>
      </w:r>
      <w:r>
        <w:t xml:space="preserve"> </w:t>
      </w:r>
      <m:oMath>
        <m:sSup>
          <m:e>
            <m:r>
              <m:rPr>
                <m:sty m:val="b"/>
              </m:rPr>
              <m:t>r</m:t>
            </m:r>
          </m:e>
          <m:sup>
            <m:r>
              <m:rPr>
                <m:sty m:val="p"/>
              </m:rPr>
              <m:t>′</m:t>
            </m:r>
          </m:sup>
        </m:sSup>
      </m:oMath>
      <w:r>
        <w:t xml:space="preserve">:</w:t>
      </w:r>
    </w:p>
    <w:p>
      <w:pPr>
        <w:pStyle w:val="BodyText"/>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r>
                <m:t>I</m:t>
              </m:r>
            </m:num>
            <m:den>
              <m:r>
                <m:t>4</m:t>
              </m:r>
              <m:r>
                <m:t>π</m:t>
              </m:r>
            </m:den>
          </m:f>
          <m:f>
            <m:fPr>
              <m:type m:val="bar"/>
            </m:fPr>
            <m:num>
              <m:acc>
                <m:accPr>
                  <m:chr m:val="̂"/>
                </m:accPr>
                <m:e>
                  <m:r>
                    <m:rPr>
                      <m:sty m:val="b"/>
                    </m:rPr>
                    <m:t>ϕ</m:t>
                  </m:r>
                </m:e>
              </m:acc>
            </m:num>
            <m:den>
              <m:r>
                <m:rPr>
                  <m:sty m:val="p"/>
                </m:rPr>
                <m:t>|</m:t>
              </m:r>
              <m:r>
                <m:rPr>
                  <m:sty m:val="b"/>
                </m:rPr>
                <m:t>r</m:t>
              </m:r>
              <m:r>
                <m:rPr>
                  <m:sty m:val="p"/>
                </m:rPr>
                <m:t>−</m:t>
              </m:r>
              <m:sSup>
                <m:e>
                  <m:r>
                    <m:rPr>
                      <m:sty m:val="b"/>
                    </m:rPr>
                    <m:t>r</m:t>
                  </m:r>
                </m:e>
                <m:sup>
                  <m:r>
                    <m:rPr>
                      <m:sty m:val="p"/>
                    </m:rPr>
                    <m:t>′</m:t>
                  </m:r>
                </m:sup>
              </m:sSup>
              <m:sSup>
                <m:e>
                  <m:r>
                    <m:rPr>
                      <m:sty m:val="p"/>
                    </m:rPr>
                    <m:t>|</m:t>
                  </m:r>
                </m:e>
                <m:sup>
                  <m:r>
                    <m:t>2</m:t>
                  </m:r>
                </m:sup>
              </m:sSup>
            </m:den>
          </m:f>
        </m:oMath>
      </m:oMathPara>
    </w:p>
    <w:p>
      <w:pPr>
        <w:pStyle w:val="FirstParagraph"/>
      </w:pPr>
      <w:r>
        <w:t xml:space="preserve">Because of the curly nature of magnetic field, we find that the general solution to the magnetostatic problem is given by the</w:t>
      </w:r>
      <w:r>
        <w:t xml:space="preserve"> </w:t>
      </w:r>
      <w:hyperlink r:id="rId33">
        <w:r>
          <w:rPr>
            <w:rStyle w:val="Hyperlink"/>
          </w:rPr>
          <w:t xml:space="preserve">Biot-Savart Law</w:t>
        </w:r>
      </w:hyperlink>
      <w:r>
        <w:t xml:space="preserve">:</w:t>
      </w:r>
    </w:p>
    <w:p>
      <w:pPr>
        <w:pStyle w:val="BodyText"/>
      </w:pPr>
      <m:oMathPara>
        <m:oMathParaPr>
          <m:jc m:val="center"/>
        </m:oMathParaPr>
        <m:oMath>
          <m:r>
            <m:t>d</m:t>
          </m:r>
          <m:r>
            <m:rPr>
              <m:sty m:val="b"/>
            </m:rPr>
            <m:t>B</m:t>
          </m:r>
          <m:r>
            <m:rPr>
              <m:sty m:val="p"/>
            </m:rPr>
            <m:t>=</m:t>
          </m:r>
          <m:f>
            <m:fPr>
              <m:type m:val="bar"/>
            </m:fPr>
            <m:num>
              <m:sSub>
                <m:e>
                  <m:r>
                    <m:t>μ</m:t>
                  </m:r>
                </m:e>
                <m:sub>
                  <m:r>
                    <m:t>0</m:t>
                  </m:r>
                </m:sub>
              </m:sSub>
            </m:num>
            <m:den>
              <m:r>
                <m:t>4</m:t>
              </m:r>
              <m:r>
                <m:t>π</m:t>
              </m:r>
            </m:den>
          </m:f>
          <m:f>
            <m:fPr>
              <m:type m:val="bar"/>
            </m:fPr>
            <m:num>
              <m:r>
                <m:t>I</m:t>
              </m:r>
              <m:r>
                <m:t>d</m:t>
              </m:r>
              <m:r>
                <m:rPr>
                  <m:sty m:val="b"/>
                </m:rPr>
                <m:t>l</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num>
            <m:den>
              <m:r>
                <m:t>4</m:t>
              </m:r>
              <m:r>
                <m:t>π</m:t>
              </m:r>
            </m:den>
          </m:f>
          <m:r>
            <m:rPr>
              <m:sty m:val="p"/>
            </m:rPr>
            <m:t>∫</m:t>
          </m:r>
          <m:f>
            <m:fPr>
              <m:type m:val="bar"/>
            </m:fPr>
            <m:num>
              <m:r>
                <m:t>I</m:t>
              </m:r>
              <m:r>
                <m:t>d</m:t>
              </m:r>
              <m:r>
                <m:rPr>
                  <m:sty m:val="b"/>
                </m:rPr>
                <m:t>l</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In practice, we rarely use this form of the qeuation directly because it requires integrable solutions. Instead, we use the integral form of Ampere’s Law to solve problems with symmetry, we use the differential forms to solve problems numerically, and we develop other theoretical approaches. Because the divergence of the magnetic field is zero, we can write the magnetic field as the curl of a</w:t>
      </w:r>
      <w:r>
        <w:t xml:space="preserve"> </w:t>
      </w:r>
      <w:hyperlink r:id="rId34">
        <w:r>
          <w:rPr>
            <w:rStyle w:val="Hyperlink"/>
          </w:rPr>
          <w:t xml:space="preserve">vector potential</w:t>
        </w:r>
      </w:hyperlink>
      <w:r>
        <w:t xml:space="preserve">,</w:t>
      </w:r>
      <w:r>
        <w:t xml:space="preserve"> </w:t>
      </w:r>
      <m:oMath>
        <m:r>
          <m:rPr>
            <m:sty m:val="b"/>
          </m:rPr>
          <m:t>B</m:t>
        </m:r>
        <m:r>
          <m:rPr>
            <m:sty m:val="p"/>
          </m:rPr>
          <m:t>=</m:t>
        </m:r>
        <m:r>
          <m:rPr>
            <m:sty m:val="p"/>
          </m:rPr>
          <m:t>∇</m:t>
        </m:r>
        <m:r>
          <m:rPr>
            <m:sty m:val="p"/>
          </m:rPr>
          <m:t>×</m:t>
        </m:r>
        <m:r>
          <m:rPr>
            <m:sty m:val="b"/>
          </m:rPr>
          <m:t>A</m:t>
        </m:r>
      </m:oMath>
      <w:r>
        <w:t xml:space="preserve">. This has a integral form that is similar to the Biot-Savart Law, but directly proportional to the current density, which is much nicer:</w:t>
      </w:r>
    </w:p>
    <w:p>
      <w:pPr>
        <w:pStyle w:val="BodyText"/>
      </w:pPr>
      <m:oMathPara>
        <m:oMathParaPr>
          <m:jc m:val="center"/>
        </m:oMathParaPr>
        <m:oMath>
          <m:r>
            <m:rPr>
              <m:sty m:val="b"/>
            </m:rPr>
            <m:t>A</m:t>
          </m:r>
          <m:r>
            <m:rPr>
              <m:sty m:val="p"/>
            </m:rPr>
            <m:t>=</m:t>
          </m:r>
          <m:f>
            <m:fPr>
              <m:type m:val="bar"/>
            </m:fPr>
            <m:num>
              <m:sSub>
                <m:e>
                  <m:r>
                    <m:t>μ</m:t>
                  </m:r>
                </m:e>
                <m:sub>
                  <m:r>
                    <m:t>0</m:t>
                  </m:r>
                </m:sub>
              </m:sSub>
            </m:num>
            <m:den>
              <m:r>
                <m:t>4</m:t>
              </m:r>
              <m:r>
                <m:t>π</m:t>
              </m:r>
            </m:den>
          </m:f>
          <m:nary>
            <m:naryPr>
              <m:chr m:val="∫"/>
              <m:limLoc m:val="subSup"/>
              <m:subHide m:val="off"/>
              <m:supHide m:val="on"/>
            </m:naryPr>
            <m:sub>
              <m:r>
                <m:t>V</m:t>
              </m:r>
            </m:sub>
            <m:sup>
              <m:r>
                <m:t>​</m:t>
              </m:r>
            </m:sup>
            <m:e>
              <m:f>
                <m:fPr>
                  <m:type m:val="bar"/>
                </m:fPr>
                <m:num>
                  <m:r>
                    <m:rPr>
                      <m:sty m:val="b"/>
                    </m:rPr>
                    <m:t>J</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r>
                    <m:rPr>
                      <m:sty m:val="p"/>
                    </m:rPr>
                    <m:t>|</m:t>
                  </m:r>
                </m:den>
              </m:f>
            </m:e>
          </m:nary>
          <m:r>
            <m:t>d</m:t>
          </m:r>
          <m:sSup>
            <m:e>
              <m:r>
                <m:t>τ</m:t>
              </m:r>
            </m:e>
            <m:sup>
              <m:r>
                <m:rPr>
                  <m:sty m:val="p"/>
                </m:rPr>
                <m:t>′</m:t>
              </m:r>
            </m:sup>
          </m:sSup>
        </m:oMath>
      </m:oMathPara>
    </w:p>
    <w:p>
      <w:pPr>
        <w:pStyle w:val="FirstParagraph"/>
      </w:pPr>
      <w:r>
        <w:t xml:space="preserve">It turns out this is a better method for solving problems, especially computationally. That is beyond the scope of this course.</w:t>
      </w:r>
    </w:p>
    <w:bookmarkEnd w:id="35"/>
    <w:bookmarkStart w:id="36" w:name="the-electric-field-1"/>
    <w:p>
      <w:pPr>
        <w:pStyle w:val="Heading3"/>
      </w:pPr>
      <w:r>
        <w:t xml:space="preserve">The electric field</w:t>
      </w:r>
    </w:p>
    <w:p>
      <w:pPr>
        <w:pStyle w:val="FirstParagraph"/>
      </w:pPr>
      <w:r>
        <w:t xml:space="preserve">Because there is a magnetic field, the relevant Maxwell equations for</w:t>
      </w:r>
      <w:r>
        <w:t xml:space="preserve"> </w:t>
      </w:r>
      <m:oMath>
        <m:r>
          <m:rPr>
            <m:sty m:val="b"/>
          </m:rPr>
          <m:t>E</m:t>
        </m:r>
      </m:oMath>
      <w:r>
        <w:t xml:space="preserve"> </w:t>
      </w:r>
      <w:r>
        <w:t xml:space="preserve">that govern a magnetostatic situation are the following:</w:t>
      </w:r>
    </w:p>
    <w:p>
      <w:pPr>
        <w:pStyle w:val="BodyText"/>
      </w:pPr>
      <m:oMathPara>
        <m:oMathParaPr>
          <m:jc m:val="center"/>
        </m:oMathParaPr>
        <m:oMath>
          <m:r>
            <m:rPr>
              <m:sty m:val="p"/>
            </m:rPr>
            <m:t>∇</m:t>
          </m:r>
          <m:r>
            <m:rPr>
              <m:sty m:val="p"/>
            </m:rPr>
            <m:t>⋅</m:t>
          </m:r>
          <m:r>
            <m:rPr>
              <m:sty m:val="b"/>
            </m:rPr>
            <m:t>E</m:t>
          </m:r>
          <m:r>
            <m:rPr>
              <m:sty m:val="p"/>
            </m:rPr>
            <m:t>=</m:t>
          </m:r>
          <m:f>
            <m:fPr>
              <m:type m:val="bar"/>
            </m:fPr>
            <m:num>
              <m:r>
                <m:t>ρ</m:t>
              </m:r>
            </m:num>
            <m:den>
              <m:sSub>
                <m:e>
                  <m:r>
                    <m:t>ε</m:t>
                  </m:r>
                </m:e>
                <m:sub>
                  <m:r>
                    <m:t>0</m:t>
                  </m:r>
                </m:sub>
              </m:sSub>
            </m:den>
          </m:f>
        </m:oMath>
      </m:oMathPara>
    </w:p>
    <w:p>
      <w:pPr>
        <w:pStyle w:val="FirstParagraph"/>
      </w:pPr>
      <m:oMathPara>
        <m:oMathParaPr>
          <m:jc m:val="center"/>
        </m:oMathParaPr>
        <m:oMath>
          <m:r>
            <m:rPr>
              <m:sty m:val="p"/>
            </m:rPr>
            <m:t>∇</m:t>
          </m:r>
          <m:r>
            <m:rPr>
              <m:sty m:val="p"/>
            </m:rPr>
            <m:t>×</m:t>
          </m:r>
          <m:r>
            <m:rPr>
              <m:sty m:val="b"/>
            </m:rPr>
            <m:t>E</m:t>
          </m:r>
          <m:r>
            <m:rPr>
              <m:sty m:val="p"/>
            </m:rPr>
            <m:t>=</m:t>
          </m:r>
          <m:r>
            <m:rPr>
              <m:sty m:val="p"/>
            </m:rPr>
            <m:t>−</m:t>
          </m:r>
          <m:f>
            <m:fPr>
              <m:type m:val="bar"/>
            </m:fPr>
            <m:num>
              <m:r>
                <m:rPr>
                  <m:sty m:val="p"/>
                </m:rPr>
                <m:t>∂</m:t>
              </m:r>
              <m:r>
                <m:rPr>
                  <m:sty m:val="b"/>
                </m:rPr>
                <m:t>B</m:t>
              </m:r>
            </m:num>
            <m:den>
              <m:r>
                <m:rPr>
                  <m:sty m:val="p"/>
                </m:rPr>
                <m:t>∂</m:t>
              </m:r>
              <m:r>
                <m:t>t</m:t>
              </m:r>
            </m:den>
          </m:f>
        </m:oMath>
      </m:oMathPara>
    </w:p>
    <w:p>
      <w:pPr>
        <w:pStyle w:val="FirstParagraph"/>
      </w:pPr>
      <w:r>
        <w:t xml:space="preserve">Notice now we have to consider a changing magnetic field. In the magnetostatic situation, we argue the current densities are setup such that the magnetic field is static (i.e.,</w:t>
      </w:r>
      <w:r>
        <w:t xml:space="preserve"> </w:t>
      </w:r>
      <m:oMath>
        <m:f>
          <m:fPr>
            <m:type m:val="bar"/>
          </m:fPr>
          <m:num>
            <m:r>
              <m:rPr>
                <m:sty m:val="p"/>
              </m:rPr>
              <m:t>∂</m:t>
            </m:r>
            <m:r>
              <m:rPr>
                <m:sty m:val="b"/>
              </m:rPr>
              <m:t>B</m:t>
            </m:r>
          </m:num>
          <m:den>
            <m:r>
              <m:rPr>
                <m:sty m:val="p"/>
              </m:rPr>
              <m:t>∂</m:t>
            </m:r>
            <m:r>
              <m:t>t</m:t>
            </m:r>
          </m:den>
        </m:f>
        <m:r>
          <m:rPr>
            <m:sty m:val="p"/>
          </m:rPr>
          <m:t>=</m:t>
        </m:r>
        <m:r>
          <m:t>0</m:t>
        </m:r>
      </m:oMath>
      <w:r>
        <w:t xml:space="preserve">). This means the relevant equations for the electric field remain those in the electrostatic situation:</w:t>
      </w:r>
    </w:p>
    <w:p>
      <w:pPr>
        <w:pStyle w:val="BodyText"/>
      </w:pPr>
      <m:oMathPara>
        <m:oMathParaPr>
          <m:jc m:val="center"/>
        </m:oMathParaPr>
        <m:oMath>
          <m:r>
            <m:rPr>
              <m:sty m:val="p"/>
            </m:rPr>
            <m:t>∇</m:t>
          </m:r>
          <m:r>
            <m:rPr>
              <m:sty m:val="p"/>
            </m:rPr>
            <m:t>⋅</m:t>
          </m:r>
          <m:r>
            <m:rPr>
              <m:sty m:val="b"/>
            </m:rPr>
            <m:t>E</m:t>
          </m:r>
          <m:r>
            <m:rPr>
              <m:sty m:val="p"/>
            </m:rPr>
            <m:t>=</m:t>
          </m:r>
          <m:f>
            <m:fPr>
              <m:type m:val="bar"/>
            </m:fPr>
            <m:num>
              <m:r>
                <m:t>ρ</m:t>
              </m:r>
            </m:num>
            <m:den>
              <m:sSub>
                <m:e>
                  <m:r>
                    <m:t>ε</m:t>
                  </m:r>
                </m:e>
                <m:sub>
                  <m:r>
                    <m:t>0</m:t>
                  </m:r>
                </m:sub>
              </m:sSub>
            </m:den>
          </m:f>
        </m:oMath>
      </m:oMathPara>
    </w:p>
    <w:p>
      <w:pPr>
        <w:pStyle w:val="FirstParagraph"/>
      </w:pPr>
      <m:oMathPara>
        <m:oMathParaPr>
          <m:jc m:val="center"/>
        </m:oMathParaPr>
        <m:oMath>
          <m:r>
            <m:rPr>
              <m:sty m:val="p"/>
            </m:rPr>
            <m:t>∇</m:t>
          </m:r>
          <m:r>
            <m:rPr>
              <m:sty m:val="p"/>
            </m:rPr>
            <m:t>×</m:t>
          </m:r>
          <m:r>
            <m:rPr>
              <m:sty m:val="b"/>
            </m:rPr>
            <m:t>E</m:t>
          </m:r>
          <m:r>
            <m:rPr>
              <m:sty m:val="p"/>
            </m:rPr>
            <m:t>=</m:t>
          </m:r>
          <m:r>
            <m:t>0</m:t>
          </m:r>
        </m:oMath>
      </m:oMathPara>
    </w:p>
    <w:p>
      <w:pPr>
        <w:pStyle w:val="FirstParagraph"/>
      </w:pPr>
      <w:r>
        <w:t xml:space="preserve">And all the relevant tools we will develop for the electrostatic situation for</w:t>
      </w:r>
      <w:r>
        <w:t xml:space="preserve"> </w:t>
      </w:r>
      <m:oMath>
        <m:r>
          <m:rPr>
            <m:sty m:val="b"/>
          </m:rPr>
          <m:t>E</m:t>
        </m:r>
      </m:oMath>
      <w:r>
        <w:t xml:space="preserve"> </w:t>
      </w:r>
      <w:r>
        <w:t xml:space="preserve">apply here as well.</w:t>
      </w:r>
    </w:p>
    <w:bookmarkEnd w:id="36"/>
    <w:bookmarkEnd w:id="37"/>
    <w:bookmarkStart w:id="44" w:name="additional-resources"/>
    <w:p>
      <w:pPr>
        <w:pStyle w:val="Heading2"/>
      </w:pPr>
      <w:r>
        <w:t xml:space="preserve">Additional Resources</w:t>
      </w:r>
    </w:p>
    <w:bookmarkStart w:id="43" w:name="handwritten-notes"/>
    <w:p>
      <w:pPr>
        <w:pStyle w:val="Heading3"/>
      </w:pPr>
      <w:r>
        <w:t xml:space="preserve">Handwritten Notes</w:t>
      </w:r>
    </w:p>
    <w:p>
      <w:pPr>
        <w:pStyle w:val="Compact"/>
        <w:numPr>
          <w:ilvl w:val="0"/>
          <w:numId w:val="1002"/>
        </w:numPr>
      </w:pPr>
      <w:hyperlink r:id="rId38">
        <w:r>
          <w:rPr>
            <w:rStyle w:val="Hyperlink"/>
          </w:rPr>
          <w:t xml:space="preserve">Vector Calculus</w:t>
        </w:r>
      </w:hyperlink>
    </w:p>
    <w:p>
      <w:pPr>
        <w:pStyle w:val="Compact"/>
        <w:numPr>
          <w:ilvl w:val="0"/>
          <w:numId w:val="1002"/>
        </w:numPr>
      </w:pPr>
      <w:hyperlink r:id="rId39">
        <w:r>
          <w:rPr>
            <w:rStyle w:val="Hyperlink"/>
          </w:rPr>
          <w:t xml:space="preserve">Electrostatics and Superposition</w:t>
        </w:r>
      </w:hyperlink>
    </w:p>
    <w:p>
      <w:pPr>
        <w:pStyle w:val="Compact"/>
        <w:numPr>
          <w:ilvl w:val="0"/>
          <w:numId w:val="1002"/>
        </w:numPr>
      </w:pPr>
      <w:hyperlink r:id="rId40">
        <w:r>
          <w:rPr>
            <w:rStyle w:val="Hyperlink"/>
          </w:rPr>
          <w:t xml:space="preserve">Gauss’s Law</w:t>
        </w:r>
      </w:hyperlink>
    </w:p>
    <w:p>
      <w:pPr>
        <w:pStyle w:val="Compact"/>
        <w:numPr>
          <w:ilvl w:val="0"/>
          <w:numId w:val="1002"/>
        </w:numPr>
      </w:pPr>
      <w:hyperlink r:id="rId41">
        <w:r>
          <w:rPr>
            <w:rStyle w:val="Hyperlink"/>
          </w:rPr>
          <w:t xml:space="preserve">Magnetostatics</w:t>
        </w:r>
      </w:hyperlink>
    </w:p>
    <w:p>
      <w:pPr>
        <w:pStyle w:val="Compact"/>
        <w:numPr>
          <w:ilvl w:val="0"/>
          <w:numId w:val="1002"/>
        </w:numPr>
      </w:pPr>
      <w:hyperlink r:id="rId42">
        <w:r>
          <w:rPr>
            <w:rStyle w:val="Hyperlink"/>
          </w:rPr>
          <w:t xml:space="preserve">Ampere’s Law</w:t>
        </w:r>
      </w:hyperlink>
    </w:p>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jpg" /><Relationship Type="http://schemas.openxmlformats.org/officeDocument/2006/relationships/image" Id="rId18" Target="media/rId18.jpg" /><Relationship Type="http://schemas.openxmlformats.org/officeDocument/2006/relationships/hyperlink" Id="rId42" Target="../../assets/notes/Notes-Amperes_Law.pdf" TargetMode="External" /><Relationship Type="http://schemas.openxmlformats.org/officeDocument/2006/relationships/hyperlink" Id="rId39" Target="../../assets/notes/Notes-Electrostatics_and_Superposition.pdf" TargetMode="External" /><Relationship Type="http://schemas.openxmlformats.org/officeDocument/2006/relationships/hyperlink" Id="rId40" Target="../../assets/notes/Notes-Gauss_Law.pdf" TargetMode="External" /><Relationship Type="http://schemas.openxmlformats.org/officeDocument/2006/relationships/hyperlink" Id="rId41" Target="../../assets/notes/Notes-Magnetostatics.pdf" TargetMode="External" /><Relationship Type="http://schemas.openxmlformats.org/officeDocument/2006/relationships/hyperlink" Id="rId38" Target="../../assets/notes/Notes-Vector_Calculus.pdf" TargetMode="External" /><Relationship Type="http://schemas.openxmlformats.org/officeDocument/2006/relationships/hyperlink" Id="rId32" Target="https://en.wikipedia.org/wiki/Amp%C3%A8re%27s_circuital_law" TargetMode="External" /><Relationship Type="http://schemas.openxmlformats.org/officeDocument/2006/relationships/hyperlink" Id="rId33" Target="https://en.wikipedia.org/wiki/Biot%E2%80%93Savart_law" TargetMode="External" /><Relationship Type="http://schemas.openxmlformats.org/officeDocument/2006/relationships/hyperlink" Id="rId21" Target="https://en.wikipedia.org/wiki/Conservative_vector_field" TargetMode="External" /><Relationship Type="http://schemas.openxmlformats.org/officeDocument/2006/relationships/hyperlink" Id="rId22" Target="https://en.wikipedia.org/wiki/Electric_potential" TargetMode="External" /><Relationship Type="http://schemas.openxmlformats.org/officeDocument/2006/relationships/hyperlink" Id="rId17" Target="https://en.wikipedia.org/wiki/Gauss%27s_law" TargetMode="External" /><Relationship Type="http://schemas.openxmlformats.org/officeDocument/2006/relationships/hyperlink" Id="rId26" Target="https://en.wikipedia.org/wiki/Magnetic_monopole" TargetMode="External" /><Relationship Type="http://schemas.openxmlformats.org/officeDocument/2006/relationships/hyperlink" Id="rId28" Target="https://en.wikipedia.org/wiki/Magnetic_monopole#In_SI_units" TargetMode="External" /><Relationship Type="http://schemas.openxmlformats.org/officeDocument/2006/relationships/hyperlink" Id="rId27" Target="https://en.wikipedia.org/wiki/Magnetic_monopole#Searches_for_magnetic_monopoles" TargetMode="External" /><Relationship Type="http://schemas.openxmlformats.org/officeDocument/2006/relationships/hyperlink" Id="rId34" Target="https://en.wikipedia.org/wiki/Magnetic_vector_potential" TargetMode="External" /><Relationship Type="http://schemas.openxmlformats.org/officeDocument/2006/relationships/hyperlink" Id="rId9" Target="https://en.wikipedia.org/wiki/Maxwell%27s_equations" TargetMode="External" /><Relationship Type="http://schemas.openxmlformats.org/officeDocument/2006/relationships/hyperlink" Id="rId30" Target="https://icecube.wisc.edu/news/research/2022/01/icecube-and-the-mystery-of-the-missing-magnetic-monopoles/" TargetMode="External" /><Relationship Type="http://schemas.openxmlformats.org/officeDocument/2006/relationships/hyperlink" Id="rId14" Target="https://inv.tux.pizza/watch?v=rB83DpBJQsE" TargetMode="External" /><Relationship Type="http://schemas.openxmlformats.org/officeDocument/2006/relationships/hyperlink" Id="rId31" Target="https://pa.msu.edu/high-energy-physics/icecube-neutrino-observatory.aspx" TargetMode="External" /><Relationship Type="http://schemas.openxmlformats.org/officeDocument/2006/relationships/hyperlink" Id="rId29" Target="https://phys.org/news/2016-08-mysterious-magnetic-monopole.html" TargetMode="External" /><Relationship Type="http://schemas.openxmlformats.org/officeDocument/2006/relationships/hyperlink" Id="rId10" Target="https://www.3blue1brown.com/" TargetMode="External" /><Relationship Type="http://schemas.openxmlformats.org/officeDocument/2006/relationships/hyperlink" Id="rId15" Target="https://youtube.com/watch?v=rB83DpBJQsE" TargetMode="External" /></Relationships>
</file>

<file path=word/_rels/footnotes.xml.rels><?xml version="1.0" encoding="UTF-8"?><Relationships xmlns="http://schemas.openxmlformats.org/package/2006/relationships"><Relationship Type="http://schemas.openxmlformats.org/officeDocument/2006/relationships/hyperlink" Id="rId42" Target="../../assets/notes/Notes-Amperes_Law.pdf" TargetMode="External" /><Relationship Type="http://schemas.openxmlformats.org/officeDocument/2006/relationships/hyperlink" Id="rId39" Target="../../assets/notes/Notes-Electrostatics_and_Superposition.pdf" TargetMode="External" /><Relationship Type="http://schemas.openxmlformats.org/officeDocument/2006/relationships/hyperlink" Id="rId40" Target="../../assets/notes/Notes-Gauss_Law.pdf" TargetMode="External" /><Relationship Type="http://schemas.openxmlformats.org/officeDocument/2006/relationships/hyperlink" Id="rId41" Target="../../assets/notes/Notes-Magnetostatics.pdf" TargetMode="External" /><Relationship Type="http://schemas.openxmlformats.org/officeDocument/2006/relationships/hyperlink" Id="rId38" Target="../../assets/notes/Notes-Vector_Calculus.pdf" TargetMode="External" /><Relationship Type="http://schemas.openxmlformats.org/officeDocument/2006/relationships/hyperlink" Id="rId32" Target="https://en.wikipedia.org/wiki/Amp%C3%A8re%27s_circuital_law" TargetMode="External" /><Relationship Type="http://schemas.openxmlformats.org/officeDocument/2006/relationships/hyperlink" Id="rId33" Target="https://en.wikipedia.org/wiki/Biot%E2%80%93Savart_law" TargetMode="External" /><Relationship Type="http://schemas.openxmlformats.org/officeDocument/2006/relationships/hyperlink" Id="rId21" Target="https://en.wikipedia.org/wiki/Conservative_vector_field" TargetMode="External" /><Relationship Type="http://schemas.openxmlformats.org/officeDocument/2006/relationships/hyperlink" Id="rId22" Target="https://en.wikipedia.org/wiki/Electric_potential" TargetMode="External" /><Relationship Type="http://schemas.openxmlformats.org/officeDocument/2006/relationships/hyperlink" Id="rId17" Target="https://en.wikipedia.org/wiki/Gauss%27s_law" TargetMode="External" /><Relationship Type="http://schemas.openxmlformats.org/officeDocument/2006/relationships/hyperlink" Id="rId26" Target="https://en.wikipedia.org/wiki/Magnetic_monopole" TargetMode="External" /><Relationship Type="http://schemas.openxmlformats.org/officeDocument/2006/relationships/hyperlink" Id="rId28" Target="https://en.wikipedia.org/wiki/Magnetic_monopole#In_SI_units" TargetMode="External" /><Relationship Type="http://schemas.openxmlformats.org/officeDocument/2006/relationships/hyperlink" Id="rId27" Target="https://en.wikipedia.org/wiki/Magnetic_monopole#Searches_for_magnetic_monopoles" TargetMode="External" /><Relationship Type="http://schemas.openxmlformats.org/officeDocument/2006/relationships/hyperlink" Id="rId34" Target="https://en.wikipedia.org/wiki/Magnetic_vector_potential" TargetMode="External" /><Relationship Type="http://schemas.openxmlformats.org/officeDocument/2006/relationships/hyperlink" Id="rId9" Target="https://en.wikipedia.org/wiki/Maxwell%27s_equations" TargetMode="External" /><Relationship Type="http://schemas.openxmlformats.org/officeDocument/2006/relationships/hyperlink" Id="rId30" Target="https://icecube.wisc.edu/news/research/2022/01/icecube-and-the-mystery-of-the-missing-magnetic-monopoles/" TargetMode="External" /><Relationship Type="http://schemas.openxmlformats.org/officeDocument/2006/relationships/hyperlink" Id="rId14" Target="https://inv.tux.pizza/watch?v=rB83DpBJQsE" TargetMode="External" /><Relationship Type="http://schemas.openxmlformats.org/officeDocument/2006/relationships/hyperlink" Id="rId31" Target="https://pa.msu.edu/high-energy-physics/icecube-neutrino-observatory.aspx" TargetMode="External" /><Relationship Type="http://schemas.openxmlformats.org/officeDocument/2006/relationships/hyperlink" Id="rId29" Target="https://phys.org/news/2016-08-mysterious-magnetic-monopole.html" TargetMode="External" /><Relationship Type="http://schemas.openxmlformats.org/officeDocument/2006/relationships/hyperlink" Id="rId10" Target="https://www.3blue1brown.com/" TargetMode="External" /><Relationship Type="http://schemas.openxmlformats.org/officeDocument/2006/relationships/hyperlink" Id="rId15" Target="https://youtube.com/watch?v=rB83DpBJQ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2025-07-10T06:32:05Z</dcterms:created>
  <dcterms:modified xsi:type="dcterms:W3CDTF">2025-07-10T06:32:05Z</dcterms:modified>
</cp:coreProperties>
</file>

<file path=docProps/custom.xml><?xml version="1.0" encoding="utf-8"?>
<Properties xmlns="http://schemas.openxmlformats.org/officeDocument/2006/custom-properties" xmlns:vt="http://schemas.openxmlformats.org/officeDocument/2006/docPropsVTypes"/>
</file>