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B2A2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B2A2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B2A2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B2A2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B2A2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B2A2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B2A2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B2A2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B2A2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B2A2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B2A2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B2A2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B2A2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079E0BF" w:rsidR="00B66AF3" w:rsidRDefault="007F0E19" w:rsidP="00B66AF3">
          <w:r>
            <w:t>3.7.2 Adolescent birth rate (per 1,000 women aged 15-19 years) [3.7.2] (SP_DYN_ADKL)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515E22AF"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B2AF391"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BB990F0" w:rsidR="000C3CDE" w:rsidRPr="00DE7CEF" w:rsidRDefault="00DE7CEF" w:rsidP="008C3F7C">
            <w:pPr>
              <w:pStyle w:val="MIndHeader"/>
              <w:rPr>
                <w:rFonts w:asciiTheme="majorBidi" w:hAnsiTheme="majorBidi" w:cstheme="majorBidi"/>
                <w:color w:val="333333"/>
              </w:rPr>
            </w:pPr>
            <w:r>
              <w:rPr>
                <w:rFonts w:asciiTheme="majorBidi" w:hAnsiTheme="majorBidi" w:cstheme="majorBidi"/>
                <w:color w:val="333333"/>
              </w:rPr>
              <w:t xml:space="preserve">3 </w:t>
            </w:r>
            <w:r w:rsidRPr="00DE7CEF">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7B06313" w:rsidR="005377B9" w:rsidRPr="00DE7CEF" w:rsidRDefault="009F706E" w:rsidP="009F706E">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3.7 </w:t>
            </w:r>
            <w:r w:rsidRPr="009F706E">
              <w:rPr>
                <w:rFonts w:asciiTheme="majorBidi" w:hAnsiTheme="majorBidi" w:cstheme="majorBidi"/>
                <w:color w:val="000000"/>
                <w:sz w:val="22"/>
                <w:szCs w:val="22"/>
                <w:shd w:val="clear" w:color="auto" w:fill="FFFFFF"/>
              </w:rPr>
              <w:t>By 2030, ensure universal access to sexual and reproductive health-care services, including for family planning, information and education, and the integration of reproductive health into national strategies and programmes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E928003" w:rsidR="005377B9" w:rsidRPr="00030DBC" w:rsidRDefault="00DE7CEF" w:rsidP="005A3BC7">
            <w:pPr>
              <w:rPr>
                <w:rFonts w:asciiTheme="majorBidi" w:hAnsiTheme="majorBidi" w:cstheme="majorBidi"/>
              </w:rPr>
            </w:pPr>
            <w:r>
              <w:rPr>
                <w:rFonts w:asciiTheme="majorBidi" w:hAnsiTheme="majorBidi" w:cstheme="majorBidi"/>
                <w:color w:val="333333"/>
              </w:rPr>
              <w:t>3</w:t>
            </w:r>
            <w:r w:rsidR="005A3BC7">
              <w:rPr>
                <w:rFonts w:asciiTheme="majorBidi" w:hAnsiTheme="majorBidi" w:cstheme="majorBidi"/>
                <w:color w:val="333333"/>
              </w:rPr>
              <w:t xml:space="preserve">.7.2 </w:t>
            </w:r>
            <w:r w:rsidR="005A3BC7" w:rsidRPr="005A3BC7">
              <w:rPr>
                <w:rFonts w:asciiTheme="majorBidi" w:hAnsiTheme="majorBidi" w:cstheme="majorBidi"/>
                <w:color w:val="333333"/>
              </w:rPr>
              <w:t>Adolescent birth rate (aged 10-14 years; aged 15-19 years) per 1,000 women in that age group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22E7552" w:rsidR="005377B9" w:rsidRPr="00030DBC" w:rsidRDefault="004A0B04"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6FF4492" w:rsidR="003E7389" w:rsidRPr="00030DBC" w:rsidRDefault="00CA40E4"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56F2701" w:rsidR="00D60919" w:rsidRPr="00511C0D" w:rsidRDefault="005A3BC7" w:rsidP="009F706E">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According to WHO, the adolescent birth rate is technically known as the age-specific fertility rate. It provides a basic measure of reproductive health focusing on a vulnerable group of adolescent women. </w:t>
            </w:r>
            <w:r w:rsidR="006E50EA">
              <w:rPr>
                <w:rFonts w:asciiTheme="majorBidi" w:hAnsiTheme="majorBidi" w:cstheme="majorBidi"/>
                <w:color w:val="auto"/>
                <w:sz w:val="22"/>
                <w:szCs w:val="22"/>
              </w:rPr>
              <w:t xml:space="preserve">The indicators </w:t>
            </w:r>
            <w:r w:rsidR="006E50EA" w:rsidRPr="006E50EA">
              <w:rPr>
                <w:rFonts w:asciiTheme="majorBidi" w:hAnsiTheme="majorBidi" w:cstheme="majorBidi"/>
                <w:color w:val="auto"/>
                <w:sz w:val="22"/>
                <w:szCs w:val="22"/>
              </w:rPr>
              <w:t>‘</w:t>
            </w:r>
            <w:r w:rsidR="006E50EA" w:rsidRPr="006E50EA">
              <w:rPr>
                <w:rFonts w:asciiTheme="majorBidi" w:hAnsiTheme="majorBidi" w:cstheme="majorBidi"/>
                <w:color w:val="333333"/>
                <w:sz w:val="22"/>
                <w:szCs w:val="22"/>
              </w:rPr>
              <w:t>Adolescent birth rate (aged 10-14 years; aged 15-19 years) per 1,000 women in that age group</w:t>
            </w:r>
            <w:r w:rsidR="006E50EA">
              <w:rPr>
                <w:rFonts w:asciiTheme="majorBidi" w:hAnsiTheme="majorBidi" w:cstheme="majorBidi"/>
                <w:color w:val="auto"/>
                <w:sz w:val="22"/>
                <w:szCs w:val="22"/>
              </w:rPr>
              <w:t>’ is defined as annual number of births to women  between the age group 10-14 and 15-19 years per 1000 women in that age group.</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4E71580" w:rsidR="0015178E" w:rsidRPr="002919C5" w:rsidRDefault="005A3BC7" w:rsidP="005A3BC7">
            <w:pPr>
              <w:rPr>
                <w:rFonts w:asciiTheme="majorBidi" w:hAnsiTheme="majorBidi" w:cstheme="majorBidi"/>
              </w:rPr>
            </w:pPr>
            <w:r w:rsidRPr="005A3BC7">
              <w:rPr>
                <w:rFonts w:asciiTheme="majorBidi" w:hAnsiTheme="majorBidi" w:cstheme="majorBidi"/>
              </w:rPr>
              <w:t>Annual number of births to females aged 10-14 or 15-19 years per 1,000 fema</w:t>
            </w:r>
            <w:r>
              <w:rPr>
                <w:rFonts w:asciiTheme="majorBidi" w:hAnsiTheme="majorBidi" w:cstheme="majorBidi"/>
              </w:rPr>
              <w:t>les in the respective age group</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3736E86" w:rsidR="00C65038" w:rsidRPr="00680947" w:rsidRDefault="007F0E19" w:rsidP="00B5628F">
            <w:pPr>
              <w:rPr>
                <w:rFonts w:asciiTheme="majorBidi" w:hAnsiTheme="majorBidi" w:cstheme="majorBidi"/>
              </w:rPr>
            </w:pPr>
            <w:r w:rsidRPr="007F0E19">
              <w:rPr>
                <w:rFonts w:asciiTheme="majorBidi" w:hAnsiTheme="majorBidi" w:cstheme="majorBidi"/>
              </w:rPr>
              <w:t xml:space="preserve">An international multi-purpose household survey </w:t>
            </w:r>
            <w:proofErr w:type="spellStart"/>
            <w:r w:rsidRPr="007F0E19">
              <w:rPr>
                <w:rFonts w:asciiTheme="majorBidi" w:hAnsiTheme="majorBidi" w:cstheme="majorBidi"/>
              </w:rPr>
              <w:t>programme</w:t>
            </w:r>
            <w:proofErr w:type="spellEnd"/>
            <w:r w:rsidRPr="007F0E19">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871231">
              <w:rPr>
                <w:rFonts w:asciiTheme="majorBidi" w:hAnsiTheme="majorBidi" w:cstheme="majorBidi"/>
              </w:rPr>
              <w:t xml:space="preserve">n, widely known as global MICS </w:t>
            </w:r>
            <w:proofErr w:type="spellStart"/>
            <w:r w:rsidR="00871231">
              <w:rPr>
                <w:rFonts w:asciiTheme="majorBidi" w:hAnsiTheme="majorBidi" w:cstheme="majorBidi"/>
              </w:rPr>
              <w:t>p</w:t>
            </w:r>
            <w:r w:rsidRPr="007F0E19">
              <w:rPr>
                <w:rFonts w:asciiTheme="majorBidi" w:hAnsiTheme="majorBidi" w:cstheme="majorBidi"/>
              </w:rPr>
              <w:t>rogramme</w:t>
            </w:r>
            <w:proofErr w:type="spellEnd"/>
            <w:r w:rsidRPr="007F0E19">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w:t>
            </w:r>
            <w:r w:rsidR="006269B9" w:rsidRPr="008E29E4">
              <w:rPr>
                <w:rFonts w:asciiTheme="majorBidi" w:hAnsiTheme="majorBidi" w:cstheme="majorBidi"/>
                <w:color w:val="000000"/>
                <w:sz w:val="22"/>
                <w:szCs w:val="22"/>
              </w:rPr>
              <w:lastRenderedPageBreak/>
              <w:t xml:space="preserve">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7EAFEC09" w:rsidR="00517C7B" w:rsidRPr="00517C7B" w:rsidRDefault="007F0E19" w:rsidP="00517C7B">
            <w:pPr>
              <w:pStyle w:val="Default"/>
              <w:rPr>
                <w:rFonts w:asciiTheme="majorBidi" w:hAnsiTheme="majorBidi" w:cstheme="majorBidi"/>
                <w:sz w:val="22"/>
                <w:szCs w:val="22"/>
                <w:lang w:eastAsia="en-US" w:bidi="ne-NP"/>
              </w:rPr>
            </w:pPr>
            <w:r w:rsidRPr="007F0E19">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7F0E19">
              <w:rPr>
                <w:rFonts w:asciiTheme="majorBidi" w:hAnsiTheme="majorBidi" w:cstheme="majorBidi"/>
                <w:sz w:val="22"/>
                <w:szCs w:val="22"/>
                <w:lang w:eastAsia="en-US" w:bidi="ne-NP"/>
              </w:rPr>
              <w:t>Sindhupalchowk</w:t>
            </w:r>
            <w:proofErr w:type="spellEnd"/>
            <w:r w:rsidRPr="007F0E19">
              <w:rPr>
                <w:rFonts w:asciiTheme="majorBidi" w:hAnsiTheme="majorBidi" w:cstheme="majorBidi"/>
                <w:sz w:val="22"/>
                <w:szCs w:val="22"/>
                <w:lang w:eastAsia="en-US" w:bidi="ne-NP"/>
              </w:rPr>
              <w:t xml:space="preserve"> and </w:t>
            </w:r>
            <w:proofErr w:type="spellStart"/>
            <w:r w:rsidRPr="007F0E19">
              <w:rPr>
                <w:rFonts w:asciiTheme="majorBidi" w:hAnsiTheme="majorBidi" w:cstheme="majorBidi"/>
                <w:sz w:val="22"/>
                <w:szCs w:val="22"/>
                <w:lang w:eastAsia="en-US" w:bidi="ne-NP"/>
              </w:rPr>
              <w:t>Sindhuli</w:t>
            </w:r>
            <w:proofErr w:type="spellEnd"/>
            <w:r w:rsidRPr="007F0E19">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249A83E" w:rsidR="0035311B" w:rsidRPr="009F305C" w:rsidRDefault="00CA40E4" w:rsidP="009F305C">
            <w:r w:rsidRPr="00F00C82">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1719D63" w:rsidR="0035311B" w:rsidRPr="009F305C" w:rsidRDefault="00CA40E4" w:rsidP="009F305C">
            <w:r w:rsidRPr="00F00C82">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B550BD6" w:rsidR="007F2D9F" w:rsidRPr="00F54923" w:rsidRDefault="009A5EB5" w:rsidP="00FB2A25">
            <w:pPr>
              <w:pStyle w:val="MText"/>
              <w:rPr>
                <w:rFonts w:asciiTheme="majorBidi" w:hAnsiTheme="majorBidi" w:cstheme="majorBidi"/>
                <w:sz w:val="22"/>
                <w:szCs w:val="22"/>
              </w:rPr>
            </w:pPr>
            <w:r>
              <w:rPr>
                <w:rFonts w:asciiTheme="majorBidi" w:hAnsiTheme="majorBidi" w:cstheme="majorBidi"/>
                <w:sz w:val="22"/>
                <w:szCs w:val="22"/>
              </w:rPr>
              <w:t xml:space="preserve"> </w:t>
            </w:r>
            <w:r w:rsidR="00FB2A25" w:rsidRPr="00FB2A25">
              <w:rPr>
                <w:rFonts w:asciiTheme="majorBidi" w:hAnsiTheme="majorBidi" w:cstheme="majorBidi"/>
                <w:sz w:val="22"/>
                <w:szCs w:val="22"/>
              </w:rPr>
              <w:t>For the improvement of sexual and reproductive health and the social and economic well-being of adolescents, rate of adolescent fertility must be reduced and address the multiple factors underlying it. Early pregnancy and child birth has greater risks of complications or even death during pregnancy and birth. Furthermore, mother and children are subject to be more vulnerable. Therefore, preventing births very early in a woman’s life is an important measure to improve maternal health and reduce the infant mortality rate. The adolescent birth rate also provides indirect evidence on access to pertinent health services since young people, and in a particular unmarried adolescent women, often experience difficulties in access to sexual and reproductive health services.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45A973C" w:rsidR="007F2D9F" w:rsidRPr="00026FEA" w:rsidRDefault="00FB2A25" w:rsidP="00F00C82">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Pr>
                <w:rFonts w:asciiTheme="majorBidi" w:hAnsiTheme="majorBidi" w:cstheme="majorBidi"/>
                <w:sz w:val="22"/>
                <w:szCs w:val="22"/>
              </w:rPr>
              <w:t xml:space="preserve">on </w:t>
            </w:r>
            <w:r w:rsidRPr="00CC04C5">
              <w:rPr>
                <w:rFonts w:asciiTheme="majorBidi" w:hAnsiTheme="majorBidi" w:cstheme="majorBidi"/>
                <w:color w:val="333333"/>
              </w:rPr>
              <w:t>number of live births to women aged 15-19 years</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21E490A" w14:textId="77777777" w:rsidR="00FB2A25" w:rsidRDefault="00FB2A25" w:rsidP="00FB2A25">
            <w:pPr>
              <w:rPr>
                <w:rFonts w:asciiTheme="majorBidi" w:hAnsiTheme="majorBidi" w:cstheme="majorBidi"/>
                <w:color w:val="333333"/>
              </w:rPr>
            </w:pPr>
            <w:r w:rsidRPr="00CC04C5">
              <w:rPr>
                <w:rFonts w:asciiTheme="majorBidi" w:hAnsiTheme="majorBidi" w:cstheme="majorBidi"/>
                <w:color w:val="333333"/>
              </w:rPr>
              <w:t>The adolescent birth rate is computed as a ratio. The numerator is the number of live births to women aged 15-19 years, and the denominator an estimate of exposure to childbearing by women aged 15-19 years. The computation is the same for the age group 10-14 years</w:t>
            </w:r>
            <w:bookmarkStart w:id="25" w:name="_GoBack"/>
            <w:bookmarkEnd w:id="25"/>
            <w:r w:rsidRPr="00CC04C5">
              <w:rPr>
                <w:rFonts w:asciiTheme="majorBidi" w:hAnsiTheme="majorBidi" w:cstheme="majorBidi"/>
                <w:color w:val="333333"/>
              </w:rPr>
              <w:t>. The numerator and the denominator are calculated differently for civil regis</w:t>
            </w:r>
            <w:r>
              <w:rPr>
                <w:rFonts w:asciiTheme="majorBidi" w:hAnsiTheme="majorBidi" w:cstheme="majorBidi"/>
                <w:color w:val="333333"/>
              </w:rPr>
              <w:t>tration, survey and census data.</w:t>
            </w:r>
          </w:p>
          <w:p w14:paraId="5A53B8A7" w14:textId="0EE4E85E" w:rsidR="00B40D23" w:rsidRPr="00805865" w:rsidRDefault="00FB2A25" w:rsidP="00FB2A25">
            <w:pPr>
              <w:rPr>
                <w:rFonts w:asciiTheme="majorBidi" w:hAnsiTheme="majorBidi" w:cstheme="majorBidi"/>
              </w:rPr>
            </w:pPr>
            <w:r>
              <w:rPr>
                <w:rFonts w:asciiTheme="majorBidi" w:hAnsiTheme="majorBidi" w:cstheme="majorBidi"/>
                <w:color w:val="333333"/>
              </w:rPr>
              <w:t>Age – specific fertility rates</w:t>
            </w:r>
            <w:r>
              <w:rPr>
                <w:rFonts w:asciiTheme="majorBidi" w:hAnsiTheme="majorBidi" w:cstheme="majorBidi"/>
              </w:rPr>
              <w:t xml:space="preserve"> = Number of births to women in age group in a given year or reference period</w:t>
            </w:r>
            <w:r w:rsidRPr="004A0B04">
              <w:rPr>
                <w:rFonts w:asciiTheme="majorBidi" w:hAnsiTheme="majorBidi" w:cstheme="majorBidi"/>
              </w:rPr>
              <w:t xml:space="preserve"> </w:t>
            </w:r>
            <w:r>
              <w:rPr>
                <w:rFonts w:asciiTheme="majorBidi" w:hAnsiTheme="majorBidi" w:cstheme="majorBidi"/>
              </w:rPr>
              <w:t xml:space="preserve">/Number of person-years of exposure in age group a during the specified reference </w:t>
            </w:r>
            <w:r w:rsidRPr="00026FEA">
              <w:rPr>
                <w:rFonts w:asciiTheme="majorBidi" w:hAnsiTheme="majorBidi" w:cstheme="majorBidi"/>
              </w:rPr>
              <w:t>×</w:t>
            </w:r>
            <w:r>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4790A513" w:rsidR="00711E36" w:rsidRPr="001045C4" w:rsidRDefault="007F0E19" w:rsidP="009F305C">
            <w:pPr>
              <w:rPr>
                <w:rFonts w:asciiTheme="majorBidi" w:hAnsiTheme="majorBidi" w:cstheme="majorBidi"/>
              </w:rPr>
            </w:pPr>
            <w:r w:rsidRPr="007F0E19">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DA1645A" w14:textId="77777777" w:rsidR="00CA40E4" w:rsidRDefault="00CA40E4" w:rsidP="00CA40E4">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393BA92" w14:textId="77777777" w:rsidR="00CA40E4" w:rsidRPr="001045C4" w:rsidRDefault="00CA40E4" w:rsidP="00CA40E4">
            <w:pPr>
              <w:rPr>
                <w:rFonts w:asciiTheme="majorBidi" w:hAnsiTheme="majorBidi" w:cstheme="majorBidi"/>
                <w:color w:val="000000"/>
              </w:rPr>
            </w:pPr>
            <w:r w:rsidRPr="001045C4">
              <w:rPr>
                <w:rFonts w:asciiTheme="majorBidi" w:hAnsiTheme="majorBidi" w:cstheme="majorBidi"/>
                <w:color w:val="000000"/>
              </w:rPr>
              <w:lastRenderedPageBreak/>
              <w:t>Interviewer’s manual in Nepali language was developed which included concepts, definitions, description of each question and fieldwork procedures, etc. to ensure that quality information was collected.</w:t>
            </w:r>
          </w:p>
          <w:p w14:paraId="49CC4A3F" w14:textId="25693FC5" w:rsidR="007F2D9F" w:rsidRPr="009F305C" w:rsidRDefault="00CA40E4" w:rsidP="00CA40E4">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0924810" w14:textId="77777777" w:rsidR="00CA40E4" w:rsidRDefault="00CA40E4" w:rsidP="00CA40E4">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6E35752" w14:textId="77777777" w:rsidR="00CA40E4" w:rsidRPr="001045C4" w:rsidRDefault="00CA40E4" w:rsidP="00CA40E4">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7A999F88" w:rsidR="007F2D9F" w:rsidRPr="009F305C" w:rsidRDefault="00CA40E4" w:rsidP="00CA40E4">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 xml:space="preserve">Central Bureau of Statistics (CBS), 2020. Nepal Multiple Indicator Cluster Survey 2019, Survey Findings Report. </w:t>
            </w:r>
            <w:r w:rsidRPr="002919C5">
              <w:rPr>
                <w:rFonts w:asciiTheme="majorBidi" w:hAnsiTheme="majorBidi" w:cstheme="majorBidi"/>
              </w:rPr>
              <w:lastRenderedPageBreak/>
              <w:t>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A3BC7" w:rsidRDefault="005A3BC7" w:rsidP="006B0512">
      <w:pPr>
        <w:spacing w:after="0" w:line="240" w:lineRule="auto"/>
      </w:pPr>
      <w:r>
        <w:separator/>
      </w:r>
    </w:p>
  </w:endnote>
  <w:endnote w:type="continuationSeparator" w:id="0">
    <w:p w14:paraId="0652DDFD" w14:textId="77777777" w:rsidR="005A3BC7" w:rsidRDefault="005A3BC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0AA4786" w:rsidR="005A3BC7" w:rsidRDefault="005A3BC7">
        <w:pPr>
          <w:pStyle w:val="Footer"/>
          <w:jc w:val="right"/>
        </w:pPr>
        <w:r>
          <w:fldChar w:fldCharType="begin"/>
        </w:r>
        <w:r>
          <w:instrText xml:space="preserve"> PAGE   \* MERGEFORMAT </w:instrText>
        </w:r>
        <w:r>
          <w:fldChar w:fldCharType="separate"/>
        </w:r>
        <w:r w:rsidR="00FB2A25">
          <w:rPr>
            <w:noProof/>
          </w:rPr>
          <w:t>13</w:t>
        </w:r>
        <w:r>
          <w:rPr>
            <w:noProof/>
          </w:rPr>
          <w:fldChar w:fldCharType="end"/>
        </w:r>
      </w:p>
    </w:sdtContent>
  </w:sdt>
  <w:p w14:paraId="232AF3D4" w14:textId="77777777" w:rsidR="005A3BC7" w:rsidRDefault="005A3B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51929EE" w:rsidR="005A3BC7" w:rsidRDefault="005A3BC7">
        <w:pPr>
          <w:pStyle w:val="Footer"/>
          <w:jc w:val="right"/>
        </w:pPr>
        <w:r>
          <w:fldChar w:fldCharType="begin"/>
        </w:r>
        <w:r>
          <w:instrText xml:space="preserve"> PAGE   \* MERGEFORMAT </w:instrText>
        </w:r>
        <w:r>
          <w:fldChar w:fldCharType="separate"/>
        </w:r>
        <w:r w:rsidR="00FB2A25">
          <w:rPr>
            <w:noProof/>
          </w:rPr>
          <w:t>1</w:t>
        </w:r>
        <w:r>
          <w:rPr>
            <w:noProof/>
          </w:rPr>
          <w:fldChar w:fldCharType="end"/>
        </w:r>
      </w:p>
    </w:sdtContent>
  </w:sdt>
  <w:p w14:paraId="52FF1B3E" w14:textId="77777777" w:rsidR="005A3BC7" w:rsidRDefault="005A3B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A3BC7" w:rsidRDefault="005A3BC7" w:rsidP="006B0512">
      <w:pPr>
        <w:spacing w:after="0" w:line="240" w:lineRule="auto"/>
      </w:pPr>
      <w:r>
        <w:separator/>
      </w:r>
    </w:p>
  </w:footnote>
  <w:footnote w:type="continuationSeparator" w:id="0">
    <w:p w14:paraId="21AE062F" w14:textId="77777777" w:rsidR="005A3BC7" w:rsidRDefault="005A3BC7" w:rsidP="006B0512">
      <w:pPr>
        <w:spacing w:after="0" w:line="240" w:lineRule="auto"/>
      </w:pPr>
      <w:r>
        <w:continuationSeparator/>
      </w:r>
    </w:p>
  </w:footnote>
  <w:footnote w:id="1">
    <w:p w14:paraId="463C7A6C" w14:textId="3926C0D8" w:rsidR="005A3BC7" w:rsidRPr="00B8102F" w:rsidRDefault="005A3BC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8396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2623"/>
    <w:rsid w:val="000E2C88"/>
    <w:rsid w:val="000E4EFE"/>
    <w:rsid w:val="000F3B8E"/>
    <w:rsid w:val="001034ED"/>
    <w:rsid w:val="001045C4"/>
    <w:rsid w:val="00106632"/>
    <w:rsid w:val="001127E6"/>
    <w:rsid w:val="0013388C"/>
    <w:rsid w:val="00144304"/>
    <w:rsid w:val="0014660A"/>
    <w:rsid w:val="0015178E"/>
    <w:rsid w:val="00151B76"/>
    <w:rsid w:val="00154283"/>
    <w:rsid w:val="00154D3F"/>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75AB1"/>
    <w:rsid w:val="002806B7"/>
    <w:rsid w:val="002919C5"/>
    <w:rsid w:val="0029558C"/>
    <w:rsid w:val="002A631A"/>
    <w:rsid w:val="002A67E3"/>
    <w:rsid w:val="002A6E7E"/>
    <w:rsid w:val="002C065D"/>
    <w:rsid w:val="002C550A"/>
    <w:rsid w:val="002E449E"/>
    <w:rsid w:val="002E6DA3"/>
    <w:rsid w:val="002F0922"/>
    <w:rsid w:val="0031573B"/>
    <w:rsid w:val="0031646B"/>
    <w:rsid w:val="00316CFE"/>
    <w:rsid w:val="003218D9"/>
    <w:rsid w:val="00325D2B"/>
    <w:rsid w:val="00344199"/>
    <w:rsid w:val="003514F3"/>
    <w:rsid w:val="00352386"/>
    <w:rsid w:val="0035311B"/>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0B04"/>
    <w:rsid w:val="004A31AD"/>
    <w:rsid w:val="004A54CC"/>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0E19"/>
    <w:rsid w:val="007F2D9F"/>
    <w:rsid w:val="007F5448"/>
    <w:rsid w:val="007F6520"/>
    <w:rsid w:val="00800ED9"/>
    <w:rsid w:val="00805865"/>
    <w:rsid w:val="00806D18"/>
    <w:rsid w:val="00810C60"/>
    <w:rsid w:val="00810F5B"/>
    <w:rsid w:val="0082426F"/>
    <w:rsid w:val="00840512"/>
    <w:rsid w:val="0084113E"/>
    <w:rsid w:val="00851DF8"/>
    <w:rsid w:val="008521A2"/>
    <w:rsid w:val="00865A34"/>
    <w:rsid w:val="00871231"/>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40E4"/>
    <w:rsid w:val="00CA6252"/>
    <w:rsid w:val="00CA646E"/>
    <w:rsid w:val="00CA7FA5"/>
    <w:rsid w:val="00CB7B0D"/>
    <w:rsid w:val="00CC04C5"/>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0919"/>
    <w:rsid w:val="00D622B2"/>
    <w:rsid w:val="00D6461B"/>
    <w:rsid w:val="00D76246"/>
    <w:rsid w:val="00D815D9"/>
    <w:rsid w:val="00D855E8"/>
    <w:rsid w:val="00DA69E7"/>
    <w:rsid w:val="00DB1DCD"/>
    <w:rsid w:val="00DB71E4"/>
    <w:rsid w:val="00DC4AE7"/>
    <w:rsid w:val="00DC7C5F"/>
    <w:rsid w:val="00DD4950"/>
    <w:rsid w:val="00DE10A6"/>
    <w:rsid w:val="00DE2CF1"/>
    <w:rsid w:val="00DE64D3"/>
    <w:rsid w:val="00DE7CEF"/>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C82"/>
    <w:rsid w:val="00F00FDD"/>
    <w:rsid w:val="00F01713"/>
    <w:rsid w:val="00F02B1E"/>
    <w:rsid w:val="00F07040"/>
    <w:rsid w:val="00F2310E"/>
    <w:rsid w:val="00F23302"/>
    <w:rsid w:val="00F32D3F"/>
    <w:rsid w:val="00F33077"/>
    <w:rsid w:val="00F422F8"/>
    <w:rsid w:val="00F45BAC"/>
    <w:rsid w:val="00F54570"/>
    <w:rsid w:val="00F54923"/>
    <w:rsid w:val="00F577DC"/>
    <w:rsid w:val="00F75853"/>
    <w:rsid w:val="00F7784D"/>
    <w:rsid w:val="00F8144F"/>
    <w:rsid w:val="00F8462A"/>
    <w:rsid w:val="00F8629F"/>
    <w:rsid w:val="00F862A7"/>
    <w:rsid w:val="00F93763"/>
    <w:rsid w:val="00F939A2"/>
    <w:rsid w:val="00F96E8D"/>
    <w:rsid w:val="00FA20D9"/>
    <w:rsid w:val="00FB03D0"/>
    <w:rsid w:val="00FB2A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396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372FE48C-75E6-47A0-8D10-92E8CCE44E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2995</TotalTime>
  <Pages>13</Pages>
  <Words>216671</Words>
  <Characters>1235029</Characters>
  <Application>Microsoft Office Word</Application>
  <DocSecurity>8</DocSecurity>
  <Lines>10291</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1448803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96</cp:revision>
  <cp:lastPrinted>2020-04-16T14:23:00Z</cp:lastPrinted>
  <dcterms:created xsi:type="dcterms:W3CDTF">2020-10-22T23:58:00Z</dcterms:created>
  <dcterms:modified xsi:type="dcterms:W3CDTF">2021-06-16T13:50:00Z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