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004D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004D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004D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004D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004D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004D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004D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004D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004D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004D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004D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004D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004D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F7B187B" w:rsidR="00355460" w:rsidRPr="00E263EC" w:rsidRDefault="00500D2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8024395" w:rsidR="00B66AF3" w:rsidRDefault="00500D23" w:rsidP="00B66AF3">
          <w:r>
            <w:t>3.b.1 Proportion of the target population covered by all vaccines included in their national programme [3.b.1] (SH_ACS_VACN)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500D23" w:rsidP="002806B7">
      <w:pPr>
        <w:spacing w:after="0"/>
        <w:rPr>
          <w:sz w:val="26"/>
          <w:szCs w:val="26"/>
        </w:rPr>
      </w:pPr>
      <w:r>
        <w:rPr>
          <w:noProof/>
          <w:sz w:val="26"/>
          <w:szCs w:val="26"/>
        </w:rPr>
      </w:r>
      <w:r w:rsidR="00500D23">
        <w:rPr>
          <w:noProof/>
          <w:sz w:val="26"/>
          <w:szCs w:val="26"/>
        </w:rPr>
        <w:pict w14:anchorId="1C301D2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500D23">
        <w:rPr>
          <w:noProof/>
          <w:sz w:val="26"/>
          <w:szCs w:val="26"/>
        </w:rPr>
        <w:pict w14:anchorId="30F9D31C">
          <v:shape id="_x0000_i1031"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DAC2065" w:rsidR="0077584C" w:rsidRDefault="00500D23"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7E6C834" w:rsidR="00F7784D" w:rsidRDefault="00500D23"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500D23" w:rsidP="00355460">
      <w:r>
        <w:rPr>
          <w:noProof/>
        </w:rPr>
      </w:r>
      <w:r w:rsidR="00500D23">
        <w:rPr>
          <w:noProof/>
        </w:rPr>
        <w:pict w14:anchorId="4588B12A">
          <v:shape id="_x0000_i1030" type="#_x0000_t75" alt="" style="width:139.95pt;height:24.2pt;mso-width-percent:0;mso-height-percent:0;mso-width-percent:0;mso-height-percent:0">
            <v:imagedata r:id="rId15" o:title=""/>
          </v:shape>
        </w:pict>
      </w:r>
      <w:r w:rsidR="003E117E">
        <w:t xml:space="preserve">             </w:t>
      </w:r>
      <w:r>
        <w:rPr>
          <w:noProof/>
        </w:rPr>
      </w:r>
      <w:r w:rsidR="00500D23">
        <w:rPr>
          <w:noProof/>
        </w:rPr>
        <w:pict w14:anchorId="3838AFCD">
          <v:shape id="_x0000_i1029"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0B5E9C7" w:rsidR="005377B9" w:rsidRPr="009F305C" w:rsidRDefault="00500D23" w:rsidP="009F305C">
            <w:r w:rsidRPr="00500D23">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7A5823E" w:rsidR="005377B9" w:rsidRPr="009F305C" w:rsidRDefault="00500D23" w:rsidP="009F305C">
            <w:r w:rsidRPr="00500D23">
              <w:t>3.b Support the research and development of vaccines and medicines for the communicable and non</w:t>
            </w:r>
            <w:r w:rsidRPr="00500D23">
              <w:rPr>
                <w:rFonts w:ascii="Cambria Math" w:hAnsi="Cambria Math" w:cs="Cambria Math"/>
              </w:rPr>
              <w:t>‑</w:t>
            </w:r>
            <w:r w:rsidRPr="00500D23">
              <w:t xml:space="preserve">communicable diseases that primarily affect developing countries, provide access to affordable essential medicines and vaccines, in </w:t>
            </w:r>
            <w:r w:rsidRPr="00500D23">
              <w:lastRenderedPageBreak/>
              <w:t>accordance with the Doha Declaration on the TRIPS Agreement and Public Health, which affirms the right of developing countries to use to the full the provisions in the Agreement on Trade-Related Aspects of Intellectual Property Rights regarding flexibilities to protect public health, and, in particular, provide access to medicines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F0B881D" w:rsidR="005377B9" w:rsidRPr="009F305C" w:rsidRDefault="00500D23" w:rsidP="009F305C">
            <w:r w:rsidRPr="00500D23">
              <w:t xml:space="preserve">3.b.1 Proportion of the target population covered by all vaccines included in their national </w:t>
            </w:r>
            <w:proofErr w:type="spellStart"/>
            <w:r w:rsidRPr="00500D23">
              <w:t>programme</w:t>
            </w:r>
            <w:proofErr w:type="spellEnd"/>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AB36D2C" w:rsidR="005377B9" w:rsidRPr="009F305C" w:rsidRDefault="00500D23" w:rsidP="009F305C">
            <w:r w:rsidRPr="00500D23">
              <w:t xml:space="preserve">Proportion of the target population covered by all vaccines included in their national </w:t>
            </w:r>
            <w:proofErr w:type="spellStart"/>
            <w:r w:rsidRPr="00500D23">
              <w:t>programme</w:t>
            </w:r>
            <w:proofErr w:type="spellEnd"/>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C82BAB" w:rsidR="005377B9" w:rsidRPr="009F305C" w:rsidRDefault="00500D23" w:rsidP="009F305C">
            <w:r>
              <w:t>9 June 2022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75E3595" w:rsidR="005377B9" w:rsidRPr="009F305C" w:rsidRDefault="00500D23" w:rsidP="009F305C">
            <w:r w:rsidRPr="00500D23">
              <w:t>3.8.1 Coverage of essential health services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E541EB4" w:rsidR="005377B9" w:rsidRPr="009F305C" w:rsidRDefault="00500D23" w:rsidP="009F305C">
            <w:r>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0BE23D1" w:rsidR="003E7389" w:rsidRPr="009F305C" w:rsidRDefault="00500D23" w:rsidP="009F305C">
            <w:r>
              <w:t xml:space="preserve">Department of Health Services, </w:t>
            </w:r>
            <w:r>
              <w:rPr>
                <w:rFonts w:ascii="Calibri" w:hAnsi="Calibri" w:cs="Calibri"/>
                <w:color w:val="000000"/>
              </w:rPr>
              <w:t>Ministry of Health and Population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0536614" w:rsidR="003E7389" w:rsidRPr="009F305C" w:rsidRDefault="00500D23" w:rsidP="009F305C">
            <w:r>
              <w:t>Anil Thapa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3A76422" w:rsidR="003E7389" w:rsidRPr="009F305C" w:rsidRDefault="00500D23" w:rsidP="009F305C">
            <w:r>
              <w:t>Integrated Health Information Management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12DCE59" w:rsidR="003E7389" w:rsidRPr="009F305C" w:rsidRDefault="00500D23" w:rsidP="009F305C">
            <w:r>
              <w:t>Data management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523576D" w:rsidR="003E7389" w:rsidRPr="009F305C" w:rsidRDefault="00500D23" w:rsidP="009F305C">
            <w:r>
              <w:t>9841218344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F752B46" w:rsidR="003E7389" w:rsidRPr="009F305C" w:rsidRDefault="00500D23" w:rsidP="009F305C">
            <w:proofErr w:type="spellStart"/>
            <w:r>
              <w:t>Teku</w:t>
            </w:r>
            <w:proofErr w:type="spellEnd"/>
            <w: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1C4F2A7" w:rsidR="003E7389" w:rsidRPr="009F305C" w:rsidRDefault="00500D23" w:rsidP="009F305C">
            <w:r>
              <w:t>anilthp@gmail.com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0CD5DDD" w14:textId="0691567A"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b/>
                <w:bCs/>
                <w:color w:val="4A4A4A"/>
                <w:sz w:val="22"/>
                <w:szCs w:val="22"/>
                <w:lang w:val="en-GB"/>
              </w:rPr>
              <w:t>Definition</w:t>
            </w:r>
            <w:r w:rsidRPr="00500D23">
              <w:rPr>
                <w:rStyle w:val="normaltextrun"/>
                <w:rFonts w:ascii="Calibri" w:hAnsi="Calibri" w:cs="Calibri"/>
                <w:b/>
                <w:bCs/>
                <w:color w:val="4A4A4A"/>
                <w:sz w:val="22"/>
                <w:szCs w:val="22"/>
                <w:lang w:val="en-GB"/>
              </w:rPr>
              <w:t>:</w:t>
            </w:r>
            <w:r w:rsidRPr="00500D23">
              <w:rPr>
                <w:rStyle w:val="eop"/>
                <w:rFonts w:ascii="Calibri" w:hAnsi="Calibri" w:cs="Calibri"/>
                <w:color w:val="4A4A4A"/>
                <w:sz w:val="22"/>
                <w:szCs w:val="22"/>
              </w:rPr>
              <w:t> </w:t>
            </w:r>
          </w:p>
          <w:p w14:paraId="0CA8173E" w14:textId="77777777" w:rsidR="00500D23" w:rsidRPr="00500D23" w:rsidRDefault="00500D23" w:rsidP="00500D23">
            <w:pPr>
              <w:pStyle w:val="paragraph"/>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Coverage of DTP containing vaccine (3</w:t>
            </w:r>
            <w:r w:rsidRPr="00500D23">
              <w:rPr>
                <w:rStyle w:val="normaltextrun"/>
                <w:rFonts w:ascii="Calibri" w:hAnsi="Calibri" w:cs="Calibri"/>
                <w:color w:val="4A4A4A"/>
                <w:sz w:val="22"/>
                <w:szCs w:val="22"/>
                <w:vertAlign w:val="superscript"/>
                <w:lang w:val="en-GB"/>
              </w:rPr>
              <w:t>rd</w:t>
            </w:r>
            <w:r w:rsidRPr="00500D23">
              <w:rPr>
                <w:rStyle w:val="normaltextrun"/>
                <w:rFonts w:ascii="Calibri" w:hAnsi="Calibri" w:cs="Calibri"/>
                <w:color w:val="4A4A4A"/>
                <w:sz w:val="22"/>
                <w:szCs w:val="22"/>
                <w:lang w:val="en-GB"/>
              </w:rPr>
              <w:t xml:space="preserve"> dose): Percentage of surviving infants who received the 3 doses of diphtheria and </w:t>
            </w:r>
            <w:r w:rsidRPr="00500D23">
              <w:rPr>
                <w:rStyle w:val="normaltextrun"/>
                <w:rFonts w:ascii="Calibri" w:hAnsi="Calibri" w:cs="Calibri"/>
                <w:color w:val="4A4A4A"/>
                <w:sz w:val="22"/>
                <w:szCs w:val="22"/>
                <w:lang w:val="en-GB"/>
              </w:rPr>
              <w:lastRenderedPageBreak/>
              <w:t>tetanus toxoid with pertussis containing vaccine in a given year.</w:t>
            </w:r>
            <w:r w:rsidRPr="00500D23">
              <w:rPr>
                <w:rStyle w:val="eop"/>
                <w:rFonts w:ascii="Calibri" w:hAnsi="Calibri" w:cs="Calibri"/>
                <w:color w:val="4A4A4A"/>
                <w:sz w:val="22"/>
                <w:szCs w:val="22"/>
              </w:rPr>
              <w:t> </w:t>
            </w:r>
          </w:p>
          <w:p w14:paraId="27905F26"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eop"/>
                <w:rFonts w:ascii="Calibri" w:hAnsi="Calibri" w:cs="Calibri"/>
                <w:color w:val="4A4A4A"/>
                <w:sz w:val="22"/>
                <w:szCs w:val="22"/>
              </w:rPr>
              <w:t> </w:t>
            </w:r>
          </w:p>
          <w:p w14:paraId="689EF30F" w14:textId="487D5CFD"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Coverage of Measles containing</w:t>
            </w:r>
            <w:r>
              <w:rPr>
                <w:rStyle w:val="normaltextrun"/>
                <w:rFonts w:ascii="Calibri" w:hAnsi="Calibri" w:cs="Calibri"/>
                <w:color w:val="4A4A4A"/>
                <w:sz w:val="22"/>
                <w:szCs w:val="22"/>
                <w:lang w:val="en-GB"/>
              </w:rPr>
              <w:t xml:space="preserve"> </w:t>
            </w:r>
            <w:r w:rsidRPr="00500D23">
              <w:rPr>
                <w:rStyle w:val="normaltextrun"/>
                <w:rFonts w:ascii="Calibri" w:hAnsi="Calibri" w:cs="Calibri"/>
                <w:color w:val="4A4A4A"/>
                <w:sz w:val="22"/>
                <w:szCs w:val="22"/>
                <w:lang w:val="en-GB"/>
              </w:rPr>
              <w:t>vaccine (2</w:t>
            </w:r>
            <w:r w:rsidRPr="00500D23">
              <w:rPr>
                <w:rStyle w:val="normaltextrun"/>
                <w:rFonts w:ascii="Calibri" w:hAnsi="Calibri" w:cs="Calibri"/>
                <w:color w:val="4A4A4A"/>
                <w:sz w:val="22"/>
                <w:szCs w:val="22"/>
                <w:vertAlign w:val="superscript"/>
                <w:lang w:val="en-GB"/>
              </w:rPr>
              <w:t>nd</w:t>
            </w:r>
            <w:r w:rsidRPr="00500D23">
              <w:rPr>
                <w:rStyle w:val="normaltextrun"/>
                <w:rFonts w:ascii="Calibri" w:hAnsi="Calibri" w:cs="Calibri"/>
                <w:color w:val="4A4A4A"/>
                <w:sz w:val="22"/>
                <w:szCs w:val="22"/>
                <w:lang w:val="en-GB"/>
              </w:rPr>
              <w:t> dose): Percentage of children who received two dose of measles containing vaccine according to nationally recommended schedule through routine immunization services in a given year.</w:t>
            </w:r>
            <w:r w:rsidRPr="00500D23">
              <w:rPr>
                <w:rStyle w:val="eop"/>
                <w:rFonts w:ascii="Calibri" w:hAnsi="Calibri" w:cs="Calibri"/>
                <w:color w:val="4A4A4A"/>
                <w:sz w:val="22"/>
                <w:szCs w:val="22"/>
              </w:rPr>
              <w:t> </w:t>
            </w:r>
          </w:p>
          <w:p w14:paraId="34DF753B"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eop"/>
                <w:rFonts w:ascii="Calibri" w:hAnsi="Calibri" w:cs="Calibri"/>
                <w:color w:val="4A4A4A"/>
                <w:sz w:val="22"/>
                <w:szCs w:val="22"/>
              </w:rPr>
              <w:t> </w:t>
            </w:r>
          </w:p>
          <w:p w14:paraId="7BA13471"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Coverage of Pneumococcal conjugate vaccine (last dose in the schedule): Percentage of surviving infants who received the nationally recommended doses of pneumococcal conjugate vaccine in a given year. </w:t>
            </w:r>
            <w:r w:rsidRPr="00500D23">
              <w:rPr>
                <w:rStyle w:val="eop"/>
                <w:rFonts w:ascii="Calibri" w:hAnsi="Calibri" w:cs="Calibri"/>
                <w:color w:val="4A4A4A"/>
                <w:sz w:val="22"/>
                <w:szCs w:val="22"/>
              </w:rPr>
              <w:t> </w:t>
            </w:r>
          </w:p>
          <w:p w14:paraId="7265D559"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eop"/>
                <w:rFonts w:ascii="Calibri" w:hAnsi="Calibri" w:cs="Calibri"/>
                <w:color w:val="4A4A4A"/>
                <w:sz w:val="22"/>
                <w:szCs w:val="22"/>
              </w:rPr>
              <w:t> </w:t>
            </w:r>
          </w:p>
          <w:p w14:paraId="47B6B2BD" w14:textId="237ACCAE"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Coverage of HPV vaccine (last dose in the</w:t>
            </w:r>
            <w:r>
              <w:rPr>
                <w:rStyle w:val="normaltextrun"/>
                <w:rFonts w:ascii="Calibri" w:hAnsi="Calibri" w:cs="Calibri"/>
                <w:color w:val="4A4A4A"/>
                <w:sz w:val="22"/>
                <w:szCs w:val="22"/>
                <w:lang w:val="en-GB"/>
              </w:rPr>
              <w:t xml:space="preserve"> </w:t>
            </w:r>
            <w:r w:rsidRPr="00500D23">
              <w:rPr>
                <w:rStyle w:val="normaltextrun"/>
                <w:rFonts w:ascii="Calibri" w:hAnsi="Calibri" w:cs="Calibri"/>
                <w:color w:val="4A4A4A"/>
                <w:sz w:val="22"/>
                <w:szCs w:val="22"/>
                <w:lang w:val="en-GB"/>
              </w:rPr>
              <w:t>schedule):</w:t>
            </w:r>
            <w:r w:rsidRPr="00500D23">
              <w:rPr>
                <w:rStyle w:val="normaltextrun"/>
                <w:rFonts w:ascii="Calibri" w:hAnsi="Calibri" w:cs="Calibri"/>
                <w:b/>
                <w:bCs/>
                <w:color w:val="4A4A4A"/>
                <w:sz w:val="22"/>
                <w:szCs w:val="22"/>
                <w:lang w:val="en-GB"/>
              </w:rPr>
              <w:t> </w:t>
            </w:r>
            <w:r w:rsidRPr="00500D23">
              <w:rPr>
                <w:rStyle w:val="normaltextrun"/>
                <w:rFonts w:ascii="Calibri" w:hAnsi="Calibri" w:cs="Calibri"/>
                <w:color w:val="4A4A4A"/>
                <w:sz w:val="22"/>
                <w:szCs w:val="22"/>
                <w:lang w:val="en-GB"/>
              </w:rPr>
              <w:t>Percentage of 15 years old girls received the recommended doses of HPV vaccine. Currently performance of the programme in the previous calendar year based on target age group is used.</w:t>
            </w:r>
            <w:r w:rsidRPr="00500D23">
              <w:rPr>
                <w:rStyle w:val="eop"/>
                <w:rFonts w:ascii="Calibri" w:hAnsi="Calibri" w:cs="Calibri"/>
                <w:color w:val="4A4A4A"/>
                <w:sz w:val="22"/>
                <w:szCs w:val="22"/>
              </w:rPr>
              <w:t> </w:t>
            </w:r>
          </w:p>
          <w:p w14:paraId="46F3DCCB"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eop"/>
                <w:rFonts w:ascii="Calibri" w:hAnsi="Calibri" w:cs="Calibri"/>
                <w:color w:val="4A4A4A"/>
                <w:sz w:val="22"/>
                <w:szCs w:val="22"/>
              </w:rPr>
              <w:t>  </w:t>
            </w:r>
          </w:p>
          <w:p w14:paraId="146A3350"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b/>
                <w:bCs/>
                <w:color w:val="4A4A4A"/>
                <w:sz w:val="22"/>
                <w:szCs w:val="22"/>
                <w:lang w:val="en-GB"/>
              </w:rPr>
              <w:t>Concepts:</w:t>
            </w:r>
            <w:r w:rsidRPr="00500D23">
              <w:rPr>
                <w:rStyle w:val="eop"/>
                <w:rFonts w:ascii="Calibri" w:hAnsi="Calibri" w:cs="Calibri"/>
                <w:color w:val="4A4A4A"/>
                <w:sz w:val="22"/>
                <w:szCs w:val="22"/>
              </w:rPr>
              <w:t> </w:t>
            </w:r>
          </w:p>
          <w:p w14:paraId="493F3630"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In accordance with its mandate to provide guidance to Member States on health policy matters, WHO provides global vaccine and immunization recommendations for diseases that have an international public health impact. National programmes adapt the recommendations and develop national immunization schedules, based on local disease epidemiology and national health priorities. National immunization schedules and number of recommended vaccines vary between countries, with only DTP polio and measles containing vaccines being used in all countries. </w:t>
            </w:r>
            <w:r w:rsidRPr="00500D23">
              <w:rPr>
                <w:rStyle w:val="eop"/>
                <w:rFonts w:ascii="Calibri" w:hAnsi="Calibri" w:cs="Calibri"/>
                <w:color w:val="4A4A4A"/>
                <w:sz w:val="22"/>
                <w:szCs w:val="22"/>
              </w:rPr>
              <w:t> </w:t>
            </w:r>
          </w:p>
          <w:p w14:paraId="190EBD23"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eop"/>
                <w:rFonts w:ascii="Calibri" w:hAnsi="Calibri" w:cs="Calibri"/>
                <w:color w:val="4A4A4A"/>
                <w:sz w:val="22"/>
                <w:szCs w:val="22"/>
              </w:rPr>
              <w:t> </w:t>
            </w:r>
          </w:p>
          <w:p w14:paraId="657A9831"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The target population for given vaccine is defined based on recommended age for administration. The primary vaccination series of most vaccines are administered in the first two years of life.</w:t>
            </w:r>
            <w:r w:rsidRPr="00500D23">
              <w:rPr>
                <w:rStyle w:val="eop"/>
                <w:rFonts w:ascii="Calibri" w:hAnsi="Calibri" w:cs="Calibri"/>
                <w:color w:val="4A4A4A"/>
                <w:sz w:val="22"/>
                <w:szCs w:val="22"/>
              </w:rPr>
              <w:t> </w:t>
            </w:r>
          </w:p>
          <w:p w14:paraId="2B2D7DA6"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eop"/>
                <w:rFonts w:ascii="Calibri" w:hAnsi="Calibri" w:cs="Calibri"/>
                <w:color w:val="4A4A4A"/>
                <w:sz w:val="22"/>
                <w:szCs w:val="22"/>
              </w:rPr>
              <w:t> </w:t>
            </w:r>
          </w:p>
          <w:p w14:paraId="0B3A07B9" w14:textId="77777777" w:rsidR="00500D23" w:rsidRPr="00500D23" w:rsidRDefault="00500D23" w:rsidP="00500D23">
            <w:pPr>
              <w:pStyle w:val="paragraph"/>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Coverage of DTP containing vaccine measure the overall system strength to deliver infant vaccination</w:t>
            </w:r>
            <w:r w:rsidRPr="00500D23">
              <w:rPr>
                <w:rStyle w:val="eop"/>
                <w:rFonts w:ascii="Calibri" w:hAnsi="Calibri" w:cs="Calibri"/>
                <w:color w:val="4A4A4A"/>
                <w:sz w:val="22"/>
                <w:szCs w:val="22"/>
              </w:rPr>
              <w:t> </w:t>
            </w:r>
          </w:p>
          <w:p w14:paraId="4C470372"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Coverage of Measles containing vaccine ability to deliver vaccines beyond first year of life through routine immunization services.</w:t>
            </w:r>
            <w:r w:rsidRPr="00500D23">
              <w:rPr>
                <w:rStyle w:val="eop"/>
                <w:rFonts w:ascii="Calibri" w:hAnsi="Calibri" w:cs="Calibri"/>
                <w:color w:val="4A4A4A"/>
                <w:sz w:val="22"/>
                <w:szCs w:val="22"/>
              </w:rPr>
              <w:t> </w:t>
            </w:r>
          </w:p>
          <w:p w14:paraId="5B5C11F1" w14:textId="77777777" w:rsidR="00500D23" w:rsidRPr="00500D23" w:rsidRDefault="00500D23" w:rsidP="00500D23">
            <w:pPr>
              <w:pStyle w:val="paragraph"/>
              <w:shd w:val="clear" w:color="auto" w:fill="FFFFFF"/>
              <w:spacing w:before="0" w:beforeAutospacing="0" w:after="0" w:afterAutospacing="0"/>
              <w:textAlignment w:val="baseline"/>
              <w:rPr>
                <w:rFonts w:ascii="Calibri" w:hAnsi="Calibri" w:cs="Calibri"/>
                <w:sz w:val="22"/>
                <w:szCs w:val="22"/>
              </w:rPr>
            </w:pPr>
            <w:r w:rsidRPr="00500D23">
              <w:rPr>
                <w:rStyle w:val="normaltextrun"/>
                <w:rFonts w:ascii="Calibri" w:hAnsi="Calibri" w:cs="Calibri"/>
                <w:color w:val="4A4A4A"/>
                <w:sz w:val="22"/>
                <w:szCs w:val="22"/>
                <w:lang w:val="en-GB"/>
              </w:rPr>
              <w:t>Coverage of Pneumococcal conjugate vaccine: adaptation of new vaccines for children</w:t>
            </w:r>
            <w:r w:rsidRPr="00500D23">
              <w:rPr>
                <w:rStyle w:val="eop"/>
                <w:rFonts w:ascii="Calibri" w:hAnsi="Calibri" w:cs="Calibri"/>
                <w:color w:val="4A4A4A"/>
                <w:sz w:val="22"/>
                <w:szCs w:val="22"/>
              </w:rPr>
              <w:t> </w:t>
            </w:r>
          </w:p>
          <w:p w14:paraId="6C84E827" w14:textId="7629291B" w:rsidR="0015178E" w:rsidRPr="009F305C" w:rsidRDefault="00500D23" w:rsidP="00500D23">
            <w:r w:rsidRPr="00500D23">
              <w:rPr>
                <w:rStyle w:val="normaltextrun"/>
                <w:rFonts w:ascii="Calibri" w:hAnsi="Calibri" w:cs="Calibri"/>
                <w:color w:val="4A4A4A"/>
                <w:lang w:val="en-GB"/>
              </w:rPr>
              <w:t>Coverage of HPV vaccine: life cycle vaccination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A7A91F4" w:rsidR="0015178E" w:rsidRPr="009F305C" w:rsidRDefault="00500D23"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81F02F5" w14:textId="77777777" w:rsidR="00102BEC" w:rsidRDefault="00102BEC" w:rsidP="00102BEC">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National Health Information Systems or National Immunization systems </w:t>
            </w:r>
            <w:r>
              <w:rPr>
                <w:rStyle w:val="eop"/>
                <w:rFonts w:ascii="Calibri" w:hAnsi="Calibri" w:cs="Calibri"/>
                <w:color w:val="4A4A4A"/>
                <w:sz w:val="21"/>
                <w:szCs w:val="21"/>
              </w:rPr>
              <w:t> </w:t>
            </w:r>
          </w:p>
          <w:p w14:paraId="08C151D1" w14:textId="77777777" w:rsidR="00102BEC" w:rsidRDefault="00102BEC" w:rsidP="00102BEC">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National immunization registries</w:t>
            </w:r>
            <w:r>
              <w:rPr>
                <w:rStyle w:val="eop"/>
                <w:rFonts w:ascii="Calibri" w:hAnsi="Calibri" w:cs="Calibri"/>
                <w:color w:val="4A4A4A"/>
                <w:sz w:val="21"/>
                <w:szCs w:val="21"/>
              </w:rPr>
              <w:t> </w:t>
            </w:r>
          </w:p>
          <w:p w14:paraId="571CD33E" w14:textId="58E5D7B6" w:rsidR="0035311B" w:rsidRPr="00102BEC" w:rsidRDefault="00102BEC" w:rsidP="00102BEC">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High quality household surveys with immunization module (</w:t>
            </w:r>
            <w:proofErr w:type="gramStart"/>
            <w:r>
              <w:rPr>
                <w:rStyle w:val="normaltextrun"/>
                <w:rFonts w:ascii="Calibri" w:hAnsi="Calibri" w:cs="Calibri"/>
                <w:color w:val="4A4A4A"/>
                <w:sz w:val="21"/>
                <w:szCs w:val="21"/>
                <w:lang w:val="en-GB"/>
              </w:rPr>
              <w:t>e.g.</w:t>
            </w:r>
            <w:proofErr w:type="gramEnd"/>
            <w:r>
              <w:rPr>
                <w:rStyle w:val="normaltextrun"/>
                <w:rFonts w:ascii="Calibri" w:hAnsi="Calibri" w:cs="Calibri"/>
                <w:color w:val="4A4A4A"/>
                <w:sz w:val="21"/>
                <w:szCs w:val="21"/>
                <w:lang w:val="en-GB"/>
              </w:rPr>
              <w:t xml:space="preserve"> DHS, MICS, national in-country surveys) </w:t>
            </w:r>
            <w:r>
              <w:rPr>
                <w:rStyle w:val="eop"/>
                <w:rFonts w:ascii="Calibri" w:hAnsi="Calibri" w:cs="Calibri"/>
                <w:color w:val="4A4A4A"/>
                <w:sz w:val="21"/>
                <w:szCs w:val="21"/>
              </w:rPr>
              <w:t>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2B4F8FE" w:rsidR="0035311B" w:rsidRPr="009F305C" w:rsidRDefault="00102BEC" w:rsidP="009F305C">
            <w:r>
              <w:rPr>
                <w:rFonts w:cstheme="minorHAnsi"/>
                <w:sz w:val="21"/>
                <w:szCs w:val="21"/>
              </w:rPr>
              <w:t>Routine HMIS report and DHS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0934D06" w:rsidR="0035311B" w:rsidRPr="009F305C" w:rsidRDefault="00102BEC" w:rsidP="009F305C">
            <w:r>
              <w:t>Daily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3793413" w:rsidR="0035311B" w:rsidRPr="009F305C" w:rsidRDefault="00102BEC" w:rsidP="009F305C">
            <w:r>
              <w:t>Monthly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BCECBE4" w:rsidR="0035311B" w:rsidRPr="009F305C" w:rsidRDefault="00102BEC" w:rsidP="009F305C">
            <w:r>
              <w:t xml:space="preserve">Health facility </w:t>
            </w:r>
            <w:proofErr w:type="spellStart"/>
            <w:r>
              <w:t>centres</w:t>
            </w:r>
            <w:proofErr w:type="spellEnd"/>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F7E957C" w:rsidR="0035311B" w:rsidRPr="009F305C" w:rsidRDefault="00102BEC" w:rsidP="009F305C">
            <w:r>
              <w:t xml:space="preserve">Department of Health Services, </w:t>
            </w:r>
            <w:proofErr w:type="spellStart"/>
            <w:r>
              <w:rPr>
                <w:rFonts w:ascii="Calibri" w:hAnsi="Calibri" w:cs="Calibri"/>
                <w:color w:val="000000"/>
              </w:rPr>
              <w:t>M</w:t>
            </w:r>
            <w:r>
              <w:rPr>
                <w:rFonts w:ascii="Calibri" w:hAnsi="Calibri" w:cs="Calibri"/>
                <w:color w:val="000000"/>
              </w:rPr>
              <w:t>oHP</w:t>
            </w:r>
            <w:proofErr w:type="spellEnd"/>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EF85BC1" w:rsidR="0035311B" w:rsidRPr="009F305C" w:rsidRDefault="00102BEC" w:rsidP="009F305C">
            <w:r>
              <w:t>Statistics Act 1959</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64C3508" w:rsidR="007F2D9F" w:rsidRPr="009F305C" w:rsidRDefault="001A2C7B" w:rsidP="009F305C">
            <w:r>
              <w:rPr>
                <w:rStyle w:val="normaltextrun"/>
                <w:rFonts w:ascii="Calibri" w:hAnsi="Calibri" w:cs="Calibri"/>
              </w:rPr>
              <w:t xml:space="preserve">This indicator aims to measure access to vaccines, including the newly available or underutilized vaccines, at the national level. In the past decades all countries added numerous new and </w:t>
            </w:r>
            <w:proofErr w:type="spellStart"/>
            <w:r>
              <w:rPr>
                <w:rStyle w:val="normaltextrun"/>
                <w:rFonts w:ascii="Calibri" w:hAnsi="Calibri" w:cs="Calibri"/>
              </w:rPr>
              <w:t>underutilised</w:t>
            </w:r>
            <w:proofErr w:type="spellEnd"/>
            <w:r>
              <w:rPr>
                <w:rStyle w:val="normaltextrun"/>
                <w:rFonts w:ascii="Calibri" w:hAnsi="Calibri" w:cs="Calibri"/>
              </w:rPr>
              <w:t xml:space="preserve"> vaccines in their national immunization schedule and there are several vaccines under final stage of development to be introduced by 2030.</w:t>
            </w:r>
            <w:r>
              <w:rPr>
                <w:rStyle w:val="normaltextrun"/>
              </w:rPr>
              <w:t> </w:t>
            </w:r>
            <w:r>
              <w:rPr>
                <w:rStyle w:val="normaltextrun"/>
                <w:rFonts w:ascii="Calibri" w:hAnsi="Calibri" w:cs="Calibri"/>
              </w:rPr>
              <w:t xml:space="preserve">For monitoring diseases control and impact of vaccines it is important to measure coverage from each vaccine in national immunization schedule and the system is already in place for all national </w:t>
            </w:r>
            <w:proofErr w:type="spellStart"/>
            <w:r>
              <w:rPr>
                <w:rStyle w:val="normaltextrun"/>
                <w:rFonts w:ascii="Calibri" w:hAnsi="Calibri" w:cs="Calibri"/>
              </w:rPr>
              <w:t>programmes</w:t>
            </w:r>
            <w:proofErr w:type="spellEnd"/>
            <w:r>
              <w:rPr>
                <w:rStyle w:val="normaltextrun"/>
                <w:rFonts w:ascii="Calibri" w:hAnsi="Calibri" w:cs="Calibri"/>
              </w:rPr>
              <w:t xml:space="preserve">, however direct measurement for proportion of population covered with all vaccines in the </w:t>
            </w:r>
            <w:proofErr w:type="spellStart"/>
            <w:r>
              <w:rPr>
                <w:rStyle w:val="normaltextrun"/>
                <w:rFonts w:ascii="Calibri" w:hAnsi="Calibri" w:cs="Calibri"/>
              </w:rPr>
              <w:t>programme</w:t>
            </w:r>
            <w:proofErr w:type="spellEnd"/>
            <w:r>
              <w:rPr>
                <w:rStyle w:val="normaltextrun"/>
                <w:rFonts w:ascii="Calibri" w:hAnsi="Calibri" w:cs="Calibri"/>
              </w:rPr>
              <w:t xml:space="preserve"> is only feasible if</w:t>
            </w:r>
            <w:r>
              <w:rPr>
                <w:rStyle w:val="normaltextrun"/>
              </w:rPr>
              <w:t> </w:t>
            </w:r>
            <w:r>
              <w:rPr>
                <w:rStyle w:val="normaltextrun"/>
                <w:rFonts w:ascii="Calibri" w:hAnsi="Calibri" w:cs="Calibri"/>
              </w:rPr>
              <w:t>the country has</w:t>
            </w:r>
            <w:r>
              <w:rPr>
                <w:rStyle w:val="normaltextrun"/>
              </w:rPr>
              <w:t> </w:t>
            </w:r>
            <w:r>
              <w:rPr>
                <w:rStyle w:val="normaltextrun"/>
                <w:rFonts w:ascii="Calibri" w:hAnsi="Calibri" w:cs="Calibri"/>
              </w:rPr>
              <w:t>a well-functioning national nominal immunization registry, usually an electronic one that will allow this coverage to be easily estimated.</w:t>
            </w:r>
            <w:r>
              <w:rPr>
                <w:rStyle w:val="normaltextrun"/>
              </w:rPr>
              <w:t> </w:t>
            </w:r>
            <w:r>
              <w:rPr>
                <w:rStyle w:val="normaltextrun"/>
                <w:rFonts w:ascii="Calibri" w:hAnsi="Calibri" w:cs="Calibri"/>
              </w:rPr>
              <w:t>While countries will develop and strengthen immunization registries it is a need for an alternative measurement</w:t>
            </w:r>
            <w:r>
              <w:rPr>
                <w:rStyle w:val="normaltextrun"/>
                <w:rFonts w:ascii="Calibri" w:hAnsi="Calibri" w:cs="Calibri"/>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E2CC40B" w14:textId="77777777" w:rsidR="001A2C7B" w:rsidRPr="001A2C7B" w:rsidRDefault="001A2C7B" w:rsidP="001A2C7B">
            <w:pPr>
              <w:pStyle w:val="paragraph"/>
              <w:shd w:val="clear" w:color="auto" w:fill="FFFFFF"/>
              <w:spacing w:before="0" w:beforeAutospacing="0" w:after="0" w:afterAutospacing="0"/>
              <w:textAlignment w:val="baseline"/>
              <w:rPr>
                <w:rStyle w:val="normaltextrun"/>
                <w:rFonts w:ascii="Calibri" w:eastAsiaTheme="minorHAnsi" w:hAnsi="Calibri" w:cs="Calibri"/>
                <w:sz w:val="22"/>
                <w:szCs w:val="22"/>
              </w:rPr>
            </w:pPr>
            <w:r w:rsidRPr="001A2C7B">
              <w:rPr>
                <w:rStyle w:val="normaltextrun"/>
                <w:rFonts w:ascii="Calibri" w:eastAsiaTheme="minorHAnsi" w:hAnsi="Calibri" w:cs="Calibri"/>
                <w:sz w:val="22"/>
                <w:szCs w:val="22"/>
              </w:rPr>
              <w:t>The rational to select a set of vaccines reflects the ability of immunization programmes to deliver vaccines over the life cycle and to adapt new vaccines. Coverage for other WHO recommended vaccines are also available and can be provided. </w:t>
            </w:r>
          </w:p>
          <w:p w14:paraId="066993C5" w14:textId="77777777" w:rsidR="001A2C7B" w:rsidRPr="001A2C7B" w:rsidRDefault="001A2C7B" w:rsidP="001A2C7B">
            <w:pPr>
              <w:pStyle w:val="paragraph"/>
              <w:shd w:val="clear" w:color="auto" w:fill="FFFFFF"/>
              <w:spacing w:before="0" w:beforeAutospacing="0" w:after="0" w:afterAutospacing="0"/>
              <w:textAlignment w:val="baseline"/>
              <w:rPr>
                <w:rStyle w:val="normaltextrun"/>
                <w:rFonts w:ascii="Calibri" w:eastAsiaTheme="minorHAnsi" w:hAnsi="Calibri" w:cs="Calibri"/>
                <w:sz w:val="22"/>
                <w:szCs w:val="22"/>
              </w:rPr>
            </w:pPr>
            <w:r w:rsidRPr="001A2C7B">
              <w:rPr>
                <w:rStyle w:val="normaltextrun"/>
                <w:rFonts w:ascii="Calibri" w:eastAsiaTheme="minorHAnsi" w:hAnsi="Calibri" w:cs="Calibri"/>
                <w:sz w:val="22"/>
                <w:szCs w:val="22"/>
              </w:rPr>
              <w:t> </w:t>
            </w:r>
          </w:p>
          <w:p w14:paraId="48EF8537" w14:textId="2FACECF8" w:rsidR="007F2D9F" w:rsidRPr="001A2C7B" w:rsidRDefault="001A2C7B" w:rsidP="001A2C7B">
            <w:pPr>
              <w:pStyle w:val="paragraph"/>
              <w:shd w:val="clear" w:color="auto" w:fill="FFFFFF"/>
              <w:spacing w:before="0" w:beforeAutospacing="0" w:after="0" w:afterAutospacing="0"/>
              <w:textAlignment w:val="baseline"/>
              <w:rPr>
                <w:rFonts w:ascii="Segoe UI" w:hAnsi="Segoe UI" w:cs="Segoe UI"/>
                <w:sz w:val="18"/>
                <w:szCs w:val="18"/>
              </w:rPr>
            </w:pPr>
            <w:r w:rsidRPr="001A2C7B">
              <w:rPr>
                <w:rStyle w:val="normaltextrun"/>
                <w:rFonts w:ascii="Calibri" w:eastAsiaTheme="minorHAnsi" w:hAnsi="Calibri" w:cs="Calibri"/>
                <w:sz w:val="22"/>
                <w:szCs w:val="22"/>
              </w:rPr>
              <w:t>Given that HPV vaccine is relatively new and vaccination schedule varies from countries to country coverage estimate will be made for girls vaccinated by ag 15 and at the moment data is limited to very few countries therefore reporting will start later.</w:t>
            </w:r>
            <w:r>
              <w:rPr>
                <w:rStyle w:val="eop"/>
                <w:rFonts w:ascii="Calibri" w:hAnsi="Calibri" w:cs="Calibri"/>
                <w:color w:val="4A4A4A"/>
                <w:sz w:val="21"/>
                <w:szCs w:val="21"/>
              </w:rPr>
              <w:t>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9E8066C" w:rsidR="007F2D9F" w:rsidRPr="009F305C" w:rsidRDefault="008004DC" w:rsidP="009F305C">
            <w:r>
              <w:t>Total no of immunized child divided by target population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441A860" w:rsidR="007F2D9F" w:rsidRPr="009F305C" w:rsidRDefault="008004DC" w:rsidP="009F305C">
            <w:r>
              <w:t>Immunization register</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51814A5" w:rsidR="00776312" w:rsidRPr="009F305C" w:rsidRDefault="008004DC" w:rsidP="009F305C">
            <w:r w:rsidRPr="008004DC">
              <w:rPr>
                <w:rStyle w:val="normaltextrun"/>
                <w:rFonts w:ascii="Calibri" w:hAnsi="Calibri" w:cs="Calibri"/>
              </w:rPr>
              <w:t>D</w:t>
            </w:r>
            <w:r w:rsidRPr="008004DC">
              <w:rPr>
                <w:rStyle w:val="normaltextrun"/>
                <w:rFonts w:ascii="Calibri" w:hAnsi="Calibri" w:cs="Calibri"/>
              </w:rPr>
              <w:t>isaggregated with sex and caste ethnicity group</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83EEEA4" w:rsidR="006F104C" w:rsidRPr="009F305C" w:rsidRDefault="008004DC" w:rsidP="009F305C">
            <w:r w:rsidRPr="008004DC">
              <w:t>http://dohs.gov.np/wp-content/uploads/2018/04/Annual_Report_2073-74.pdf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87745854">
    <w:abstractNumId w:val="2"/>
  </w:num>
  <w:num w:numId="2" w16cid:durableId="703675582">
    <w:abstractNumId w:val="0"/>
  </w:num>
  <w:num w:numId="3" w16cid:durableId="1853958071">
    <w:abstractNumId w:val="3"/>
  </w:num>
  <w:num w:numId="4" w16cid:durableId="89582302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2BEC"/>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2C7B"/>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D23"/>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04DC"/>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500D23"/>
  </w:style>
  <w:style w:type="character" w:customStyle="1" w:styleId="eop">
    <w:name w:val="eop"/>
    <w:basedOn w:val="DefaultParagraphFont"/>
    <w:rsid w:val="00500D23"/>
  </w:style>
  <w:style w:type="paragraph" w:customStyle="1" w:styleId="paragraph">
    <w:name w:val="paragraph"/>
    <w:basedOn w:val="Normal"/>
    <w:rsid w:val="00500D23"/>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800D3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78</TotalTime>
  <Pages>12</Pages>
  <Words>216099</Words>
  <Characters>1231768</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15</cp:revision>
  <cp:lastPrinted>2020-04-16T14:23:00Z</cp:lastPrinted>
  <dcterms:created xsi:type="dcterms:W3CDTF">2020-10-22T23:58:00Z</dcterms:created>
  <dcterms:modified xsi:type="dcterms:W3CDTF">2022-10-12T03:03:00Z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