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D599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D599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D599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D599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D599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D599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D599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D599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D599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D599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D599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D599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D599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5951C27" w:rsidR="00B66AF3" w:rsidRDefault="00C47BE6" w:rsidP="00B66AF3">
          <w:r>
            <w:t>3.8.1 Universal health coverage (UHC) service coverage index [3.8.1] (SH_ACS_UNHC)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4D4AC54B" w:rsidR="00FD54D7" w:rsidRDefault="00AD599A" w:rsidP="000C3CDE">
      <w:pPr>
        <w:spacing w:after="0"/>
        <w:rPr>
          <w:sz w:val="26"/>
          <w:szCs w:val="26"/>
        </w:rPr>
      </w:pPr>
      <w:r>
        <w:rPr>
          <w:noProof/>
          <w:sz w:val="26"/>
          <w:szCs w:val="26"/>
        </w:rPr>
      </w:r>
      <w:r w:rsidR="00AD599A">
        <w:rPr>
          <w:noProof/>
          <w:sz w:val="26"/>
          <w:szCs w:val="26"/>
        </w:rPr>
        <w:pict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2pt;mso-width-percent:0;mso-height-percent:0;mso-width-percent:0;mso-height-percent:0">
            <v:imagedata r:id="rId12" o:title=""/>
          </v:shape>
        </w:pict>
      </w:r>
      <w:r w:rsidR="00B66AF3">
        <w:rPr>
          <w:sz w:val="26"/>
          <w:szCs w:val="26"/>
        </w:rPr>
        <w:t xml:space="preserve">   </w:t>
      </w:r>
      <w:r>
        <w:rPr>
          <w:noProof/>
          <w:sz w:val="26"/>
          <w:szCs w:val="26"/>
        </w:rPr>
      </w:r>
      <w:r w:rsidR="00AD599A">
        <w:rPr>
          <w:noProof/>
          <w:sz w:val="26"/>
          <w:szCs w:val="26"/>
        </w:rPr>
        <w:pict w14:anchorId="31ABE64E">
          <v:shape id="_x0000_i1026" type="#_x0000_t75" alt="" style="width:91.5pt;height:24.2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491E8E4" w:rsidR="00F54570" w:rsidRDefault="00AD599A" w:rsidP="00355460">
      <w:r>
        <w:rPr>
          <w:noProof/>
        </w:rPr>
      </w:r>
      <w:r w:rsidR="00AD599A">
        <w:rPr>
          <w:noProof/>
        </w:rPr>
        <w:pict w14:anchorId="196EDF24">
          <v:shape id="_x0000_i1027" type="#_x0000_t75" alt="" style="width:139.95pt;height:24.2pt;mso-width-percent:0;mso-height-percent:0;mso-width-percent:0;mso-height-percent:0">
            <v:imagedata r:id="rId15" o:title=""/>
          </v:shape>
        </w:pict>
      </w:r>
      <w:r w:rsidR="003E117E">
        <w:t xml:space="preserve">             </w:t>
      </w:r>
      <w:r>
        <w:rPr>
          <w:noProof/>
        </w:rPr>
      </w:r>
      <w:r w:rsidR="00AD599A">
        <w:rPr>
          <w:noProof/>
        </w:rPr>
        <w:pict w14:anchorId="3CF05049">
          <v:shape id="_x0000_i1028" type="#_x0000_t75" alt="" style="width:200.5pt;height:24.2pt;mso-width-percent:0;mso-height-percent:0;mso-width-percent:0;mso-height-percent:0">
            <v:imagedata r:id="rId16" o:title=""/>
          </v:shape>
        </w:pi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72E3C4E" w:rsidR="000C3CDE" w:rsidRPr="00030DBC" w:rsidRDefault="00C47BE6" w:rsidP="008C3F7C">
            <w:pPr>
              <w:pStyle w:val="MIndHeader"/>
              <w:rPr>
                <w:rFonts w:asciiTheme="majorBidi" w:hAnsiTheme="majorBidi" w:cstheme="majorBidi"/>
                <w:color w:val="000000"/>
                <w:shd w:val="clear" w:color="auto" w:fill="FFFFFF"/>
              </w:rPr>
            </w:pPr>
            <w:r>
              <w:rPr>
                <w:rFonts w:asciiTheme="majorBidi" w:hAnsiTheme="majorBidi" w:cstheme="majorBidi"/>
                <w:color w:val="333333"/>
              </w:rPr>
              <w:t>3</w:t>
            </w:r>
            <w:r w:rsidR="0082426F" w:rsidRPr="00030DBC">
              <w:rPr>
                <w:rFonts w:asciiTheme="majorBidi" w:hAnsiTheme="majorBidi" w:cstheme="majorBidi"/>
                <w:color w:val="333333"/>
              </w:rPr>
              <w:t xml:space="preserve"> </w:t>
            </w:r>
            <w:r w:rsidRPr="00C47BE6">
              <w:rPr>
                <w:rFonts w:asciiTheme="majorBidi" w:hAnsiTheme="majorBidi" w:cstheme="majorBidi"/>
                <w:color w:val="333333"/>
              </w:rPr>
              <w:t>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DD54C76" w:rsidR="005377B9" w:rsidRPr="00030DBC" w:rsidRDefault="00C47BE6" w:rsidP="009E6E5D">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3.8</w:t>
            </w:r>
            <w:r w:rsidR="00CF2080">
              <w:rPr>
                <w:rFonts w:asciiTheme="majorBidi" w:hAnsiTheme="majorBidi" w:cstheme="majorBidi"/>
                <w:color w:val="000000"/>
                <w:sz w:val="22"/>
                <w:szCs w:val="22"/>
                <w:shd w:val="clear" w:color="auto" w:fill="FFFFFF"/>
              </w:rPr>
              <w:t xml:space="preserve"> </w:t>
            </w:r>
            <w:r w:rsidRPr="00C47BE6">
              <w:rPr>
                <w:rFonts w:asciiTheme="majorBidi" w:hAnsiTheme="majorBidi" w:cstheme="majorBidi"/>
                <w:color w:val="000000"/>
                <w:sz w:val="22"/>
                <w:szCs w:val="22"/>
                <w:shd w:val="clear" w:color="auto" w:fill="FFFFFF"/>
              </w:rPr>
              <w:t>Achieve universal health coverage, including financial risk protection, access to quality essential health-care services and access to safe, effective, quality and affordable essential medicines and vaccines for all</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A5CEFFE" w:rsidR="005377B9" w:rsidRPr="00030DBC" w:rsidRDefault="00C47BE6" w:rsidP="00C47BE6">
            <w:pPr>
              <w:rPr>
                <w:rFonts w:asciiTheme="majorBidi" w:hAnsiTheme="majorBidi" w:cstheme="majorBidi"/>
              </w:rPr>
            </w:pPr>
            <w:r>
              <w:rPr>
                <w:rFonts w:asciiTheme="majorBidi" w:hAnsiTheme="majorBidi" w:cstheme="majorBidi"/>
                <w:color w:val="333333"/>
              </w:rPr>
              <w:t xml:space="preserve">3.8.1 </w:t>
            </w:r>
            <w:r w:rsidRPr="00C47BE6">
              <w:rPr>
                <w:rFonts w:asciiTheme="majorBidi" w:hAnsiTheme="majorBidi" w:cstheme="majorBidi"/>
                <w:color w:val="333333"/>
              </w:rPr>
              <w:t>Coverage of essential health services (defined as the average coverage of essential services based on tracer interventions that include reproductive, maternal, newborn and child health, infectious diseases, non-communicable diseases and service capacity and access, among the general and the most disadvantaged population)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BA19166" w:rsidR="005377B9" w:rsidRPr="00AD599A" w:rsidRDefault="00AD599A" w:rsidP="009F305C">
            <w:pPr>
              <w:rPr>
                <w:color w:val="000000"/>
              </w:rPr>
            </w:pPr>
            <w:r>
              <w:rPr>
                <w:color w:val="000000"/>
              </w:rPr>
              <w:t>Percentage of women age 15-49 years with a live birth in the last 2 years who during the pregnancy of the most recent live birth were attended at least once by skilled health personnel</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r w:rsidRPr="00030DBC">
              <w:rPr>
                <w:rFonts w:asciiTheme="majorBidi" w:hAnsiTheme="majorBidi" w:cstheme="majorBidi"/>
              </w:rPr>
              <w:t xml:space="preserve">Tirtha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F2BC9B0" w:rsidR="003E7389" w:rsidRPr="00030DBC" w:rsidRDefault="009E6E5D" w:rsidP="009F305C">
            <w:pPr>
              <w:rPr>
                <w:rFonts w:asciiTheme="majorBidi" w:hAnsiTheme="majorBidi" w:cstheme="majorBidi"/>
              </w:rPr>
            </w:pPr>
            <w:r w:rsidRPr="00030DBC">
              <w:rPr>
                <w:rFonts w:asciiTheme="majorBidi" w:hAnsiTheme="majorBidi" w:cstheme="majorBidi"/>
              </w:rPr>
              <w:t>Household survey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r w:rsidRPr="00030DBC">
              <w:rPr>
                <w:rFonts w:asciiTheme="majorBidi" w:hAnsiTheme="majorBidi" w:cstheme="majorBidi"/>
              </w:rPr>
              <w:t xml:space="preserve">Tirtha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BA4E082" w14:textId="77777777" w:rsidR="00BA4E04" w:rsidRDefault="00C54818" w:rsidP="00BA4E04">
            <w:pPr>
              <w:pStyle w:val="MText"/>
              <w:rPr>
                <w:rFonts w:asciiTheme="majorBidi" w:hAnsiTheme="majorBidi" w:cstheme="majorBidi"/>
                <w:color w:val="auto"/>
                <w:sz w:val="22"/>
                <w:szCs w:val="22"/>
              </w:rPr>
            </w:pPr>
            <w:r w:rsidRPr="00C4619A">
              <w:rPr>
                <w:rFonts w:asciiTheme="majorBidi" w:hAnsiTheme="majorBidi" w:cstheme="majorBidi"/>
                <w:color w:val="auto"/>
                <w:sz w:val="22"/>
                <w:szCs w:val="22"/>
              </w:rPr>
              <w:t>This in</w:t>
            </w:r>
            <w:r>
              <w:rPr>
                <w:rFonts w:asciiTheme="majorBidi" w:hAnsiTheme="majorBidi" w:cstheme="majorBidi"/>
                <w:color w:val="auto"/>
                <w:sz w:val="22"/>
                <w:szCs w:val="22"/>
              </w:rPr>
              <w:t>dicator shows p</w:t>
            </w:r>
            <w:r w:rsidRPr="000D2623">
              <w:rPr>
                <w:rFonts w:asciiTheme="majorBidi" w:hAnsiTheme="majorBidi" w:cstheme="majorBidi"/>
                <w:color w:val="auto"/>
                <w:sz w:val="22"/>
                <w:szCs w:val="22"/>
              </w:rPr>
              <w:t>ercentage</w:t>
            </w:r>
            <w:r>
              <w:t xml:space="preserve"> </w:t>
            </w:r>
            <w:r w:rsidRPr="00556A5F">
              <w:rPr>
                <w:rFonts w:asciiTheme="majorBidi" w:hAnsiTheme="majorBidi" w:cstheme="majorBidi"/>
                <w:color w:val="auto"/>
                <w:sz w:val="22"/>
                <w:szCs w:val="22"/>
              </w:rPr>
              <w:t xml:space="preserve">of women age 15-49 years with a live birth in the last 2 years who during the pregnancy of the most recent live birth were attended at least </w:t>
            </w:r>
            <w:r w:rsidR="00BA4E04" w:rsidRPr="00DF3019">
              <w:rPr>
                <w:rFonts w:asciiTheme="majorBidi" w:hAnsiTheme="majorBidi" w:cstheme="majorBidi"/>
                <w:color w:val="auto"/>
                <w:sz w:val="22"/>
                <w:szCs w:val="22"/>
              </w:rPr>
              <w:t>once by skilled health personnel</w:t>
            </w:r>
            <w:r w:rsidR="00BA4E04">
              <w:rPr>
                <w:rFonts w:asciiTheme="majorBidi" w:hAnsiTheme="majorBidi" w:cstheme="majorBidi"/>
                <w:color w:val="auto"/>
                <w:sz w:val="22"/>
                <w:szCs w:val="22"/>
              </w:rPr>
              <w:t>.</w:t>
            </w:r>
          </w:p>
          <w:p w14:paraId="1CF79887" w14:textId="558A09C0" w:rsidR="00C54818" w:rsidRDefault="00C54818" w:rsidP="00C54818">
            <w:pPr>
              <w:pStyle w:val="MText"/>
              <w:rPr>
                <w:rFonts w:asciiTheme="majorBidi" w:hAnsiTheme="majorBidi" w:cstheme="majorBidi"/>
                <w:color w:val="auto"/>
                <w:sz w:val="22"/>
                <w:szCs w:val="22"/>
              </w:rPr>
            </w:pPr>
          </w:p>
          <w:p w14:paraId="61A33547" w14:textId="77777777" w:rsidR="00C54818" w:rsidRDefault="00C54818" w:rsidP="00C54818">
            <w:pPr>
              <w:pStyle w:val="MText"/>
              <w:rPr>
                <w:rFonts w:asciiTheme="majorBidi" w:hAnsiTheme="majorBidi" w:cs="Nirmala UI"/>
                <w:color w:val="auto"/>
                <w:sz w:val="22"/>
                <w:szCs w:val="20"/>
                <w:lang w:val="en-US" w:bidi="ne-NP"/>
              </w:rPr>
            </w:pPr>
            <w:r>
              <w:rPr>
                <w:rFonts w:asciiTheme="majorBidi" w:hAnsiTheme="majorBidi" w:cs="Nirmala UI"/>
                <w:color w:val="auto"/>
                <w:sz w:val="22"/>
                <w:szCs w:val="20"/>
                <w:lang w:val="en-US" w:bidi="ne-NP"/>
              </w:rPr>
              <w:lastRenderedPageBreak/>
              <w:t>The health checkups following birth while in the facility or at home refers to health checkups provided by any health provider regardless of timing. P</w:t>
            </w:r>
            <w:r w:rsidRPr="00F368D5">
              <w:rPr>
                <w:rFonts w:asciiTheme="majorBidi" w:hAnsiTheme="majorBidi" w:cs="Nirmala UI"/>
                <w:color w:val="auto"/>
                <w:sz w:val="22"/>
                <w:szCs w:val="20"/>
                <w:lang w:val="en-US" w:bidi="ne-NP"/>
              </w:rPr>
              <w:t>ost-natal care visits refer to a separate visit to check on the health of the newborn and provide preventive care services and therefore do not include health checks following birth while in facility or at home.</w:t>
            </w:r>
          </w:p>
          <w:p w14:paraId="4D3FD483" w14:textId="77777777" w:rsidR="00C54818" w:rsidRDefault="00C54818" w:rsidP="00C54818">
            <w:pPr>
              <w:pStyle w:val="MText"/>
              <w:rPr>
                <w:rFonts w:asciiTheme="majorBidi" w:hAnsiTheme="majorBidi" w:cs="Nirmala UI"/>
                <w:color w:val="auto"/>
                <w:sz w:val="22"/>
                <w:szCs w:val="20"/>
                <w:lang w:val="en-US" w:bidi="ne-NP"/>
              </w:rPr>
            </w:pPr>
          </w:p>
          <w:p w14:paraId="6C84E827" w14:textId="24C878C3" w:rsidR="00D1060D" w:rsidRPr="00510F23" w:rsidRDefault="00C54818" w:rsidP="00C54818">
            <w:pPr>
              <w:pStyle w:val="MText"/>
              <w:rPr>
                <w:rFonts w:asciiTheme="majorBidi" w:hAnsiTheme="majorBidi" w:cstheme="majorBidi"/>
                <w:color w:val="auto"/>
                <w:sz w:val="22"/>
                <w:szCs w:val="22"/>
              </w:rPr>
            </w:pPr>
            <w:r>
              <w:rPr>
                <w:rFonts w:asciiTheme="majorBidi" w:hAnsiTheme="majorBidi" w:cs="Nirmala UI"/>
                <w:color w:val="auto"/>
                <w:sz w:val="22"/>
                <w:szCs w:val="20"/>
                <w:lang w:val="en-US" w:bidi="ne-NP"/>
              </w:rPr>
              <w:t>Mortality and morbidity among mothers and their babies can be reduced with the adequate utilization of postnatal care.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2256769" w:rsidR="00C65038" w:rsidRPr="00680947" w:rsidRDefault="00572BD8" w:rsidP="00B5628F">
            <w:pPr>
              <w:rPr>
                <w:rFonts w:asciiTheme="majorBidi" w:hAnsiTheme="majorBidi" w:cstheme="majorBidi"/>
              </w:rPr>
            </w:pPr>
            <w:r w:rsidRPr="007F0E19">
              <w:rPr>
                <w:rFonts w:asciiTheme="majorBidi" w:hAnsiTheme="majorBidi" w:cstheme="majorBidi"/>
              </w:rPr>
              <w:t xml:space="preserve">An international multi-purpose household survey </w:t>
            </w:r>
            <w:proofErr w:type="spellStart"/>
            <w:r w:rsidRPr="007F0E19">
              <w:rPr>
                <w:rFonts w:asciiTheme="majorBidi" w:hAnsiTheme="majorBidi" w:cstheme="majorBidi"/>
              </w:rPr>
              <w:t>programme</w:t>
            </w:r>
            <w:proofErr w:type="spellEnd"/>
            <w:r w:rsidRPr="007F0E19">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Pr>
                <w:rFonts w:asciiTheme="majorBidi" w:hAnsiTheme="majorBidi" w:cstheme="majorBidi"/>
              </w:rPr>
              <w:t xml:space="preserve">n, widely known as global MICS </w:t>
            </w:r>
            <w:proofErr w:type="spellStart"/>
            <w:r>
              <w:rPr>
                <w:rFonts w:asciiTheme="majorBidi" w:hAnsiTheme="majorBidi" w:cstheme="majorBidi"/>
              </w:rPr>
              <w:t>p</w:t>
            </w:r>
            <w:r w:rsidRPr="007F0E19">
              <w:rPr>
                <w:rFonts w:asciiTheme="majorBidi" w:hAnsiTheme="majorBidi" w:cstheme="majorBidi"/>
              </w:rPr>
              <w:t>rogramme</w:t>
            </w:r>
            <w:proofErr w:type="spellEnd"/>
            <w:r w:rsidRPr="007F0E19">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w:t>
            </w:r>
            <w:r w:rsidR="0056122A" w:rsidRPr="008E29E4">
              <w:rPr>
                <w:rFonts w:asciiTheme="majorBidi" w:hAnsiTheme="majorBidi" w:cstheme="majorBidi"/>
                <w:color w:val="000000"/>
                <w:sz w:val="22"/>
                <w:szCs w:val="22"/>
              </w:rPr>
              <w:lastRenderedPageBreak/>
              <w:t xml:space="preserve">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54595C2F" w:rsidR="00517C7B" w:rsidRPr="00517C7B" w:rsidRDefault="00517C7B" w:rsidP="00517C7B">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based on the MICS 6 standard questionnaires of UNICEF. It was customized and translated into Nepali, Bhojpuri and Maithili and were pre-tested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61BB33E" w:rsidR="0035311B" w:rsidRPr="00572BD8" w:rsidRDefault="00572BD8" w:rsidP="009F305C">
            <w:r>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B1AFD04" w:rsidR="0035311B" w:rsidRPr="00572BD8" w:rsidRDefault="00572BD8"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F37A9EE" w14:textId="77777777" w:rsidR="00C54818" w:rsidRDefault="00C54818" w:rsidP="00C54818">
            <w:pPr>
              <w:pStyle w:val="MText"/>
              <w:rPr>
                <w:rFonts w:asciiTheme="majorBidi" w:hAnsiTheme="majorBidi" w:cs="Nirmala UI"/>
                <w:color w:val="auto"/>
                <w:sz w:val="22"/>
                <w:szCs w:val="20"/>
                <w:lang w:val="en-US" w:bidi="ne-NP"/>
              </w:rPr>
            </w:pPr>
            <w:r>
              <w:rPr>
                <w:rFonts w:asciiTheme="majorBidi" w:hAnsiTheme="majorBidi" w:cs="Nirmala UI"/>
                <w:color w:val="auto"/>
                <w:sz w:val="22"/>
                <w:szCs w:val="20"/>
                <w:lang w:val="en-US" w:bidi="ne-NP"/>
              </w:rPr>
              <w:t>The health checkups following birth while in the facility or at home refers to health checkups provided by any health provider regardless of timing. P</w:t>
            </w:r>
            <w:r w:rsidRPr="00F368D5">
              <w:rPr>
                <w:rFonts w:asciiTheme="majorBidi" w:hAnsiTheme="majorBidi" w:cs="Nirmala UI"/>
                <w:color w:val="auto"/>
                <w:sz w:val="22"/>
                <w:szCs w:val="20"/>
                <w:lang w:val="en-US" w:bidi="ne-NP"/>
              </w:rPr>
              <w:t xml:space="preserve">ost-natal care visits refer to a separate visit to check on the health of the newborn and provide </w:t>
            </w:r>
            <w:r w:rsidRPr="00F368D5">
              <w:rPr>
                <w:rFonts w:asciiTheme="majorBidi" w:hAnsiTheme="majorBidi" w:cs="Nirmala UI"/>
                <w:color w:val="auto"/>
                <w:sz w:val="22"/>
                <w:szCs w:val="20"/>
                <w:lang w:val="en-US" w:bidi="ne-NP"/>
              </w:rPr>
              <w:lastRenderedPageBreak/>
              <w:t>preventive care services and therefore do not include health checks following birth while in facility or at home.</w:t>
            </w:r>
          </w:p>
          <w:p w14:paraId="257EDFC9" w14:textId="77777777" w:rsidR="00C54818" w:rsidRDefault="00C54818" w:rsidP="00C54818">
            <w:pPr>
              <w:pStyle w:val="MText"/>
              <w:rPr>
                <w:rFonts w:asciiTheme="majorBidi" w:hAnsiTheme="majorBidi" w:cs="Nirmala UI"/>
                <w:color w:val="auto"/>
                <w:sz w:val="22"/>
                <w:szCs w:val="20"/>
                <w:lang w:val="en-US" w:bidi="ne-NP"/>
              </w:rPr>
            </w:pPr>
          </w:p>
          <w:p w14:paraId="2E3517AC" w14:textId="0F5BF112" w:rsidR="007F2D9F" w:rsidRPr="00F54923" w:rsidRDefault="00C54818" w:rsidP="00C54818">
            <w:pPr>
              <w:pStyle w:val="MText"/>
              <w:rPr>
                <w:rFonts w:asciiTheme="majorBidi" w:hAnsiTheme="majorBidi" w:cstheme="majorBidi"/>
                <w:sz w:val="22"/>
                <w:szCs w:val="22"/>
              </w:rPr>
            </w:pPr>
            <w:r>
              <w:rPr>
                <w:rFonts w:asciiTheme="majorBidi" w:hAnsiTheme="majorBidi" w:cs="Nirmala UI"/>
                <w:color w:val="auto"/>
                <w:sz w:val="22"/>
                <w:szCs w:val="20"/>
                <w:lang w:val="en-US" w:bidi="ne-NP"/>
              </w:rPr>
              <w:t>Mortality and morbidity among mothers and their babies can be reduced with the adequate utilization of postnatal care.</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B81063B" w:rsidR="007F2D9F" w:rsidRPr="00026FEA" w:rsidRDefault="004A54CC" w:rsidP="009E43EF">
            <w:pPr>
              <w:pStyle w:val="MText"/>
              <w:rPr>
                <w:rFonts w:asciiTheme="majorBidi" w:hAnsiTheme="majorBidi" w:cstheme="majorBidi"/>
                <w:sz w:val="22"/>
                <w:szCs w:val="22"/>
              </w:rPr>
            </w:pPr>
            <w:r w:rsidRPr="00026FEA">
              <w:rPr>
                <w:rFonts w:asciiTheme="majorBidi" w:hAnsiTheme="majorBidi" w:cstheme="majorBidi"/>
                <w:sz w:val="22"/>
                <w:szCs w:val="22"/>
              </w:rPr>
              <w:t>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655302E" w14:textId="43D73B25" w:rsidR="00C54818" w:rsidRPr="00BA4E04" w:rsidRDefault="00C54818" w:rsidP="00BA4E04">
            <w:pPr>
              <w:pStyle w:val="MText"/>
              <w:rPr>
                <w:rFonts w:asciiTheme="majorBidi" w:hAnsiTheme="majorBidi" w:cstheme="majorBidi"/>
                <w:color w:val="auto"/>
                <w:sz w:val="22"/>
                <w:szCs w:val="22"/>
              </w:rPr>
            </w:pPr>
            <w:r>
              <w:rPr>
                <w:rFonts w:asciiTheme="majorBidi" w:hAnsiTheme="majorBidi" w:cstheme="majorBidi"/>
                <w:color w:val="333333"/>
              </w:rPr>
              <w:t xml:space="preserve">This indicators is calculated by dividing the total number of women aged 15-49 years with a live births in the last 2 years who during the pregnancy of the most recent live birth were attended </w:t>
            </w:r>
            <w:r w:rsidR="00BA4E04">
              <w:rPr>
                <w:rFonts w:asciiTheme="majorBidi" w:hAnsiTheme="majorBidi" w:cstheme="majorBidi"/>
                <w:color w:val="333333"/>
              </w:rPr>
              <w:t xml:space="preserve">at least </w:t>
            </w:r>
            <w:r w:rsidR="00BA4E04" w:rsidRPr="00DF3019">
              <w:rPr>
                <w:rFonts w:asciiTheme="majorBidi" w:hAnsiTheme="majorBidi" w:cstheme="majorBidi"/>
                <w:color w:val="auto"/>
                <w:sz w:val="22"/>
                <w:szCs w:val="22"/>
              </w:rPr>
              <w:t>once by skilled health personnel</w:t>
            </w:r>
            <w:r w:rsidR="00BA4E04">
              <w:rPr>
                <w:rFonts w:asciiTheme="majorBidi" w:hAnsiTheme="majorBidi" w:cstheme="majorBidi"/>
                <w:color w:val="auto"/>
                <w:sz w:val="22"/>
                <w:szCs w:val="22"/>
              </w:rPr>
              <w:t xml:space="preserve"> </w:t>
            </w:r>
            <w:r>
              <w:rPr>
                <w:rFonts w:asciiTheme="majorBidi" w:hAnsiTheme="majorBidi" w:cstheme="majorBidi"/>
                <w:color w:val="333333"/>
              </w:rPr>
              <w:t xml:space="preserve">by any provider by the total number of women aged 15-49 years with a live birth in the same period multiplied by 100.  </w:t>
            </w:r>
          </w:p>
          <w:p w14:paraId="5A53B8A7" w14:textId="32813EFC" w:rsidR="00B40D23" w:rsidRPr="00BA4E04" w:rsidRDefault="00C54818" w:rsidP="00BA4E04">
            <w:pPr>
              <w:pStyle w:val="MText"/>
              <w:rPr>
                <w:rFonts w:asciiTheme="majorBidi" w:hAnsiTheme="majorBidi" w:cstheme="majorBidi"/>
                <w:color w:val="auto"/>
                <w:sz w:val="22"/>
                <w:szCs w:val="22"/>
              </w:rPr>
            </w:pPr>
            <w:r>
              <w:rPr>
                <w:rFonts w:asciiTheme="majorBidi" w:hAnsiTheme="majorBidi" w:cstheme="majorBidi"/>
              </w:rPr>
              <w:t xml:space="preserve">Proportion of women aged 15-49 years with a live birth in the last 2 years who during the pregnancy of the most recent live birth were attended at least </w:t>
            </w:r>
            <w:r w:rsidR="00BA4E04" w:rsidRPr="00DF3019">
              <w:rPr>
                <w:rFonts w:asciiTheme="majorBidi" w:hAnsiTheme="majorBidi" w:cstheme="majorBidi"/>
                <w:color w:val="auto"/>
                <w:sz w:val="22"/>
                <w:szCs w:val="22"/>
              </w:rPr>
              <w:t>once by skilled health personnel</w:t>
            </w:r>
            <w:r w:rsidR="00BA4E04">
              <w:rPr>
                <w:rFonts w:asciiTheme="majorBidi" w:hAnsiTheme="majorBidi" w:cstheme="majorBidi"/>
                <w:color w:val="auto"/>
                <w:sz w:val="22"/>
                <w:szCs w:val="22"/>
              </w:rPr>
              <w:t xml:space="preserve"> </w:t>
            </w:r>
            <w:r>
              <w:rPr>
                <w:rFonts w:asciiTheme="majorBidi" w:hAnsiTheme="majorBidi" w:cstheme="majorBidi"/>
              </w:rPr>
              <w:t xml:space="preserve">= </w:t>
            </w:r>
            <w:r>
              <w:rPr>
                <w:rFonts w:asciiTheme="majorBidi" w:hAnsiTheme="majorBidi" w:cstheme="majorBidi"/>
                <w:color w:val="333333"/>
              </w:rPr>
              <w:t>Number of women aged 15-49 years with a live births in the last 2 years who during the pregnancy of the most recent live birth were attended at least eight times by any provider</w:t>
            </w:r>
            <w:r>
              <w:rPr>
                <w:rFonts w:asciiTheme="majorBidi" w:hAnsiTheme="majorBidi" w:cstheme="majorBidi"/>
              </w:rPr>
              <w:t xml:space="preserve"> / Total number of </w:t>
            </w:r>
            <w:r>
              <w:rPr>
                <w:rFonts w:asciiTheme="majorBidi" w:hAnsiTheme="majorBidi" w:cstheme="majorBidi"/>
                <w:color w:val="333333"/>
              </w:rPr>
              <w:t>women aged 15-49 years with a live birth in the same period</w:t>
            </w:r>
            <w:r w:rsidRPr="00026FEA">
              <w:rPr>
                <w:rFonts w:asciiTheme="majorBidi" w:hAnsiTheme="majorBidi" w:cstheme="majorBidi"/>
              </w:rPr>
              <w:t xml:space="preserve"> ×</w:t>
            </w:r>
            <w:r>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628AF6B" w:rsidR="00711E36" w:rsidRPr="001045C4" w:rsidRDefault="00D51AD5" w:rsidP="009F305C">
            <w:pPr>
              <w:rPr>
                <w:rFonts w:asciiTheme="majorBidi" w:hAnsiTheme="majorBidi" w:cstheme="majorBidi"/>
              </w:rPr>
            </w:pPr>
            <w:r w:rsidRPr="001045C4">
              <w:rPr>
                <w:rFonts w:asciiTheme="majorBidi" w:hAnsiTheme="majorBidi" w:cstheme="majorBidi"/>
                <w:color w:val="000000"/>
              </w:rPr>
              <w:t>For the</w:t>
            </w:r>
            <w:r w:rsidR="00711E36" w:rsidRPr="001045C4">
              <w:rPr>
                <w:rFonts w:asciiTheme="majorBidi" w:hAnsiTheme="majorBidi" w:cstheme="majorBidi"/>
                <w:color w:val="000000"/>
              </w:rPr>
              <w:t xml:space="preserve"> daily monitoring </w:t>
            </w:r>
            <w:r w:rsidRPr="001045C4">
              <w:rPr>
                <w:rFonts w:asciiTheme="majorBidi" w:hAnsiTheme="majorBidi" w:cstheme="majorBidi"/>
                <w:color w:val="000000"/>
              </w:rPr>
              <w:t>of field work, team supervisors were responsible. Re-interviewing on one household per cluster was mandatory. Skills and performance of interviewer were observed daily.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05BA19E" w14:textId="77777777" w:rsidR="00572BD8" w:rsidRDefault="00572BD8" w:rsidP="00572BD8">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w:t>
            </w:r>
            <w:r w:rsidRPr="00E161C5">
              <w:rPr>
                <w:rFonts w:asciiTheme="majorBidi" w:hAnsiTheme="majorBidi" w:cstheme="majorBidi"/>
                <w:lang w:bidi="ne-NP"/>
              </w:rPr>
              <w:lastRenderedPageBreak/>
              <w:t xml:space="preserve">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6540C08" w14:textId="77777777" w:rsidR="00572BD8" w:rsidRPr="001045C4" w:rsidRDefault="00572BD8" w:rsidP="00572BD8">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515E5C62" w:rsidR="007F2D9F" w:rsidRPr="009F305C" w:rsidRDefault="00572BD8" w:rsidP="00572BD8">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2B8B91E5" w14:textId="77777777" w:rsidR="00572BD8" w:rsidRDefault="00572BD8" w:rsidP="00572BD8">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2468D02A" w14:textId="77777777" w:rsidR="00572BD8" w:rsidRPr="001045C4" w:rsidRDefault="00572BD8" w:rsidP="00572BD8">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6406AA28" w:rsidR="007F2D9F" w:rsidRPr="009F305C" w:rsidRDefault="00572BD8" w:rsidP="00572BD8">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510F23" w:rsidRDefault="00510F23" w:rsidP="006B0512">
      <w:pPr>
        <w:spacing w:after="0" w:line="240" w:lineRule="auto"/>
      </w:pPr>
      <w:r>
        <w:separator/>
      </w:r>
    </w:p>
  </w:endnote>
  <w:endnote w:type="continuationSeparator" w:id="0">
    <w:p w14:paraId="0652DDFD" w14:textId="77777777" w:rsidR="00510F23" w:rsidRDefault="00510F2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 w:name="Nirmala UI">
    <w:panose1 w:val="020B0502040204020203"/>
    <w:charset w:val="00"/>
    <w:family w:val="swiss"/>
    <w:pitch w:val="variable"/>
    <w:sig w:usb0="80FF8023" w:usb1="0200004A" w:usb2="000002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055ABC83" w:rsidR="00510F23" w:rsidRDefault="00510F23">
        <w:pPr>
          <w:pStyle w:val="Footer"/>
          <w:jc w:val="right"/>
        </w:pPr>
        <w:r>
          <w:fldChar w:fldCharType="begin"/>
        </w:r>
        <w:r>
          <w:instrText xml:space="preserve"> PAGE   \* MERGEFORMAT </w:instrText>
        </w:r>
        <w:r>
          <w:fldChar w:fldCharType="separate"/>
        </w:r>
        <w:r w:rsidR="00BA4E04">
          <w:rPr>
            <w:noProof/>
          </w:rPr>
          <w:t>13</w:t>
        </w:r>
        <w:r>
          <w:rPr>
            <w:noProof/>
          </w:rPr>
          <w:fldChar w:fldCharType="end"/>
        </w:r>
      </w:p>
    </w:sdtContent>
  </w:sdt>
  <w:p w14:paraId="232AF3D4" w14:textId="77777777" w:rsidR="00510F23" w:rsidRDefault="00510F2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1AB41D82" w:rsidR="00510F23" w:rsidRDefault="00510F23">
        <w:pPr>
          <w:pStyle w:val="Footer"/>
          <w:jc w:val="right"/>
        </w:pPr>
        <w:r>
          <w:fldChar w:fldCharType="begin"/>
        </w:r>
        <w:r>
          <w:instrText xml:space="preserve"> PAGE   \* MERGEFORMAT </w:instrText>
        </w:r>
        <w:r>
          <w:fldChar w:fldCharType="separate"/>
        </w:r>
        <w:r w:rsidR="00BA4E04">
          <w:rPr>
            <w:noProof/>
          </w:rPr>
          <w:t>1</w:t>
        </w:r>
        <w:r>
          <w:rPr>
            <w:noProof/>
          </w:rPr>
          <w:fldChar w:fldCharType="end"/>
        </w:r>
      </w:p>
    </w:sdtContent>
  </w:sdt>
  <w:p w14:paraId="52FF1B3E" w14:textId="77777777" w:rsidR="00510F23" w:rsidRDefault="00510F2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510F23" w:rsidRDefault="00510F23" w:rsidP="006B0512">
      <w:pPr>
        <w:spacing w:after="0" w:line="240" w:lineRule="auto"/>
      </w:pPr>
      <w:r>
        <w:separator/>
      </w:r>
    </w:p>
  </w:footnote>
  <w:footnote w:type="continuationSeparator" w:id="0">
    <w:p w14:paraId="21AE062F" w14:textId="77777777" w:rsidR="00510F23" w:rsidRDefault="00510F23" w:rsidP="006B0512">
      <w:pPr>
        <w:spacing w:after="0" w:line="240" w:lineRule="auto"/>
      </w:pPr>
      <w:r>
        <w:continuationSeparator/>
      </w:r>
    </w:p>
  </w:footnote>
  <w:footnote w:id="1">
    <w:p w14:paraId="463C7A6C" w14:textId="3926C0D8" w:rsidR="00510F23" w:rsidRPr="00B8102F" w:rsidRDefault="00510F2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77142314">
    <w:abstractNumId w:val="3"/>
  </w:num>
  <w:num w:numId="2" w16cid:durableId="268895806">
    <w:abstractNumId w:val="0"/>
  </w:num>
  <w:num w:numId="3" w16cid:durableId="226572090">
    <w:abstractNumId w:val="5"/>
  </w:num>
  <w:num w:numId="4" w16cid:durableId="905146042">
    <w:abstractNumId w:val="2"/>
  </w:num>
  <w:num w:numId="5" w16cid:durableId="2828211">
    <w:abstractNumId w:val="4"/>
  </w:num>
  <w:num w:numId="6" w16cid:durableId="1666326217">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8"/>
  <w:proofState w:spelling="clean" w:grammar="clean"/>
  <w:documentProtection w:edit="readOnly" w:enforcement="1"/>
  <w:defaultTabStop w:val="720"/>
  <w:characterSpacingControl w:val="doNotCompress"/>
  <w:hdrShapeDefaults>
    <o:shapedefaults v:ext="edit" spidmax="860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D2623"/>
    <w:rsid w:val="000E4EFE"/>
    <w:rsid w:val="000F3B8E"/>
    <w:rsid w:val="001034ED"/>
    <w:rsid w:val="001045C4"/>
    <w:rsid w:val="00106632"/>
    <w:rsid w:val="001127E6"/>
    <w:rsid w:val="00117F45"/>
    <w:rsid w:val="0013388C"/>
    <w:rsid w:val="00144304"/>
    <w:rsid w:val="0014660A"/>
    <w:rsid w:val="0015178E"/>
    <w:rsid w:val="00151B76"/>
    <w:rsid w:val="00154283"/>
    <w:rsid w:val="0015690D"/>
    <w:rsid w:val="0015725E"/>
    <w:rsid w:val="001734AE"/>
    <w:rsid w:val="00183788"/>
    <w:rsid w:val="0018734D"/>
    <w:rsid w:val="00192C6D"/>
    <w:rsid w:val="001A0E35"/>
    <w:rsid w:val="001A4ECF"/>
    <w:rsid w:val="001A6F28"/>
    <w:rsid w:val="001B6829"/>
    <w:rsid w:val="001B7FA2"/>
    <w:rsid w:val="001C1BC2"/>
    <w:rsid w:val="001D1500"/>
    <w:rsid w:val="001E1E26"/>
    <w:rsid w:val="001E692E"/>
    <w:rsid w:val="001F0C55"/>
    <w:rsid w:val="001F31C6"/>
    <w:rsid w:val="001F6736"/>
    <w:rsid w:val="00202B2D"/>
    <w:rsid w:val="0020618B"/>
    <w:rsid w:val="0022035F"/>
    <w:rsid w:val="002313D6"/>
    <w:rsid w:val="00232BB2"/>
    <w:rsid w:val="002342D6"/>
    <w:rsid w:val="00235F8D"/>
    <w:rsid w:val="002525CC"/>
    <w:rsid w:val="002535FC"/>
    <w:rsid w:val="002576F7"/>
    <w:rsid w:val="002607BA"/>
    <w:rsid w:val="00266557"/>
    <w:rsid w:val="002718DD"/>
    <w:rsid w:val="0027469C"/>
    <w:rsid w:val="002806B7"/>
    <w:rsid w:val="002919C5"/>
    <w:rsid w:val="0029558C"/>
    <w:rsid w:val="002A631A"/>
    <w:rsid w:val="002A67E3"/>
    <w:rsid w:val="002A6E7E"/>
    <w:rsid w:val="002C065D"/>
    <w:rsid w:val="002C550A"/>
    <w:rsid w:val="002E449E"/>
    <w:rsid w:val="002E6DA3"/>
    <w:rsid w:val="002F0922"/>
    <w:rsid w:val="0031646B"/>
    <w:rsid w:val="00316CFE"/>
    <w:rsid w:val="003218D9"/>
    <w:rsid w:val="00325D2B"/>
    <w:rsid w:val="00344199"/>
    <w:rsid w:val="003514F3"/>
    <w:rsid w:val="00352386"/>
    <w:rsid w:val="0035311B"/>
    <w:rsid w:val="00355460"/>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419"/>
    <w:rsid w:val="0048556F"/>
    <w:rsid w:val="00490C58"/>
    <w:rsid w:val="004922FE"/>
    <w:rsid w:val="004962C5"/>
    <w:rsid w:val="004A31AD"/>
    <w:rsid w:val="004A54CC"/>
    <w:rsid w:val="004B79EB"/>
    <w:rsid w:val="004C06A8"/>
    <w:rsid w:val="004C5F67"/>
    <w:rsid w:val="004C665C"/>
    <w:rsid w:val="004D6154"/>
    <w:rsid w:val="004D68B6"/>
    <w:rsid w:val="004E1323"/>
    <w:rsid w:val="004E3F4C"/>
    <w:rsid w:val="004E5702"/>
    <w:rsid w:val="004E5E1A"/>
    <w:rsid w:val="004F4616"/>
    <w:rsid w:val="00500E13"/>
    <w:rsid w:val="00502D9A"/>
    <w:rsid w:val="00503263"/>
    <w:rsid w:val="00510F23"/>
    <w:rsid w:val="005118BF"/>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72BD8"/>
    <w:rsid w:val="005803B3"/>
    <w:rsid w:val="00581C4A"/>
    <w:rsid w:val="00581D14"/>
    <w:rsid w:val="005864D5"/>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83B41"/>
    <w:rsid w:val="00693674"/>
    <w:rsid w:val="00696906"/>
    <w:rsid w:val="006A7EF1"/>
    <w:rsid w:val="006B0512"/>
    <w:rsid w:val="006B3527"/>
    <w:rsid w:val="006C075C"/>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F2D9F"/>
    <w:rsid w:val="007F5350"/>
    <w:rsid w:val="007F5448"/>
    <w:rsid w:val="007F6520"/>
    <w:rsid w:val="00805865"/>
    <w:rsid w:val="00806D18"/>
    <w:rsid w:val="00810C60"/>
    <w:rsid w:val="0082426F"/>
    <w:rsid w:val="00840512"/>
    <w:rsid w:val="00851DF8"/>
    <w:rsid w:val="008521A2"/>
    <w:rsid w:val="00865A34"/>
    <w:rsid w:val="00896C93"/>
    <w:rsid w:val="008A158D"/>
    <w:rsid w:val="008A7300"/>
    <w:rsid w:val="008B50F4"/>
    <w:rsid w:val="008B52F4"/>
    <w:rsid w:val="008C141D"/>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C1C57"/>
    <w:rsid w:val="009D425D"/>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D599A"/>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7297"/>
    <w:rsid w:val="00B979B1"/>
    <w:rsid w:val="00BA4E04"/>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7725"/>
    <w:rsid w:val="00C47BE6"/>
    <w:rsid w:val="00C54818"/>
    <w:rsid w:val="00C605D4"/>
    <w:rsid w:val="00C65038"/>
    <w:rsid w:val="00C66489"/>
    <w:rsid w:val="00C83947"/>
    <w:rsid w:val="00C87DE5"/>
    <w:rsid w:val="00C93F83"/>
    <w:rsid w:val="00C94E79"/>
    <w:rsid w:val="00CA6252"/>
    <w:rsid w:val="00CA646E"/>
    <w:rsid w:val="00CA7FA5"/>
    <w:rsid w:val="00CB7B0D"/>
    <w:rsid w:val="00CC5969"/>
    <w:rsid w:val="00CD4533"/>
    <w:rsid w:val="00CF2080"/>
    <w:rsid w:val="00CF4869"/>
    <w:rsid w:val="00CF504E"/>
    <w:rsid w:val="00D1060D"/>
    <w:rsid w:val="00D12623"/>
    <w:rsid w:val="00D12D35"/>
    <w:rsid w:val="00D15AD5"/>
    <w:rsid w:val="00D165CA"/>
    <w:rsid w:val="00D17114"/>
    <w:rsid w:val="00D21086"/>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E64D3"/>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85F3A"/>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2310E"/>
    <w:rsid w:val="00F23302"/>
    <w:rsid w:val="00F32D3F"/>
    <w:rsid w:val="00F33077"/>
    <w:rsid w:val="00F422F8"/>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860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61330747">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 w:name="Nirmala UI">
    <w:panose1 w:val="020B0502040204020203"/>
    <w:charset w:val="00"/>
    <w:family w:val="swiss"/>
    <w:pitch w:val="variable"/>
    <w:sig w:usb0="80FF8023" w:usb1="0200004A" w:usb2="000002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144A3B"/>
    <w:rsid w:val="00251E03"/>
    <w:rsid w:val="00296525"/>
    <w:rsid w:val="0036646D"/>
    <w:rsid w:val="005339DF"/>
    <w:rsid w:val="006153AA"/>
    <w:rsid w:val="0064052E"/>
    <w:rsid w:val="00710E59"/>
    <w:rsid w:val="00760A1F"/>
    <w:rsid w:val="007A219D"/>
    <w:rsid w:val="007C73E5"/>
    <w:rsid w:val="008E3979"/>
    <w:rsid w:val="00C64B44"/>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D6F4CC17-50D6-48F4-AFDE-9B7EA225B14C}">
  <ds:schemaRefs>
    <ds:schemaRef ds:uri="http://schemas.openxmlformats.org/officeDocument/2006/bibliography"/>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2954</TotalTime>
  <Pages>13</Pages>
  <Words>216692</Words>
  <Characters>1235149</Characters>
  <Application>Microsoft Office Word</Application>
  <DocSecurity>8</DocSecurity>
  <Lines>10292</Lines>
  <Paragraphs>2897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1448944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Microsoft Office User</cp:lastModifiedBy>
  <cp:revision>91</cp:revision>
  <cp:lastPrinted>2020-04-16T14:23:00Z</cp:lastPrinted>
  <dcterms:created xsi:type="dcterms:W3CDTF">2020-10-22T23:58:00Z</dcterms:created>
  <dcterms:modified xsi:type="dcterms:W3CDTF">2022-10-15T10:38:00Z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