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66BF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66BF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66BF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66BF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66BF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66BF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66BF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66BF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66BF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66BF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66BF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66BF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66BF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184C0F2" w:rsidR="00355460" w:rsidRPr="00E263EC" w:rsidRDefault="0051472C" w:rsidP="00355460">
          <w:r>
            <w:t>Global (G)</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9F0BF48" w:rsidR="00B66AF3" w:rsidRDefault="0051472C" w:rsidP="00B66AF3">
          <w:r>
            <w:t>1.2.1 Proportion of population living below the national poverty line [1.2.1] (SI_POV_NAHC)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884635" w:rsidP="002806B7">
      <w:pPr>
        <w:spacing w:after="0"/>
        <w:rPr>
          <w:sz w:val="26"/>
          <w:szCs w:val="26"/>
        </w:rPr>
      </w:pPr>
      <w:r>
        <w:rPr>
          <w:noProof/>
          <w:sz w:val="26"/>
          <w:szCs w:val="26"/>
        </w:rPr>
      </w:r>
      <w:r w:rsidR="00884635">
        <w:rPr>
          <w:noProof/>
          <w:sz w:val="26"/>
          <w:szCs w:val="26"/>
        </w:rPr>
        <w:pict w14:anchorId="71F9D98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884635">
        <w:rPr>
          <w:noProof/>
          <w:sz w:val="26"/>
          <w:szCs w:val="26"/>
        </w:rPr>
        <w:pict w14:anchorId="45499889">
          <v:shape id="_x0000_i1035"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55F8434" w:rsidR="0077584C" w:rsidRDefault="0051472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D448F4C" w:rsidR="00F7784D" w:rsidRDefault="0051472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884635" w:rsidP="00355460">
      <w:r>
        <w:rPr>
          <w:noProof/>
        </w:rPr>
      </w:r>
      <w:r w:rsidR="00884635">
        <w:rPr>
          <w:noProof/>
        </w:rPr>
        <w:pict w14:anchorId="30ABCAD7">
          <v:shape id="_x0000_i1034" type="#_x0000_t75" alt="" style="width:139.95pt;height:24.2pt;mso-width-percent:0;mso-height-percent:0;mso-width-percent:0;mso-height-percent:0">
            <v:imagedata r:id="rId15" o:title=""/>
          </v:shape>
        </w:pict>
      </w:r>
      <w:r w:rsidR="003E117E">
        <w:t xml:space="preserve">             </w:t>
      </w:r>
      <w:r>
        <w:rPr>
          <w:noProof/>
        </w:rPr>
      </w:r>
      <w:r w:rsidR="00884635">
        <w:rPr>
          <w:noProof/>
        </w:rPr>
        <w:pict w14:anchorId="6F4386CB">
          <v:shape id="_x0000_i1033" type="#_x0000_t75" alt="" style="width:199.8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0294E9F" w:rsidR="005377B9" w:rsidRPr="009F305C" w:rsidRDefault="0051472C" w:rsidP="009F305C">
            <w:r w:rsidRPr="0051472C">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4A6D81B" w:rsidR="005377B9" w:rsidRPr="0051472C" w:rsidRDefault="0051472C" w:rsidP="009F305C">
            <w:r w:rsidRPr="0051472C">
              <w:t>1.2 By 2030, reduce at least by half the proportion of men, women and children of all ages living in poverty in all its dimensions according to national definitions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B5FB244" w:rsidR="005377B9" w:rsidRPr="0051472C" w:rsidRDefault="0051472C" w:rsidP="0051472C">
            <w:pPr>
              <w:rPr>
                <w:color w:val="000000"/>
              </w:rPr>
            </w:pPr>
            <w:r w:rsidRPr="0051472C">
              <w:rPr>
                <w:color w:val="000000"/>
              </w:rPr>
              <w:t>1.2.1 Proportion of population living below the national poverty line, by sex and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232D0A6A" w:rsidR="005377B9" w:rsidRPr="009F305C" w:rsidRDefault="0051472C" w:rsidP="009F305C">
            <w:r>
              <w:t>Proportion of population living below the national poverty line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6C8E98E" w:rsidR="005377B9" w:rsidRPr="00BB389E" w:rsidRDefault="00BB389E" w:rsidP="009F305C">
            <w:r w:rsidRPr="00BB389E">
              <w:rPr>
                <w:color w:val="000000" w:themeColor="text1"/>
              </w:rPr>
              <w:t>9</w:t>
            </w:r>
            <w:r w:rsidRPr="00BB389E">
              <w:rPr>
                <w:color w:val="000000" w:themeColor="text1"/>
                <w:vertAlign w:val="superscript"/>
              </w:rPr>
              <w:t>th</w:t>
            </w:r>
            <w:r w:rsidRPr="00BB389E">
              <w:rPr>
                <w:color w:val="000000" w:themeColor="text1"/>
              </w:rPr>
              <w:t xml:space="preserve"> </w:t>
            </w:r>
            <w:r>
              <w:rPr>
                <w:color w:val="000000" w:themeColor="text1"/>
              </w:rPr>
              <w:t>October</w:t>
            </w:r>
            <w:r w:rsidRPr="00BB389E">
              <w:rPr>
                <w:color w:val="000000" w:themeColor="text1"/>
              </w:rPr>
              <w:t xml:space="preserve"> 2020 (first update)</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8D81EFB" w:rsidR="005377B9" w:rsidRPr="00BB389E" w:rsidRDefault="00BB389E" w:rsidP="009F305C">
            <w:r w:rsidRPr="00BB389E">
              <w:rPr>
                <w:color w:val="000000"/>
              </w:rPr>
              <w:t>1.1 By 2030, eradicate extreme poverty for all people everywhere, currently measured as people living on less than $1.25 a day</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31F208D" w:rsidR="005377B9" w:rsidRPr="009F305C" w:rsidRDefault="00BB389E" w:rsidP="009F305C">
            <w:r>
              <w:t>The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DC4C789" w:rsidR="003E7389" w:rsidRPr="009F305C" w:rsidRDefault="00BB389E"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E7C18DB" w:rsidR="003E7389" w:rsidRPr="009F305C" w:rsidRDefault="00BB389E" w:rsidP="009F305C">
            <w:r>
              <w:t xml:space="preserve">Mr. Tirtha Raj </w:t>
            </w:r>
            <w:proofErr w:type="spellStart"/>
            <w:r>
              <w:t>Chaulagain</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20FD1F1" w:rsidR="003E7389" w:rsidRPr="009F305C" w:rsidRDefault="00BB389E" w:rsidP="009F305C">
            <w: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78A6D12" w:rsidR="003E7389" w:rsidRPr="00BB389E" w:rsidRDefault="00BB389E" w:rsidP="009F305C">
            <w:r w:rsidRPr="00BB389E">
              <w:rPr>
                <w:rFonts w:ascii="Calibri" w:eastAsia="Times New Roman" w:hAnsi="Calibri" w:cs="Calibri"/>
                <w:color w:val="000000"/>
              </w:rPr>
              <w:t>carry out household surveys and produce results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7F9294A" w:rsidR="003E7389" w:rsidRPr="00BB389E" w:rsidRDefault="00BB389E" w:rsidP="009F305C">
            <w:r w:rsidRPr="00BB389E">
              <w:rPr>
                <w:rFonts w:ascii="Calibri" w:eastAsia="Times New Roman" w:hAnsi="Calibri" w:cs="Calibri"/>
                <w:color w:val="000000"/>
              </w:rPr>
              <w:t>+977-9841</w:t>
            </w:r>
            <w:r>
              <w:rPr>
                <w:rFonts w:ascii="Calibri" w:eastAsia="Times New Roman" w:hAnsi="Calibri" w:cs="Calibri"/>
                <w:color w:val="000000"/>
              </w:rPr>
              <w:t>479826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CEDE10F" w:rsidR="003E7389" w:rsidRPr="009F305C" w:rsidRDefault="00BB389E" w:rsidP="009F305C">
            <w:proofErr w:type="spellStart"/>
            <w:r>
              <w:t>Thapathali</w:t>
            </w:r>
            <w:proofErr w:type="spellEnd"/>
            <w: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21F4365" w:rsidR="003E7389" w:rsidRPr="009F305C" w:rsidRDefault="00BB389E" w:rsidP="009F305C">
            <w:r>
              <w:t>trchaulagain@gmail.com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429D834" w14:textId="0089A14D" w:rsidR="00203CE0" w:rsidRPr="00203CE0" w:rsidRDefault="00F0380C" w:rsidP="00884635">
            <w:pPr>
              <w:shd w:val="clear" w:color="auto" w:fill="FFFFFF" w:themeFill="background1"/>
              <w:spacing w:after="0"/>
              <w:contextualSpacing/>
              <w:jc w:val="both"/>
            </w:pPr>
            <w:r w:rsidRPr="00F0380C">
              <w:t xml:space="preserve">The national poverty rate is the percentage of the total population living below the national poverty line. </w:t>
            </w:r>
            <w:r w:rsidR="00203CE0" w:rsidRPr="00F0380C">
              <w:t>The indicator “proportion of the population below</w:t>
            </w:r>
            <w:r w:rsidR="00203CE0" w:rsidRPr="00203CE0">
              <w:t xml:space="preserve"> the national poverty line” is defined as the percentage of </w:t>
            </w:r>
            <w:r>
              <w:t>population with per capita</w:t>
            </w:r>
            <w:r w:rsidR="00203CE0" w:rsidRPr="00203CE0">
              <w:t xml:space="preserve"> </w:t>
            </w:r>
            <w:r>
              <w:t>consumption</w:t>
            </w:r>
            <w:r w:rsidR="00203CE0" w:rsidRPr="00203CE0">
              <w:t xml:space="preserve"> less than Rs. 19,961 a </w:t>
            </w:r>
            <w:r>
              <w:t>year</w:t>
            </w:r>
            <w:r w:rsidR="00203CE0" w:rsidRPr="00203CE0">
              <w:t xml:space="preserve"> at 2010 price </w:t>
            </w:r>
            <w:r>
              <w:t>(</w:t>
            </w:r>
            <w:r w:rsidR="00203CE0" w:rsidRPr="00203CE0">
              <w:t>in Nepalese Currency</w:t>
            </w:r>
            <w:r>
              <w:t>)</w:t>
            </w:r>
            <w:r w:rsidR="00203CE0" w:rsidRPr="00203CE0">
              <w:t xml:space="preserve">. </w:t>
            </w:r>
          </w:p>
          <w:p w14:paraId="6C84E827" w14:textId="34581D1B" w:rsidR="0015178E" w:rsidRPr="009F305C" w:rsidRDefault="00203CE0" w:rsidP="00884635">
            <w:pPr>
              <w:jc w:val="both"/>
            </w:pPr>
            <w:r>
              <w:t xml:space="preserve">The Nepal Living Standards Survey, 1995/96 (NLSS-I) was a milestone in the collection of data for the objective measurement of the living standards of the people and for determining the level of poverty in the country. The survey covered a wide range of topics related to “household welfare” </w:t>
            </w:r>
            <w:r>
              <w:lastRenderedPageBreak/>
              <w:t>(demography, consumption, income, access to facilities, housing, education, health, employment, credit, remittances and anthropometry, etc.). NLSS-I for the first time, provided a measure of “extent and dimension” of poverty in Nepal. The survey findings became popular among decision makers in the government agencies, the general public and the international agencies as well. It was realized that a second round of the survey was needed to update the results and to assess the impact of policies and programs on poverty and social indicators over the years (since the NLSS-I was conducted). Accordingly, the second round of the survey (NLSS-II) was carried out in 2003/04 after 8 years of the first survey. The findings of the NLSS-II helped the government to monitor progress in improving national living standards and the survey became a good basis for monitoring the Millennium Development Goals (MDGs) over time. Realizing the importance of time series data, the Government of Nepal decided to conduct another round of the Nepal Living Standards Survey. Accordingly, the Central Bureau of Statistics for the third time conducted the survey in 2010/11 (NLSS-III). The survey was carried out with the assistance from the World Bank.</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BA0AF91" w:rsidR="0015178E" w:rsidRPr="009F305C" w:rsidRDefault="001F0B95"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08F9F71" w:rsidR="0035311B" w:rsidRPr="009F305C" w:rsidRDefault="00F0380C" w:rsidP="009F305C">
            <w:r>
              <w:t>Nepal Living Standards Survey (NLSS)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E7349EB" w14:textId="77777777" w:rsidR="00F0380C" w:rsidRPr="00F0380C" w:rsidRDefault="00F0380C" w:rsidP="00884635">
            <w:pPr>
              <w:spacing w:before="100" w:after="200" w:line="300" w:lineRule="auto"/>
              <w:jc w:val="both"/>
            </w:pPr>
            <w:r w:rsidRPr="00F0380C">
              <w:rPr>
                <w:rFonts w:cstheme="minorHAnsi"/>
              </w:rPr>
              <w:t xml:space="preserve">The NLSS III (2010-11) </w:t>
            </w:r>
            <w:r w:rsidRPr="00F0380C">
              <w:rPr>
                <w:iCs/>
              </w:rPr>
              <w:t xml:space="preserve">enumerated 7,020 households, of which 5,988 households are from the cross-section sample and the remaining 1,032 are from the panel sample. Two-stage stratified sampling was adopted where the </w:t>
            </w:r>
            <w:r w:rsidRPr="00F0380C">
              <w:t xml:space="preserve">number of households at ward level was obtained from the sampling frame of 2001 Population Census. In the </w:t>
            </w:r>
            <w:r w:rsidRPr="00F0380C">
              <w:rPr>
                <w:u w:val="single"/>
              </w:rPr>
              <w:t>first stage</w:t>
            </w:r>
            <w:r w:rsidRPr="00F0380C">
              <w:t xml:space="preserve">, 500 primary sampling units (PSUs) were selected with equal probability from 14 strata. In the </w:t>
            </w:r>
            <w:r w:rsidRPr="00F0380C">
              <w:rPr>
                <w:u w:val="single"/>
              </w:rPr>
              <w:t>second stage</w:t>
            </w:r>
            <w:r w:rsidRPr="00F0380C">
              <w:t xml:space="preserve">, 12 households were selected with equal probability in each PSU with an </w:t>
            </w:r>
            <w:r w:rsidRPr="00F0380C">
              <w:lastRenderedPageBreak/>
              <w:t>additional 6 households in each PSU, to be used as replacement household for non-response among the 12 originally selected households.</w:t>
            </w:r>
          </w:p>
          <w:p w14:paraId="17E792C4" w14:textId="77777777" w:rsidR="00F0380C" w:rsidRPr="00F0380C" w:rsidRDefault="00F0380C" w:rsidP="00884635">
            <w:pPr>
              <w:spacing w:before="100" w:after="200" w:line="300" w:lineRule="auto"/>
              <w:jc w:val="both"/>
            </w:pPr>
            <w:r w:rsidRPr="00F0380C">
              <w:t>The survey enumerated 5988 sample households from 499 primary sampling units (PSUs) from the cross-section sample. NLSS-III used two types of questionnaires: household questionnaire and community questionnaire. There were 20 Sections in the household questionnaire which covered the topics of demography, housing, access to facilities, migration, consumer expenditure, education, health, marriage and maternity history, work and time use, employment and unemployment, wage and salary, agriculture, non-agricultural activities, credit and savings, absentee population, remittances and transfers, social assistances, adequacy of consumption and government services/facilities, and anthropometry.</w:t>
            </w:r>
          </w:p>
          <w:p w14:paraId="60E54013" w14:textId="29F62D3D" w:rsidR="0035311B" w:rsidRPr="00F0380C" w:rsidRDefault="00F0380C" w:rsidP="00884635">
            <w:pPr>
              <w:jc w:val="both"/>
            </w:pPr>
            <w:r w:rsidRPr="00F0380C">
              <w:t>Data were collected by 20 field teams consisting of one supervisor, three interviewers (including at least two female interviewers) and one specially trained data entry operator. The teams were based in the appropriate Branch Statistics Office (BSO) of the CBS, and each team covered on average 30 PSUs during a period of 12 months.</w:t>
            </w:r>
            <w:r w:rsidRPr="00F0380C">
              <w:rPr>
                <w:lang w:val="en-GB"/>
              </w:rPr>
              <w:t xml:space="preserve"> The intensive training of the field workers (supervisors, interviewers, and data entry operators) was conducted for 25 working days before fielding the survey.</w:t>
            </w:r>
            <w:r w:rsidRPr="00F0380C">
              <w:t xml:space="preserve"> The field-based data entry and consistency check technique was adopted.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8C86BE2" w:rsidR="0035311B" w:rsidRPr="00884635" w:rsidRDefault="003375D7" w:rsidP="00884635">
            <w:pPr>
              <w:jc w:val="both"/>
            </w:pPr>
            <w:r w:rsidRPr="00884635">
              <w:t>Data collection was carried out over a period of 12 months to cover a complete cycle in agricultural activities and to capture seasonal variations in other variables. Fieldwork took place in four</w:t>
            </w:r>
            <w:r w:rsidRPr="00884635">
              <w:t xml:space="preserve"> </w:t>
            </w:r>
            <w:r w:rsidRPr="00884635">
              <w:t>subsequent phases. The first phase started on February 21, 2010 and the fourth phase was completed by the first week of February, 2011.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2821F95" w:rsidR="0035311B" w:rsidRPr="00884635" w:rsidRDefault="00884635" w:rsidP="00884635">
            <w:pPr>
              <w:jc w:val="both"/>
            </w:pPr>
            <w:r w:rsidRPr="00884635">
              <w:t>It took 10 months for data editing, cleaning and analysis. The data was released after the statistical report was published in November 2011</w:t>
            </w:r>
            <w:r w:rsidRPr="00884635">
              <w:rPr>
                <w:rFonts w:cstheme="minorHAnsi"/>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BC08169" w:rsidR="0035311B" w:rsidRPr="009F305C" w:rsidRDefault="00884635"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98A23D" w:rsidR="0035311B" w:rsidRPr="009F305C" w:rsidRDefault="00884635" w:rsidP="00884635">
            <w:pPr>
              <w:jc w:val="both"/>
            </w:pPr>
            <w:r>
              <w:t xml:space="preserve">Household Survey Section of the </w:t>
            </w:r>
            <w: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1AF43C1" w:rsidR="0035311B" w:rsidRPr="009F305C" w:rsidRDefault="00884635" w:rsidP="00884635">
            <w:pPr>
              <w:jc w:val="both"/>
            </w:pPr>
            <w:r>
              <w:rPr>
                <w:rFonts w:ascii="Calibri" w:eastAsia="Times New Roman" w:hAnsi="Calibri" w:cs="Calibri"/>
                <w:color w:val="000000"/>
              </w:rPr>
              <w:t>Statistics Act, 1959 and Statistics Regulation, 1986 mandated the CBS to carry out sample surveys.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03128FF" w:rsidR="007F2D9F" w:rsidRPr="00884635" w:rsidRDefault="00884635" w:rsidP="00884635">
            <w:pPr>
              <w:jc w:val="both"/>
            </w:pPr>
            <w:r w:rsidRPr="00884635">
              <w:rPr>
                <w:rFonts w:ascii="Calibri" w:eastAsia="Times New Roman" w:hAnsi="Calibri" w:cs="Calibri"/>
                <w:color w:val="000000"/>
              </w:rPr>
              <w:t>Monitoring poverty is important on the national development agenda of Nepal. Since 10th Development Plan, alleviation is the poverty is the sole objective of the periodic plans. Combining NLSS with census data and using small area estimation technique poverty indicators can be disaggregated to the local level for planning.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607650C" w:rsidR="007F2D9F" w:rsidRPr="009F305C" w:rsidRDefault="00884635" w:rsidP="00884635">
            <w:pPr>
              <w:jc w:val="both"/>
            </w:pPr>
            <w:r w:rsidRPr="00884635">
              <w:rPr>
                <w:rFonts w:ascii="Calibri" w:eastAsia="Times New Roman" w:hAnsi="Calibri" w:cs="Calibri"/>
                <w:color w:val="000000"/>
              </w:rPr>
              <w:t>The NLSS survey was designed to carry out in every 5 years since 1995/96 but unfortunately, it could be carried out only 3 times since then. The poverty indicators based on international poverty line is not used widely for planning.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FBAF103" w14:textId="0CCAF770" w:rsidR="00884635" w:rsidRPr="00884635" w:rsidRDefault="00884635" w:rsidP="00884635">
            <w:pPr>
              <w:spacing w:before="100" w:beforeAutospacing="1" w:after="100" w:afterAutospacing="1" w:line="240" w:lineRule="auto"/>
              <w:jc w:val="both"/>
              <w:rPr>
                <w:rFonts w:ascii="Calibri" w:eastAsia="Times New Roman" w:hAnsi="Calibri" w:cs="Calibri"/>
                <w:color w:val="000000"/>
              </w:rPr>
            </w:pPr>
            <w:r w:rsidRPr="00884635">
              <w:rPr>
                <w:rFonts w:ascii="Calibri" w:eastAsia="Times New Roman" w:hAnsi="Calibri" w:cs="Calibri"/>
                <w:color w:val="000000"/>
              </w:rPr>
              <w:t>The formula for calculating the proportion of the total population living below the national poverty line, or headcount index, is as follows:</w:t>
            </w:r>
          </w:p>
          <w:p w14:paraId="61BCB463" w14:textId="77777777" w:rsidR="00884635" w:rsidRPr="00884635" w:rsidRDefault="00884635" w:rsidP="00884635">
            <w:pPr>
              <w:spacing w:after="0" w:line="240" w:lineRule="auto"/>
              <w:rPr>
                <w:rFonts w:ascii="Calibri" w:eastAsia="Times New Roman" w:hAnsi="Calibri" w:cs="Calibri"/>
                <w:color w:val="000000"/>
              </w:rPr>
            </w:pPr>
            <m:oMathPara>
              <m:oMath>
                <m:sSub>
                  <m:sSubPr>
                    <m:ctrlPr>
                      <w:rPr>
                        <w:rFonts w:ascii="Cambria Math" w:eastAsia="Times New Roman" w:hAnsi="Cambria Math" w:cs="Calibri"/>
                        <w:color w:val="000000"/>
                      </w:rPr>
                    </m:ctrlPr>
                  </m:sSubPr>
                  <m:e>
                    <m:r>
                      <w:rPr>
                        <w:rFonts w:ascii="Cambria Math" w:eastAsia="Times New Roman" w:hAnsi="Cambria Math" w:cs="Calibri"/>
                        <w:color w:val="000000"/>
                      </w:rPr>
                      <m:t>P</m:t>
                    </m:r>
                  </m:e>
                  <m:sub>
                    <m:r>
                      <m:rPr>
                        <m:sty m:val="p"/>
                      </m:rPr>
                      <w:rPr>
                        <w:rFonts w:ascii="Cambria Math" w:eastAsia="Times New Roman" w:hAnsi="Cambria Math" w:cs="Calibri"/>
                        <w:color w:val="000000"/>
                      </w:rPr>
                      <m:t>0</m:t>
                    </m:r>
                  </m:sub>
                </m:sSub>
                <m:r>
                  <m:rPr>
                    <m:sty m:val="p"/>
                  </m:rPr>
                  <w:rPr>
                    <w:rFonts w:ascii="Cambria Math" w:eastAsia="Times New Roman" w:hAnsi="Cambria Math" w:cs="Calibri"/>
                    <w:color w:val="000000"/>
                  </w:rPr>
                  <m:t>=</m:t>
                </m:r>
                <m:f>
                  <m:fPr>
                    <m:ctrlPr>
                      <w:rPr>
                        <w:rFonts w:ascii="Cambria Math" w:eastAsia="Times New Roman" w:hAnsi="Cambria Math" w:cs="Calibri"/>
                        <w:color w:val="000000"/>
                      </w:rPr>
                    </m:ctrlPr>
                  </m:fPr>
                  <m:num>
                    <m:r>
                      <m:rPr>
                        <m:sty m:val="p"/>
                      </m:rPr>
                      <w:rPr>
                        <w:rFonts w:ascii="Cambria Math" w:eastAsia="Times New Roman" w:hAnsi="Cambria Math" w:cs="Calibri"/>
                        <w:color w:val="000000"/>
                      </w:rPr>
                      <m:t>1</m:t>
                    </m:r>
                  </m:num>
                  <m:den>
                    <m:r>
                      <w:rPr>
                        <w:rFonts w:ascii="Cambria Math" w:eastAsia="Times New Roman" w:hAnsi="Cambria Math" w:cs="Calibri"/>
                        <w:color w:val="000000"/>
                      </w:rPr>
                      <m:t>N</m:t>
                    </m:r>
                  </m:den>
                </m:f>
                <m:nary>
                  <m:naryPr>
                    <m:chr m:val="∑"/>
                    <m:limLoc m:val="undOvr"/>
                    <m:ctrlPr>
                      <w:rPr>
                        <w:rFonts w:ascii="Cambria Math" w:eastAsia="Times New Roman" w:hAnsi="Cambria Math" w:cs="Calibri"/>
                        <w:color w:val="000000"/>
                      </w:rPr>
                    </m:ctrlPr>
                  </m:naryPr>
                  <m:sub>
                    <m:eqArr>
                      <m:eqArrPr>
                        <m:ctrlPr>
                          <w:rPr>
                            <w:rFonts w:ascii="Cambria Math" w:eastAsia="Times New Roman" w:hAnsi="Cambria Math" w:cs="Calibri"/>
                            <w:color w:val="000000"/>
                          </w:rPr>
                        </m:ctrlPr>
                      </m:eqArrPr>
                      <m:e>
                        <m:r>
                          <w:rPr>
                            <w:rFonts w:ascii="Cambria Math" w:eastAsia="Times New Roman" w:hAnsi="Cambria Math" w:cs="Calibri"/>
                            <w:color w:val="000000"/>
                          </w:rPr>
                          <m:t>i</m:t>
                        </m:r>
                      </m:e>
                      <m:e>
                        <m:ctrlPr>
                          <w:rPr>
                            <w:rFonts w:ascii="Cambria Math" w:eastAsia="Cambria Math" w:hAnsi="Cambria Math" w:cs="Calibri"/>
                            <w:color w:val="000000"/>
                          </w:rPr>
                        </m:ctrlPr>
                      </m:e>
                      <m:e>
                        <m:r>
                          <m:rPr>
                            <m:sty m:val="p"/>
                          </m:rPr>
                          <w:rPr>
                            <w:rFonts w:ascii="Cambria Math" w:eastAsia="Times New Roman" w:hAnsi="Cambria Math" w:cs="Calibri"/>
                            <w:color w:val="000000"/>
                          </w:rPr>
                          <m:t>=1</m:t>
                        </m:r>
                      </m:e>
                    </m:eqArr>
                  </m:sub>
                  <m:sup>
                    <m:r>
                      <w:rPr>
                        <w:rFonts w:ascii="Cambria Math" w:eastAsia="Times New Roman" w:hAnsi="Cambria Math" w:cs="Calibri"/>
                        <w:color w:val="000000"/>
                      </w:rPr>
                      <m:t>N</m:t>
                    </m:r>
                  </m:sup>
                  <m:e>
                    <m:r>
                      <w:rPr>
                        <w:rFonts w:ascii="Cambria Math" w:eastAsia="Times New Roman" w:hAnsi="Cambria Math" w:cs="Calibri"/>
                        <w:color w:val="000000"/>
                      </w:rPr>
                      <m:t>I</m:t>
                    </m:r>
                    <m:d>
                      <m:dPr>
                        <m:ctrlPr>
                          <w:rPr>
                            <w:rFonts w:ascii="Cambria Math" w:eastAsia="Times New Roman" w:hAnsi="Cambria Math" w:cs="Calibri"/>
                            <w:color w:val="000000"/>
                          </w:rPr>
                        </m:ctrlPr>
                      </m:dPr>
                      <m:e>
                        <m:sSub>
                          <m:sSubPr>
                            <m:ctrlPr>
                              <w:rPr>
                                <w:rFonts w:ascii="Cambria Math" w:eastAsia="Times New Roman" w:hAnsi="Cambria Math" w:cs="Calibri"/>
                                <w:color w:val="000000"/>
                              </w:rPr>
                            </m:ctrlPr>
                          </m:sSubPr>
                          <m:e>
                            <m:r>
                              <w:rPr>
                                <w:rFonts w:ascii="Cambria Math" w:eastAsia="Times New Roman" w:hAnsi="Cambria Math" w:cs="Calibri"/>
                                <w:color w:val="000000"/>
                              </w:rPr>
                              <m:t>y</m:t>
                            </m:r>
                          </m:e>
                          <m:sub>
                            <m:r>
                              <w:rPr>
                                <w:rFonts w:ascii="Cambria Math" w:eastAsia="Times New Roman" w:hAnsi="Cambria Math" w:cs="Calibri"/>
                                <w:color w:val="000000"/>
                              </w:rPr>
                              <m:t>i</m:t>
                            </m:r>
                          </m:sub>
                        </m:sSub>
                        <m:r>
                          <m:rPr>
                            <m:sty m:val="p"/>
                          </m:rPr>
                          <w:rPr>
                            <w:rFonts w:ascii="Cambria Math" w:eastAsia="Times New Roman" w:hAnsi="Cambria Math" w:cs="Calibri"/>
                            <w:color w:val="000000"/>
                          </w:rPr>
                          <m:t>&lt;</m:t>
                        </m:r>
                        <m:r>
                          <w:rPr>
                            <w:rFonts w:ascii="Cambria Math" w:eastAsia="Times New Roman" w:hAnsi="Cambria Math" w:cs="Calibri"/>
                            <w:color w:val="000000"/>
                          </w:rPr>
                          <m:t>z</m:t>
                        </m:r>
                      </m:e>
                    </m:d>
                    <m:r>
                      <m:rPr>
                        <m:sty m:val="p"/>
                      </m:rPr>
                      <w:rPr>
                        <w:rFonts w:ascii="Cambria Math" w:eastAsia="Times New Roman" w:hAnsi="Cambria Math" w:cs="Calibri"/>
                        <w:color w:val="000000"/>
                      </w:rPr>
                      <m:t>=</m:t>
                    </m:r>
                    <m:f>
                      <m:fPr>
                        <m:ctrlPr>
                          <w:rPr>
                            <w:rFonts w:ascii="Cambria Math" w:eastAsia="Times New Roman" w:hAnsi="Cambria Math" w:cs="Calibri"/>
                            <w:color w:val="000000"/>
                          </w:rPr>
                        </m:ctrlPr>
                      </m:fPr>
                      <m:num>
                        <m:sSub>
                          <m:sSubPr>
                            <m:ctrlPr>
                              <w:rPr>
                                <w:rFonts w:ascii="Cambria Math" w:eastAsia="Times New Roman" w:hAnsi="Cambria Math" w:cs="Calibri"/>
                                <w:color w:val="000000"/>
                              </w:rPr>
                            </m:ctrlPr>
                          </m:sSubPr>
                          <m:e>
                            <m:r>
                              <w:rPr>
                                <w:rFonts w:ascii="Cambria Math" w:eastAsia="Times New Roman" w:hAnsi="Cambria Math" w:cs="Calibri"/>
                                <w:color w:val="000000"/>
                              </w:rPr>
                              <m:t>N</m:t>
                            </m:r>
                          </m:e>
                          <m:sub>
                            <m:r>
                              <w:rPr>
                                <w:rFonts w:ascii="Cambria Math" w:eastAsia="Times New Roman" w:hAnsi="Cambria Math" w:cs="Calibri"/>
                                <w:color w:val="000000"/>
                              </w:rPr>
                              <m:t>p</m:t>
                            </m:r>
                          </m:sub>
                        </m:sSub>
                      </m:num>
                      <m:den>
                        <m:r>
                          <w:rPr>
                            <w:rFonts w:ascii="Cambria Math" w:eastAsia="Times New Roman" w:hAnsi="Cambria Math" w:cs="Calibri"/>
                            <w:color w:val="000000"/>
                          </w:rPr>
                          <m:t>N</m:t>
                        </m:r>
                      </m:den>
                    </m:f>
                  </m:e>
                </m:nary>
              </m:oMath>
            </m:oMathPara>
          </w:p>
          <w:p w14:paraId="1F6131ED" w14:textId="2EADAB16" w:rsidR="00884635" w:rsidRPr="00884635" w:rsidRDefault="00884635" w:rsidP="00884635">
            <w:pPr>
              <w:spacing w:before="100" w:beforeAutospacing="1" w:after="100" w:afterAutospacing="1" w:line="240" w:lineRule="auto"/>
              <w:jc w:val="both"/>
              <w:rPr>
                <w:rFonts w:ascii="Calibri" w:eastAsia="Times New Roman" w:hAnsi="Calibri" w:cs="Calibri"/>
                <w:color w:val="000000"/>
              </w:rPr>
            </w:pPr>
            <w:r w:rsidRPr="00884635">
              <w:rPr>
                <w:rFonts w:ascii="Calibri" w:eastAsia="Times New Roman" w:hAnsi="Calibri" w:cs="Calibri"/>
                <w:color w:val="000000"/>
              </w:rPr>
              <w:t xml:space="preserve">Where </w:t>
            </w:r>
            <m:oMath>
              <m:r>
                <w:rPr>
                  <w:rFonts w:ascii="Cambria Math" w:eastAsia="Times New Roman" w:hAnsi="Cambria Math" w:cs="Calibri"/>
                  <w:color w:val="000000"/>
                </w:rPr>
                <m:t>I</m:t>
              </m:r>
              <m:d>
                <m:dPr>
                  <m:ctrlPr>
                    <w:rPr>
                      <w:rFonts w:ascii="Cambria Math" w:eastAsia="Times New Roman" w:hAnsi="Cambria Math" w:cs="Calibri"/>
                      <w:color w:val="000000"/>
                    </w:rPr>
                  </m:ctrlPr>
                </m:dPr>
                <m:e>
                  <m:r>
                    <m:rPr>
                      <m:sty m:val="p"/>
                    </m:rPr>
                    <w:rPr>
                      <w:rFonts w:ascii="Cambria Math" w:eastAsia="Times New Roman" w:hAnsi="Cambria Math" w:cs="Calibri"/>
                      <w:color w:val="000000"/>
                    </w:rPr>
                    <m:t>.</m:t>
                  </m:r>
                </m:e>
              </m:d>
            </m:oMath>
            <w:r w:rsidRPr="00884635">
              <w:rPr>
                <w:rFonts w:ascii="Calibri" w:eastAsia="Times New Roman" w:hAnsi="Calibri" w:cs="Calibri"/>
                <w:color w:val="000000"/>
              </w:rPr>
              <w:t xml:space="preserve"> is an indicator function that takes on a value of 1 if the bracketed expression is true, and 0 otherwise. If individual consumption </w:t>
            </w:r>
            <m:oMath>
              <m:sSub>
                <m:sSubPr>
                  <m:ctrlPr>
                    <w:rPr>
                      <w:rFonts w:ascii="Cambria Math" w:eastAsia="Times New Roman" w:hAnsi="Cambria Math" w:cs="Calibri"/>
                      <w:color w:val="000000"/>
                    </w:rPr>
                  </m:ctrlPr>
                </m:sSubPr>
                <m:e>
                  <m:r>
                    <w:rPr>
                      <w:rFonts w:ascii="Cambria Math" w:eastAsia="Times New Roman" w:hAnsi="Cambria Math" w:cs="Calibri"/>
                      <w:color w:val="000000"/>
                    </w:rPr>
                    <m:t>y</m:t>
                  </m:r>
                </m:e>
                <m:sub>
                  <m:r>
                    <w:rPr>
                      <w:rFonts w:ascii="Cambria Math" w:eastAsia="Times New Roman" w:hAnsi="Cambria Math" w:cs="Calibri"/>
                      <w:color w:val="000000"/>
                    </w:rPr>
                    <m:t>i</m:t>
                  </m:r>
                </m:sub>
              </m:sSub>
            </m:oMath>
            <w:r w:rsidRPr="00884635">
              <w:rPr>
                <w:rFonts w:ascii="Calibri" w:eastAsia="Times New Roman" w:hAnsi="Calibri" w:cs="Calibri"/>
                <w:color w:val="000000"/>
              </w:rPr>
              <w:t xml:space="preserve"> is less than the national poverty line</w:t>
            </w:r>
            <m:oMath>
              <m:r>
                <m:rPr>
                  <m:sty m:val="p"/>
                </m:rPr>
                <w:rPr>
                  <w:rFonts w:ascii="Cambria Math" w:eastAsia="Times New Roman" w:hAnsi="Cambria Math" w:cs="Calibri"/>
                  <w:color w:val="000000"/>
                </w:rPr>
                <m:t xml:space="preserve"> </m:t>
              </m:r>
              <m:r>
                <w:rPr>
                  <w:rFonts w:ascii="Cambria Math" w:eastAsia="Times New Roman" w:hAnsi="Cambria Math" w:cs="Calibri"/>
                  <w:color w:val="000000"/>
                </w:rPr>
                <m:t>z</m:t>
              </m:r>
            </m:oMath>
            <w:r w:rsidRPr="00884635">
              <w:rPr>
                <w:rFonts w:ascii="Calibri" w:eastAsia="Times New Roman" w:hAnsi="Calibri" w:cs="Calibri"/>
                <w:color w:val="000000"/>
              </w:rPr>
              <w:t xml:space="preserve"> (for example, in absolute terms the line could be the price of a consumption bundle), then </w:t>
            </w:r>
            <m:oMath>
              <m:r>
                <w:rPr>
                  <w:rFonts w:ascii="Cambria Math" w:eastAsia="Times New Roman" w:hAnsi="Cambria Math" w:cs="Calibri"/>
                  <w:color w:val="000000"/>
                </w:rPr>
                <m:t>I</m:t>
              </m:r>
              <m:d>
                <m:dPr>
                  <m:ctrlPr>
                    <w:rPr>
                      <w:rFonts w:ascii="Cambria Math" w:eastAsia="Times New Roman" w:hAnsi="Cambria Math" w:cs="Calibri"/>
                      <w:color w:val="000000"/>
                    </w:rPr>
                  </m:ctrlPr>
                </m:dPr>
                <m:e>
                  <m:r>
                    <m:rPr>
                      <m:sty m:val="p"/>
                    </m:rPr>
                    <w:rPr>
                      <w:rFonts w:ascii="Cambria Math" w:eastAsia="Times New Roman" w:hAnsi="Cambria Math" w:cs="Calibri"/>
                      <w:color w:val="000000"/>
                    </w:rPr>
                    <m:t>.</m:t>
                  </m:r>
                </m:e>
              </m:d>
            </m:oMath>
            <w:r w:rsidRPr="00884635">
              <w:rPr>
                <w:rFonts w:ascii="Calibri" w:eastAsia="Times New Roman" w:hAnsi="Calibri" w:cs="Calibri"/>
                <w:color w:val="000000"/>
              </w:rPr>
              <w:t xml:space="preserve"> is equal to 1 and the individual is counted as poor. </w:t>
            </w:r>
            <m:oMath>
              <m:sSub>
                <m:sSubPr>
                  <m:ctrlPr>
                    <w:rPr>
                      <w:rFonts w:ascii="Cambria Math" w:eastAsia="Times New Roman" w:hAnsi="Cambria Math" w:cs="Calibri"/>
                      <w:color w:val="000000"/>
                    </w:rPr>
                  </m:ctrlPr>
                </m:sSubPr>
                <m:e>
                  <m:r>
                    <w:rPr>
                      <w:rFonts w:ascii="Cambria Math" w:eastAsia="Times New Roman" w:hAnsi="Cambria Math" w:cs="Calibri"/>
                      <w:color w:val="000000"/>
                    </w:rPr>
                    <m:t>N</m:t>
                  </m:r>
                </m:e>
                <m:sub>
                  <m:r>
                    <w:rPr>
                      <w:rFonts w:ascii="Cambria Math" w:eastAsia="Times New Roman" w:hAnsi="Cambria Math" w:cs="Calibri"/>
                      <w:color w:val="000000"/>
                    </w:rPr>
                    <m:t>p</m:t>
                  </m:r>
                </m:sub>
              </m:sSub>
            </m:oMath>
            <w:r w:rsidRPr="00884635">
              <w:rPr>
                <w:rFonts w:ascii="Calibri" w:eastAsia="Times New Roman" w:hAnsi="Calibri" w:cs="Calibri"/>
                <w:color w:val="000000"/>
              </w:rPr>
              <w:t xml:space="preserve"> is the total number of poor.</w:t>
            </w:r>
            <m:oMath>
              <m:r>
                <m:rPr>
                  <m:sty m:val="p"/>
                </m:rPr>
                <w:rPr>
                  <w:rFonts w:ascii="Cambria Math" w:eastAsia="Times New Roman" w:hAnsi="Cambria Math" w:cs="Calibri"/>
                  <w:color w:val="000000"/>
                </w:rPr>
                <m:t xml:space="preserve"> </m:t>
              </m:r>
              <m:r>
                <w:rPr>
                  <w:rFonts w:ascii="Cambria Math" w:eastAsia="Times New Roman" w:hAnsi="Cambria Math" w:cs="Calibri"/>
                  <w:color w:val="000000"/>
                </w:rPr>
                <m:t>N</m:t>
              </m:r>
            </m:oMath>
            <w:r w:rsidRPr="00884635">
              <w:rPr>
                <w:rFonts w:ascii="Calibri" w:eastAsia="Times New Roman" w:hAnsi="Calibri" w:cs="Calibri"/>
                <w:color w:val="000000"/>
              </w:rPr>
              <w:t xml:space="preserve"> is the total population. </w:t>
            </w:r>
          </w:p>
          <w:p w14:paraId="6EC52384" w14:textId="57892D74" w:rsidR="00884635" w:rsidRPr="00884635" w:rsidRDefault="00884635" w:rsidP="00884635">
            <w:pPr>
              <w:spacing w:before="100" w:beforeAutospacing="1" w:after="100" w:afterAutospacing="1" w:line="240" w:lineRule="auto"/>
              <w:jc w:val="both"/>
              <w:rPr>
                <w:rFonts w:ascii="Calibri" w:eastAsia="Times New Roman" w:hAnsi="Calibri" w:cs="Calibri"/>
                <w:color w:val="4A4A4A"/>
                <w:lang w:eastAsia="en-GB"/>
              </w:rPr>
            </w:pPr>
            <w:r w:rsidRPr="00884635">
              <w:rPr>
                <w:rFonts w:ascii="Calibri" w:eastAsia="Times New Roman" w:hAnsi="Calibri" w:cs="Calibri"/>
                <w:color w:val="000000"/>
              </w:rPr>
              <w:t>Consumption data are gathered from nationally representative household surveys, which contain detailed responses to questions regarding spending habits and sources of income. Consumption, including consumption from own production, or income is calculated for the entire household. In some cases, an “effective” household size is calculated from the actual household size to reflect assumed efficiencies in consumption; adjustments may also be made to re</w:t>
            </w:r>
            <w:r w:rsidRPr="00884635">
              <w:rPr>
                <w:rFonts w:ascii="Calibri" w:eastAsia="Times New Roman" w:hAnsi="Calibri" w:cs="Calibri"/>
                <w:color w:val="4A4A4A"/>
                <w:lang w:eastAsia="en-GB"/>
              </w:rPr>
              <w:t xml:space="preserve">flect the number of children in a household. The number of people in those </w:t>
            </w:r>
            <w:r w:rsidRPr="00884635">
              <w:rPr>
                <w:rFonts w:ascii="Calibri" w:eastAsia="Times New Roman" w:hAnsi="Calibri" w:cs="Calibri"/>
                <w:color w:val="4A4A4A"/>
                <w:lang w:eastAsia="en-GB"/>
              </w:rPr>
              <w:lastRenderedPageBreak/>
              <w:t xml:space="preserve">households is aggregated to estimate the number of poor persons. </w:t>
            </w:r>
          </w:p>
          <w:p w14:paraId="1BF077AA" w14:textId="41AA0BB9" w:rsidR="00884635" w:rsidRPr="00884635" w:rsidRDefault="00884635" w:rsidP="00884635">
            <w:pPr>
              <w:spacing w:before="100" w:beforeAutospacing="1" w:after="100" w:afterAutospacing="1" w:line="240" w:lineRule="auto"/>
              <w:jc w:val="both"/>
              <w:rPr>
                <w:rFonts w:ascii="Calibri" w:eastAsia="Times New Roman" w:hAnsi="Calibri" w:cs="Calibri"/>
                <w:color w:val="4A4A4A"/>
                <w:lang w:eastAsia="en-GB"/>
              </w:rPr>
            </w:pPr>
            <w:r w:rsidRPr="00884635">
              <w:rPr>
                <w:rFonts w:ascii="Calibri" w:eastAsia="Times New Roman" w:hAnsi="Calibri" w:cs="Calibri"/>
                <w:color w:val="4A4A4A"/>
                <w:lang w:eastAsia="en-GB"/>
              </w:rPr>
              <w:t xml:space="preserve">National poverty rates use a country specific poverty line, reflecting the country’s economic and social circumstances. In some case, the national poverty line is adjusted for different areas (such as </w:t>
            </w:r>
            <w:r w:rsidR="00666BF0">
              <w:rPr>
                <w:rFonts w:ascii="Calibri" w:eastAsia="Times New Roman" w:hAnsi="Calibri" w:cs="Calibri"/>
                <w:color w:val="4A4A4A"/>
                <w:lang w:eastAsia="en-GB"/>
              </w:rPr>
              <w:t>regions</w:t>
            </w:r>
            <w:r w:rsidRPr="00884635">
              <w:rPr>
                <w:rFonts w:ascii="Calibri" w:eastAsia="Times New Roman" w:hAnsi="Calibri" w:cs="Calibri"/>
                <w:color w:val="4A4A4A"/>
                <w:lang w:eastAsia="en-GB"/>
              </w:rPr>
              <w:t>) within the country, to account for differences in prices or the availability of goods and services. Typically</w:t>
            </w:r>
            <w:r w:rsidR="00666BF0">
              <w:rPr>
                <w:rFonts w:ascii="Calibri" w:eastAsia="Times New Roman" w:hAnsi="Calibri" w:cs="Calibri"/>
                <w:color w:val="4A4A4A"/>
                <w:lang w:eastAsia="en-GB"/>
              </w:rPr>
              <w:t>,</w:t>
            </w:r>
            <w:r w:rsidRPr="00884635">
              <w:rPr>
                <w:rFonts w:ascii="Calibri" w:eastAsia="Times New Roman" w:hAnsi="Calibri" w:cs="Calibri"/>
                <w:color w:val="4A4A4A"/>
                <w:lang w:eastAsia="en-GB"/>
              </w:rPr>
              <w:t xml:space="preserve"> the urban poverty line is set higher than the rural poverty line; reflecting the relatively higher costs of living in urban areas.</w:t>
            </w:r>
          </w:p>
          <w:p w14:paraId="5A53B8A7" w14:textId="77777777" w:rsidR="007F2D9F" w:rsidRPr="00884635" w:rsidRDefault="007F2D9F" w:rsidP="009F305C">
            <w:pPr>
              <w:rPr>
                <w:rFonts w:ascii="Calibri" w:hAnsi="Calibri" w:cs="Calibri"/>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4945EA4D" w:rsidR="007F2D9F" w:rsidRPr="009F305C" w:rsidRDefault="00666BF0" w:rsidP="00666BF0">
            <w:pPr>
              <w:jc w:val="both"/>
            </w:pPr>
            <w:r>
              <w:rPr>
                <w:rFonts w:ascii="Calibri" w:eastAsia="Times New Roman" w:hAnsi="Calibri" w:cs="Calibri"/>
                <w:color w:val="000000"/>
              </w:rPr>
              <w:t>Data validation had been done during the data collection by intensive supervision. The consistency check programs and data editing were done after the data collection. The results of the poverty indicators had been compared with other economic indicators to validate the survey results.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CF5C805" w:rsidR="007F2D9F" w:rsidRPr="00666BF0" w:rsidRDefault="00666BF0" w:rsidP="00666BF0">
            <w:pPr>
              <w:jc w:val="both"/>
            </w:pPr>
            <w:r w:rsidRPr="00666BF0">
              <w:rPr>
                <w:rFonts w:cstheme="minorHAnsi"/>
              </w:rPr>
              <w:t>LSMS methodology was used for the data collection, and consumption aggregates were done using standard methodology developed by the World Bank.</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C660C03" w:rsidR="007F2D9F" w:rsidRPr="009F305C" w:rsidRDefault="00666BF0" w:rsidP="009F305C">
            <w:r w:rsidRPr="00666BF0">
              <w:rPr>
                <w:rFonts w:cstheme="minorHAnsi"/>
              </w:rPr>
              <w:t>Three layers of data quality checks were maintained by field level, district level and central supervision during the field work.</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B0BE582" w:rsidR="007F2D9F" w:rsidRPr="00666BF0" w:rsidRDefault="00666BF0" w:rsidP="00666BF0">
            <w:pPr>
              <w:jc w:val="both"/>
            </w:pPr>
            <w:r w:rsidRPr="00666BF0">
              <w:rPr>
                <w:rFonts w:cstheme="minorHAnsi"/>
              </w:rPr>
              <w:t>Field-based data entry, strong consistency checks and intensive supervision were the basis for quality management of the survey. Standard methodology for the consumption aggregates and standard computational technique were used.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80FF0A0" w:rsidR="007F2D9F" w:rsidRPr="00666BF0" w:rsidRDefault="00666BF0" w:rsidP="00666BF0">
            <w:pPr>
              <w:jc w:val="both"/>
            </w:pPr>
            <w:r w:rsidRPr="00666BF0">
              <w:rPr>
                <w:rFonts w:ascii="Calibri" w:eastAsia="Times New Roman" w:hAnsi="Calibri" w:cs="Calibri"/>
                <w:color w:val="000000"/>
              </w:rPr>
              <w:t>Both field-based and computational quality measures were taken as mentioned above.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8B388FF" w:rsidR="00776312" w:rsidRPr="00666BF0" w:rsidRDefault="00666BF0" w:rsidP="00666BF0">
            <w:pPr>
              <w:jc w:val="both"/>
            </w:pPr>
            <w:r w:rsidRPr="00666BF0">
              <w:rPr>
                <w:rFonts w:cstheme="minorHAnsi"/>
              </w:rPr>
              <w:t>National and provincial indicators can be available. Disaggregation based on other variables is possible.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E818B61" w:rsidR="006A7EF1" w:rsidRPr="00666BF0" w:rsidRDefault="00666BF0" w:rsidP="00666BF0">
            <w:pPr>
              <w:jc w:val="both"/>
            </w:pPr>
            <w:r w:rsidRPr="00666BF0">
              <w:rPr>
                <w:rFonts w:eastAsia="Times New Roman" w:cs="Times New Roman"/>
                <w:color w:val="4A4A4A"/>
                <w:lang w:eastAsia="en-GB"/>
              </w:rPr>
              <w:t>Internationally comparable methodology adopted.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4D2F9E9" w:rsidR="006F104C" w:rsidRPr="009F305C" w:rsidRDefault="00666BF0" w:rsidP="00666BF0">
            <w:pPr>
              <w:jc w:val="both"/>
            </w:pPr>
            <w:r>
              <w:rPr>
                <w:rFonts w:ascii="Calibri" w:eastAsia="Times New Roman" w:hAnsi="Calibri" w:cs="Calibri"/>
                <w:color w:val="000000"/>
              </w:rPr>
              <w:t xml:space="preserve">The report is available at the CBS website. </w:t>
            </w:r>
            <w:r w:rsidRPr="00880E80">
              <w:rPr>
                <w:rFonts w:ascii="Calibri" w:eastAsia="Times New Roman" w:hAnsi="Calibri" w:cs="Calibri"/>
                <w:color w:val="000000"/>
              </w:rPr>
              <w:t>https://cbs.gov.np/poverty-in-nepal-2010-11/</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3DF6194"/>
    <w:multiLevelType w:val="hybridMultilevel"/>
    <w:tmpl w:val="8E5AB7B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88992335">
    <w:abstractNumId w:val="3"/>
  </w:num>
  <w:num w:numId="2" w16cid:durableId="1012224333">
    <w:abstractNumId w:val="0"/>
  </w:num>
  <w:num w:numId="3" w16cid:durableId="243759969">
    <w:abstractNumId w:val="4"/>
  </w:num>
  <w:num w:numId="4" w16cid:durableId="2034844101">
    <w:abstractNumId w:val="1"/>
  </w:num>
  <w:num w:numId="5" w16cid:durableId="91875231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B95"/>
    <w:rsid w:val="001F0C55"/>
    <w:rsid w:val="001F31C6"/>
    <w:rsid w:val="00202B2D"/>
    <w:rsid w:val="00203CE0"/>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5D7"/>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7F8E"/>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72C"/>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6BF0"/>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846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7EB"/>
    <w:rsid w:val="00B66AF3"/>
    <w:rsid w:val="00B71AEA"/>
    <w:rsid w:val="00B74489"/>
    <w:rsid w:val="00B8102F"/>
    <w:rsid w:val="00B818CA"/>
    <w:rsid w:val="00B97297"/>
    <w:rsid w:val="00B979B1"/>
    <w:rsid w:val="00BA71B8"/>
    <w:rsid w:val="00BB389E"/>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80C"/>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38442">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4919336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4396341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023034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94D9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40</TotalTime>
  <Pages>14</Pages>
  <Words>216603</Words>
  <Characters>1234640</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1448347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9</cp:revision>
  <cp:lastPrinted>2020-04-16T14:23:00Z</cp:lastPrinted>
  <dcterms:created xsi:type="dcterms:W3CDTF">2022-10-09T05:47:00Z</dcterms:created>
  <dcterms:modified xsi:type="dcterms:W3CDTF">2022-10-09T08:07:00Z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