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企业服务采购建议书</w:t>
      </w:r>
    </w:p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企业服务采购建议书</w:t>
      </w:r>
    </w:p>
    <w:p>
      <w:pPr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color w:val="68726E"/>
          <w:sz w:val="26"/>
          <w:szCs w:val="26"/>
          <w:lang w:val="zh-CN" w:eastAsia="zh-CN"/>
        </w:rPr>
        <w:t xml:space="preserve">工业数据平台运维服务项目 · 服务包A</w:t>
      </w:r>
    </w:p>
    <w:p>
      <w:pPr>
        <w:sectPr>
          <w:footerReference w:type="default" r:id="rId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项目编号</w:t>
            </w:r>
          </w:p>
        </w:tc>
        <w:tc>
          <w:tcPr>
            <w:tcW w:type="dxa" w:w="641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EP-SVC-2026-0819</w:t>
            </w:r>
          </w:p>
        </w:tc>
      </w:tr>
      <w:tr>
        <w:trPr>
          <w:cantSplit/>
        </w:trPr>
        <w:tc>
          <w:tcPr>
            <w:tcW w:type="dxa" w:w="345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采购文件版本</w:t>
            </w:r>
          </w:p>
        </w:tc>
        <w:tc>
          <w:tcPr>
            <w:tcW w:type="dxa" w:w="641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企业服务采购文件正式版</w:t>
            </w:r>
          </w:p>
        </w:tc>
      </w:tr>
      <w:tr>
        <w:trPr>
          <w:cantSplit/>
        </w:trPr>
        <w:tc>
          <w:tcPr>
            <w:tcW w:type="dxa" w:w="345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项目采购文件</w:t>
            </w:r>
          </w:p>
        </w:tc>
        <w:tc>
          <w:tcPr>
            <w:tcW w:type="dxa" w:w="641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source-main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hd w:fill="285B50"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0"/>
          <w:szCs w:val="20"/>
          <w:lang w:val="zh-CN" w:eastAsia="zh-CN"/>
        </w:rPr>
        <w:t xml:space="preserve">《招标投标法》仅作为上下文来源；是否适用招标法律规则取决于项目和采购主体。本项目要求仅来自已绑定的企业采购文件及澄清。</w:t>
      </w:r>
    </w:p>
    <w:p>
      <w:pPr>
        <w:sectPr>
          <w:footerReference w:type="default" r:id="rId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服务建议书函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我方就工业数据平台运维服务项目提交服务建议书，范围、价格和条件以本文件各节及偏差表为准。</w:t>
      </w:r>
    </w:p>
    <w:p>
      <w:pPr>
        <w:sectPr>
          <w:footerReference w:type="default" r:id="rId1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以可量化SLA、明确治理和风险闭环提供工业数据平台运维服务。</w:t>
      </w:r>
    </w:p>
    <w:p>
      <w:pPr>
        <w:sectPr>
          <w:footerReference w:type="default" r:id="rId11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客户理解：客户需要连续、可追溯且可审计的平台运维能力。</w:t>
      </w: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br/>
        <w:t xml:space="preserve">目标：保障平台稳定运行并按月交付服务报告。</w:t>
      </w:r>
    </w:p>
    <w:p>
      <w:pPr>
        <w:sectPr>
          <w:footerReference w:type="default" r:id="rId1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监控、事件响应、问题管理、变更协同和月度报告。</w:t>
      </w:r>
    </w:p>
    <w:p>
      <w:pPr>
        <w:sectPr>
          <w:footerReference w:type="default" r:id="rId1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采用事件、问题、变更和持续改进闭环。</w:t>
      </w:r>
    </w:p>
    <w:p>
      <w:pPr>
        <w:sectPr>
          <w:footerReference w:type="default" r:id="rId14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453"/>
        <w:gridCol w:w="1973"/>
        <w:gridCol w:w="4440"/>
      </w:tblGrid>
      <w:tr>
        <w:trPr>
          <w:cantSplit/>
          <w:tblHeader/>
        </w:trPr>
        <w:tc>
          <w:tcPr>
            <w:tcW w:type="dxa" w:w="345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交付物</w:t>
            </w:r>
          </w:p>
        </w:tc>
        <w:tc>
          <w:tcPr>
            <w:tcW w:type="dxa" w:w="197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日期</w:t>
            </w:r>
          </w:p>
        </w:tc>
        <w:tc>
          <w:tcPr>
            <w:tcW w:type="dxa" w:w="444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月度运维报告</w:t>
            </w:r>
          </w:p>
        </w:tc>
        <w:tc>
          <w:tcPr>
            <w:tcW w:type="dxa" w:w="197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2026-10-31</w:t>
            </w:r>
          </w:p>
        </w:tc>
        <w:tc>
          <w:tcPr>
            <w:tcW w:type="dxa" w:w="444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指标完整且数据可追溯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453"/>
        <w:gridCol w:w="2467"/>
        <w:gridCol w:w="3946"/>
      </w:tblGrid>
      <w:tr>
        <w:trPr>
          <w:cantSplit/>
          <w:tblHeader/>
        </w:trPr>
        <w:tc>
          <w:tcPr>
            <w:tcW w:type="dxa" w:w="345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里程碑</w:t>
            </w:r>
          </w:p>
        </w:tc>
        <w:tc>
          <w:tcPr>
            <w:tcW w:type="dxa" w:w="2467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日期</w:t>
            </w:r>
          </w:p>
        </w:tc>
        <w:tc>
          <w:tcPr>
            <w:tcW w:type="dxa" w:w="394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服务启动</w:t>
            </w:r>
          </w:p>
        </w:tc>
        <w:tc>
          <w:tcPr>
            <w:tcW w:type="dxa" w:w="246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2026-10-01</w:t>
            </w:r>
          </w:p>
        </w:tc>
        <w:tc>
          <w:tcPr>
            <w:tcW w:type="dxa" w:w="39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采购人提供账号和系统资料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1776"/>
        <w:gridCol w:w="1776"/>
        <w:gridCol w:w="2664"/>
        <w:gridCol w:w="2664"/>
        <w:gridCol w:w="986"/>
      </w:tblGrid>
      <w:tr>
        <w:trPr>
          <w:cantSplit/>
          <w:tblHeader/>
        </w:trPr>
        <w:tc>
          <w:tcPr>
            <w:tcW w:type="dxa" w:w="177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姓名</w:t>
            </w:r>
          </w:p>
        </w:tc>
        <w:tc>
          <w:tcPr>
            <w:tcW w:type="dxa" w:w="177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角色</w:t>
            </w:r>
          </w:p>
        </w:tc>
        <w:tc>
          <w:tcPr>
            <w:tcW w:type="dxa" w:w="2664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资格</w:t>
            </w:r>
          </w:p>
        </w:tc>
        <w:tc>
          <w:tcPr>
            <w:tcW w:type="dxa" w:w="2664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经历</w:t>
            </w:r>
          </w:p>
        </w:tc>
        <w:tc>
          <w:tcPr>
            <w:tcW w:type="dxa" w:w="98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确认</w:t>
            </w:r>
          </w:p>
        </w:tc>
      </w:tr>
      <w:tr>
        <w:trPr>
          <w:cantSplit/>
        </w:trPr>
        <w:tc>
          <w:tcPr>
            <w:tcW w:type="dxa" w:w="177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赵示例</w:t>
            </w:r>
          </w:p>
        </w:tc>
        <w:tc>
          <w:tcPr>
            <w:tcW w:type="dxa" w:w="177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服务经理</w:t>
            </w:r>
          </w:p>
        </w:tc>
        <w:tc>
          <w:tcPr>
            <w:tcW w:type="dxa" w:w="2664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用户提供的服务管理资质信息</w:t>
            </w:r>
          </w:p>
        </w:tc>
        <w:tc>
          <w:tcPr>
            <w:tcW w:type="dxa" w:w="2664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用户提供的平台运维经历</w:t>
            </w:r>
          </w:p>
        </w:tc>
        <w:tc>
          <w:tcPr>
            <w:tcW w:type="dxa" w:w="98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已确认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治理：设立月度服务委员会，明确决策与升级路径。</w:t>
      </w: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br/>
        <w:t xml:space="preserve">沟通：周报、月报和重大事件即时通报。</w:t>
      </w:r>
    </w:p>
    <w:p>
      <w:pPr>
        <w:sectPr>
          <w:footerReference w:type="default" r:id="rId1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467"/>
        <w:gridCol w:w="1973"/>
        <w:gridCol w:w="2960"/>
        <w:gridCol w:w="2466"/>
      </w:tblGrid>
      <w:tr>
        <w:trPr>
          <w:cantSplit/>
          <w:tblHeader/>
        </w:trPr>
        <w:tc>
          <w:tcPr>
            <w:tcW w:type="dxa" w:w="2467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指标</w:t>
            </w:r>
          </w:p>
        </w:tc>
        <w:tc>
          <w:tcPr>
            <w:tcW w:type="dxa" w:w="197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目标</w:t>
            </w:r>
          </w:p>
        </w:tc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测量</w:t>
            </w:r>
          </w:p>
        </w:tc>
        <w:tc>
          <w:tcPr>
            <w:tcW w:type="dxa" w:w="246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月度可用性</w:t>
            </w:r>
          </w:p>
        </w:tc>
        <w:tc>
          <w:tcPr>
            <w:tcW w:type="dxa" w:w="197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不低于99.9%</w:t>
            </w:r>
          </w:p>
        </w:tc>
        <w:tc>
          <w:tcPr>
            <w:tcW w:type="dxa" w:w="2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监控平台月度统计</w:t>
            </w:r>
          </w:p>
        </w:tc>
        <w:tc>
          <w:tcPr>
            <w:tcW w:type="dxa" w:w="246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按采购文件约定处理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每月复盘指标、问题和纠正措施。</w:t>
      </w:r>
    </w:p>
    <w:p>
      <w:pPr>
        <w:sectPr>
          <w:footerReference w:type="default" r:id="rId1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按采购文件执行访问控制、日志留存与最小必要的数据处理。</w:t>
      </w:r>
    </w:p>
    <w:p>
      <w:pPr>
        <w:sectPr>
          <w:footerReference w:type="default" r:id="rId1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假设：采购人按计划提供必要账号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依赖：采购人确认变更窗口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排除项：未列入采购文件的系统改造</w:t>
      </w:r>
    </w:p>
    <w:p>
      <w:pPr>
        <w:sectPr>
          <w:footerReference w:type="default" r:id="rId2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4143"/>
        <w:gridCol w:w="4143"/>
        <w:gridCol w:w="2072"/>
        <w:gridCol w:w="2220"/>
        <w:gridCol w:w="2220"/>
      </w:tblGrid>
      <w:tr>
        <w:trPr>
          <w:cantSplit/>
          <w:tblHeader/>
        </w:trPr>
        <w:tc>
          <w:tcPr>
            <w:tcW w:type="dxa" w:w="414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服务</w:t>
            </w:r>
          </w:p>
        </w:tc>
        <w:tc>
          <w:tcPr>
            <w:tcW w:type="dxa" w:w="414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交付物</w:t>
            </w:r>
          </w:p>
        </w:tc>
        <w:tc>
          <w:tcPr>
            <w:tcW w:type="dxa" w:w="207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数量</w:t>
            </w:r>
          </w:p>
        </w:tc>
        <w:tc>
          <w:tcPr>
            <w:tcW w:type="dxa" w:w="222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单价</w:t>
            </w:r>
          </w:p>
        </w:tc>
        <w:tc>
          <w:tcPr>
            <w:tcW w:type="dxa" w:w="222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重算金额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工业数据平台运维服务</w:t>
            </w:r>
          </w:p>
        </w:tc>
        <w:tc>
          <w:tcPr>
            <w:tcW w:type="dxa" w:w="414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月度运维报告</w:t>
            </w:r>
          </w:p>
        </w:tc>
        <w:tc>
          <w:tcPr>
            <w:tcW w:type="dxa" w:w="207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1 项</w:t>
            </w:r>
          </w:p>
        </w:tc>
        <w:tc>
          <w:tcPr>
            <w:tcW w:type="dxa" w:w="22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9,000.00</w:t>
            </w:r>
          </w:p>
        </w:tc>
        <w:tc>
          <w:tcPr>
            <w:tcW w:type="dxa" w:w="22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9,000.00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tbl>
      <w:tblPr>
        <w:tblW w:type="dxa" w:w="14798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179"/>
        <w:gridCol w:w="9619"/>
      </w:tblGrid>
      <w:tr>
        <w:trPr>
          <w:cantSplit/>
        </w:trPr>
        <w:tc>
          <w:tcPr>
            <w:tcW w:type="dxa" w:w="5179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报价声明</w:t>
            </w:r>
          </w:p>
        </w:tc>
        <w:tc>
          <w:tcPr>
            <w:tcW w:type="dxa" w:w="961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9,000.00</w:t>
            </w:r>
          </w:p>
        </w:tc>
      </w:tr>
      <w:tr>
        <w:trPr>
          <w:cantSplit/>
        </w:trPr>
        <w:tc>
          <w:tcPr>
            <w:tcW w:type="dxa" w:w="5179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服务明细重算</w:t>
            </w:r>
          </w:p>
        </w:tc>
        <w:tc>
          <w:tcPr>
            <w:tcW w:type="dxa" w:w="961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9,000.00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21"/>
          <w:type w:val="nextPage"/>
          <w:pgSz w:w="16838" w:h="11906" w:orient="landscape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960"/>
        <w:gridCol w:w="2467"/>
        <w:gridCol w:w="2960"/>
        <w:gridCol w:w="1479"/>
      </w:tblGrid>
      <w:tr>
        <w:trPr>
          <w:cantSplit/>
          <w:tblHeader/>
        </w:trPr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案例</w:t>
            </w:r>
          </w:p>
        </w:tc>
        <w:tc>
          <w:tcPr>
            <w:tcW w:type="dxa" w:w="2467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客户</w:t>
            </w:r>
          </w:p>
        </w:tc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范围</w:t>
            </w:r>
          </w:p>
        </w:tc>
        <w:tc>
          <w:tcPr>
            <w:tcW w:type="dxa" w:w="1479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2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用户提供的数据平台运维案例</w:t>
            </w:r>
          </w:p>
        </w:tc>
        <w:tc>
          <w:tcPr>
            <w:tcW w:type="dxa" w:w="246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示例客户有限公司</w:t>
            </w:r>
          </w:p>
        </w:tc>
        <w:tc>
          <w:tcPr>
            <w:tcW w:type="dxa" w:w="2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平台监控、事件响应与月度服务报告</w:t>
            </w:r>
          </w:p>
        </w:tc>
        <w:tc>
          <w:tcPr>
            <w:tcW w:type="dxa" w:w="1479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已确认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2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762"/>
        <w:gridCol w:w="1184"/>
        <w:gridCol w:w="1184"/>
        <w:gridCol w:w="3256"/>
        <w:gridCol w:w="1480"/>
      </w:tblGrid>
      <w:tr>
        <w:trPr>
          <w:cantSplit/>
          <w:tblHeader/>
        </w:trPr>
        <w:tc>
          <w:tcPr>
            <w:tcW w:type="dxa" w:w="276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风险</w:t>
            </w:r>
          </w:p>
        </w:tc>
        <w:tc>
          <w:tcPr>
            <w:tcW w:type="dxa" w:w="1184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概率</w:t>
            </w:r>
          </w:p>
        </w:tc>
        <w:tc>
          <w:tcPr>
            <w:tcW w:type="dxa" w:w="1184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影响</w:t>
            </w:r>
          </w:p>
        </w:tc>
        <w:tc>
          <w:tcPr>
            <w:tcW w:type="dxa" w:w="325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缓解措施</w:t>
            </w:r>
          </w:p>
        </w:tc>
        <w:tc>
          <w:tcPr>
            <w:tcW w:type="dxa" w:w="148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dxa" w:w="276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关键账号未按计划开通</w:t>
            </w:r>
          </w:p>
        </w:tc>
        <w:tc>
          <w:tcPr>
            <w:tcW w:type="dxa" w:w="1184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medium</w:t>
            </w:r>
          </w:p>
        </w:tc>
        <w:tc>
          <w:tcPr>
            <w:tcW w:type="dxa" w:w="1184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high</w:t>
            </w:r>
          </w:p>
        </w:tc>
        <w:tc>
          <w:tcPr>
            <w:tcW w:type="dxa" w:w="325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提前核对账号清单并设置升级路径</w:t>
            </w:r>
          </w:p>
        </w:tc>
        <w:tc>
          <w:tcPr>
            <w:tcW w:type="dxa" w:w="14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服务经理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2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1480"/>
        <w:gridCol w:w="2960"/>
        <w:gridCol w:w="2960"/>
        <w:gridCol w:w="2466"/>
      </w:tblGrid>
      <w:tr>
        <w:trPr>
          <w:cantSplit/>
          <w:tblHeader/>
        </w:trPr>
        <w:tc>
          <w:tcPr>
            <w:tcW w:type="dxa" w:w="148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类型</w:t>
            </w:r>
          </w:p>
        </w:tc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原要求</w:t>
            </w:r>
          </w:p>
        </w:tc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响应</w:t>
            </w:r>
          </w:p>
        </w:tc>
        <w:tc>
          <w:tcPr>
            <w:tcW w:type="dxa" w:w="246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偏差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24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营业执照.pdf</w:t>
            </w:r>
          </w:p>
        </w:tc>
        <w:tc>
          <w:tcPr>
            <w:tcW w:type="dxa" w:w="2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案例证明.pdf</w:t>
            </w:r>
          </w:p>
        </w:tc>
        <w:tc>
          <w:tcPr>
            <w:tcW w:type="dxa" w:w="2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已附加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25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服务建议书电子签章：已确认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合同偏差：无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• 导出状态：submission-ready。submission-ready 不等于已签名、已上传或已由采购人认定合规。</w:t>
      </w:r>
    </w:p>
    <w:p>
      <w:pPr>
        <w:sectPr>
          <w:footerReference w:type="default" r:id="rId26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供应商授权代表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张示例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供应商盖章：________________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68726E"/>
          <w:sz w:val="16"/>
          <w:szCs w:val="16"/>
          <w:lang w:val="zh-CN" w:eastAsia="zh-CN"/>
        </w:rPr>
        <w:t xml:space="preserve">投标文件须以招标文件及有权机构的最终要求为准。</w:t>
      </w:r>
    </w:p>
    <w:sectPr>
      <w:footerReference w:type="default" r:id="rId27"/>
      <w:type w:val="nextPage"/>
      <w:pgSz w:w="11906" w:h="16838" w:orient="portrait"/>
      <w:pgMar w:top="907" w:right="1020" w:bottom="907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企业服务采购建议书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