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OEM加工合同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OEM加工合同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OEM-2026-001</w:t>
      </w:r>
    </w:p>
    <w:p>
      <w:pPr>
        <w:sectPr>
          <w:footerReference w:type="default" r:id="rId7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合同编号：OEM-2026-001；签署日期：2026-08-19</w:t>
      </w:r>
    </w:p>
    <w:p>
      <w:pPr>
        <w:sectPr>
          <w:footerReference w:type="default" r:id="rId8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委托方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深圳示例品牌有限公司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注册地址：深圳市示例路1号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联系人：陈经理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加工方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东莞示例加工有限公司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注册地址：东莞市示例路2号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br/>
              <w:t xml:space="preserve">联系人：林经理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855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385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单价</w:t>
            </w:r>
          </w:p>
        </w:tc>
        <w:tc>
          <w:tcPr>
            <w:tcW w:type="dxa" w:w="192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金额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智能传感器 / S1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100 件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不作为产品销售价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不适用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0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技术包版本：TECH-S1-R3</w:t>
      </w: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747"/>
        <w:gridCol w:w="2891"/>
      </w:tblGrid>
      <w:tr>
        <w:trPr>
          <w:cantSplit/>
          <w:tblHeader/>
        </w:trPr>
        <w:tc>
          <w:tcPr>
            <w:tcW w:type="dxa" w:w="674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891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S1图纸R3.pdf</w:t>
            </w:r>
          </w:p>
        </w:tc>
        <w:tc>
          <w:tcPr>
            <w:tcW w:type="dxa" w:w="289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双方签署封样确认单后方可量产</w:t>
      </w:r>
    </w:p>
    <w:p>
      <w:pPr>
        <w:sectPr>
          <w:footerReference w:type="default" r:id="rId12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模式：mixed；物料：委托方提供核心芯片；加工方采购结构件；良率：成品良率不低于98%；废料：报废物料分类登记，未经书面同意不得处置；返还：余料与报废品按月清点并退还委托方</w:t>
      </w:r>
    </w:p>
    <w:p>
      <w:pPr>
        <w:sectPr>
          <w:footerReference w:type="default" r:id="rId13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120"/>
        <w:gridCol w:w="1735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21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模具</w:t>
            </w:r>
          </w:p>
        </w:tc>
        <w:tc>
          <w:tcPr>
            <w:tcW w:type="dxa" w:w="173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权属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保管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维护</w:t>
            </w:r>
          </w:p>
        </w:tc>
        <w:tc>
          <w:tcPr>
            <w:tcW w:type="dxa" w:w="192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返还/处置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注塑模具</w:t>
            </w:r>
          </w:p>
        </w:tc>
        <w:tc>
          <w:tcPr>
            <w:tcW w:type="dxa" w:w="173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principal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由加工方在合同期内保管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加工方负责日常保养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终止后十日内返还委托方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封样后30日完成首批生产</w:t>
      </w:r>
    </w:p>
    <w:p>
      <w:pPr>
        <w:sectPr>
          <w:footerReference w:type="default" r:id="rId15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855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385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192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单价</w:t>
            </w:r>
          </w:p>
        </w:tc>
        <w:tc>
          <w:tcPr>
            <w:tcW w:type="dxa" w:w="192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金额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组装加工费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100 件</w:t>
            </w:r>
          </w:p>
        </w:tc>
        <w:tc>
          <w:tcPr>
            <w:tcW w:type="dxa" w:w="192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5.00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币种：CNY；计税口径：tax-included</w:t>
      </w: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373"/>
        <w:gridCol w:w="6265"/>
      </w:tblGrid>
      <w:tr>
        <w:trPr>
          <w:cantSplit/>
        </w:trPr>
        <w:tc>
          <w:tcPr>
            <w:tcW w:type="dxa" w:w="33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加工费合计</w:t>
            </w:r>
          </w:p>
        </w:tc>
        <w:tc>
          <w:tcPr>
            <w:tcW w:type="dxa" w:w="626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1. 订单确认：30.00%，5日内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2. 验收合格：70.00%，15日内</w:t>
      </w:r>
    </w:p>
    <w:p>
      <w:pPr>
        <w:sectPr>
          <w:footerReference w:type="default" r:id="rId16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质量标准：技术包TECH-S1-R3及封样；检验：出厂全检并由委托方抽检；追溯：批次、物料与工序记录保存三年</w:t>
      </w:r>
    </w:p>
    <w:p>
      <w:pPr>
        <w:sectPr>
          <w:footerReference w:type="default" r:id="rId17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不合格品：隔离、分析并按委托方书面指示返工或报废；召回：质量原因召回时双方按责任承担费用</w:t>
      </w:r>
    </w:p>
    <w:p>
      <w:pPr>
        <w:sectPr>
          <w:footerReference w:type="default" r:id="rId18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任何技术变更须提交书面变更单并确认价格与交期影响</w:t>
      </w:r>
    </w:p>
    <w:p>
      <w:pPr>
        <w:sectPr>
          <w:footerReference w:type="default" r:id="rId19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背景知识产权：各方原有知识产权归原权利人；新增知识产权：基于委托方技术资料形成的定制成果归委托方；许可：加工方仅可为履行本合同使用</w:t>
      </w:r>
    </w:p>
    <w:p>
      <w:pPr>
        <w:sectPr>
          <w:footerReference w:type="default" r:id="rId20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保密：技术资料仅限授权人员访问；分包：未经委托方事先书面同意不得分包</w:t>
      </w:r>
    </w:p>
    <w:p>
      <w:pPr>
        <w:sectPr>
          <w:footerReference w:type="default" r:id="rId21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按合格在制品、不可退料件及已完成工序据实结算</w:t>
      </w:r>
    </w:p>
    <w:p>
      <w:pPr>
        <w:sectPr>
          <w:footerReference w:type="default" r:id="rId22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变更须书面确认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及时通知并提供证明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违约方赔偿实际损失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重大违约可解除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中华人民共和国法律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以合同所列地址送达</w:t>
      </w:r>
    </w:p>
    <w:p>
      <w:pPr>
        <w:sectPr>
          <w:footerReference w:type="default" r:id="rId23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747"/>
        <w:gridCol w:w="2891"/>
      </w:tblGrid>
      <w:tr>
        <w:trPr>
          <w:cantSplit/>
          <w:tblHeader/>
        </w:trPr>
        <w:tc>
          <w:tcPr>
            <w:tcW w:type="dxa" w:w="674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891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7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S1图纸R3.pdf</w:t>
            </w:r>
          </w:p>
        </w:tc>
        <w:tc>
          <w:tcPr>
            <w:tcW w:type="dxa" w:w="289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4"/>
          <w:type w:val="nextPage"/>
          <w:pgSz w:w="11906" w:h="16838" w:orient="portrait"/>
          <w:pgMar w:top="1020" w:right="1134" w:bottom="1020" w:left="1134" w:header="708" w:footer="708" w:gutter="0"/>
          <w:pgNumType/>
          <w:titlePg w:val="false"/>
          <w:docGrid w:linePitch="360"/>
        </w:sectPr>
      </w:pPr>
    </w:p>
    <w:tbl>
      <w:tblPr>
        <w:tblW w:type="dxa" w:w="963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委托方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深圳示例品牌有限公司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加工方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东莞示例加工有限公司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本文件为根据用户输入生成的合同草案，签署前请进行专业审阅。</w:t>
      </w:r>
    </w:p>
    <w:sectPr>
      <w:footerReference w:type="default" r:id="rId25"/>
      <w:type w:val="nextPage"/>
      <w:pgSz w:w="11906" w:h="16838" w:orient="portrait"/>
      <w:pgMar w:top="1020" w:right="1134" w:bottom="1020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OEM加工合同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