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国际货物销售合同 / INTERNATIONAL SALE OF GOODS CONTRACT</w:t>
      </w:r>
    </w:p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国际货物销售合同 / INTERNATIONAL SALE OF GOODS CONTRACT</w:t>
      </w:r>
    </w:p>
    <w:p>
      <w:pPr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color w:val="65747A"/>
          <w:sz w:val="23"/>
          <w:szCs w:val="23"/>
          <w:lang w:val="zh-CN" w:eastAsia="zh-CN"/>
        </w:rPr>
        <w:t xml:space="preserve">ISC-2026-001</w:t>
      </w:r>
    </w:p>
    <w:p>
      <w:pPr>
        <w:sectPr>
          <w:footerReference w:type="default" r:id="rId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合同编号 / Contract No.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ISC-2026-001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签署日期 / Signing Date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签署地点 / Signing Place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Shanghai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卖方 / Seller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上海示例出口有限公司 / Shanghai Example Export Co.,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注册地址：上海市示例路1号 / Registered address: 上海市示例路1号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联系人：Ms. Zhang / Contact: Ms. Zhang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邮箱：seller@example.com / Email: seller@example.com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买方 / Buyer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示例进口有限公司 / Example Imports Limited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注册地址：88 Example Road, Singapore / Registered address: 88 Example Road, Singapore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联系人：Mr. Lee / Contact: Mr. Lee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邮箱：buyer@example.com / Email: buyer@example.com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“货物”指本合同货品表所列产品；“Incoterms 2020”指国际商会发布的2020版规则。 / "Goods" means the products in the goods table; "Incoterms 2020" means the 2020 rules published by the ICC.</w:t>
      </w:r>
    </w:p>
    <w:p>
      <w:pPr>
        <w:sectPr>
          <w:footerReference w:type="default" r:id="rId10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2953"/>
        <w:gridCol w:w="2320"/>
        <w:gridCol w:w="1582"/>
        <w:gridCol w:w="1793"/>
        <w:gridCol w:w="1898"/>
      </w:tblGrid>
      <w:tr>
        <w:trPr>
          <w:cantSplit/>
          <w:tblHeader/>
        </w:trPr>
        <w:tc>
          <w:tcPr>
            <w:tcW w:type="dxa" w:w="2953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货物 / Goods</w:t>
            </w:r>
          </w:p>
        </w:tc>
        <w:tc>
          <w:tcPr>
            <w:tcW w:type="dxa" w:w="2320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规格 / Specification</w:t>
            </w:r>
          </w:p>
        </w:tc>
        <w:tc>
          <w:tcPr>
            <w:tcW w:type="dxa" w:w="1582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数量 / Quantity</w:t>
            </w:r>
          </w:p>
        </w:tc>
        <w:tc>
          <w:tcPr>
            <w:tcW w:type="dxa" w:w="1793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单价 / Unit Price</w:t>
            </w:r>
          </w:p>
        </w:tc>
        <w:tc>
          <w:tcPr>
            <w:tcW w:type="dxa" w:w="1898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金额 / Amount</w:t>
            </w:r>
          </w:p>
        </w:tc>
      </w:tr>
      <w:tr>
        <w:trPr>
          <w:cantSplit/>
        </w:trPr>
        <w:tc>
          <w:tcPr>
            <w:tcW w:type="dxa" w:w="295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工业泵 / Industrial Pump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P-100</w:t>
            </w:r>
          </w:p>
        </w:tc>
        <w:tc>
          <w:tcPr>
            <w:tcW w:type="dxa" w:w="1582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5 套 / 5 set</w:t>
            </w:r>
          </w:p>
        </w:tc>
        <w:tc>
          <w:tcPr>
            <w:tcW w:type="dxa" w:w="179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100.00</w:t>
            </w:r>
          </w:p>
        </w:tc>
        <w:tc>
          <w:tcPr>
            <w:tcW w:type="dxa" w:w="189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500.00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币种：USD；计税口径：tax-exempt / Currency: USD; tax mode: tax-exempt</w:t>
      </w: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合同总价 / Contract Total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500.00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固定价格，不作调整 / The price is fixed and not subject to adjustment.</w:t>
      </w:r>
    </w:p>
    <w:p>
      <w:pPr>
        <w:sectPr>
          <w:footerReference w:type="default" r:id="rId12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贸易术语：CIP Incoterms 2020；指定地点：新加坡樟宜航空货运中心；风险按约定的CIP规则转移 / Trade term: CIP Incoterms 2020; named place: Changi Airfreight Centre, Singapore; Risk passes in accordance with the agreed CIP rule.</w:t>
      </w:r>
    </w:p>
    <w:p>
      <w:pPr>
        <w:sectPr>
          <w:footerReference w:type="default" r:id="rId13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装运期：2026年9月1日至15日；运输方式：multimodal；分批：不允许；转运：允许 / Shipment window: 1-15 September 2026; mode: multimodal; partial shipment: not allowed; transshipment: allowed</w:t>
      </w:r>
    </w:p>
    <w:p>
      <w:pPr>
        <w:sectPr>
          <w:footerReference w:type="default" r:id="rId14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出口清关：卖方；进口清关：买方；保险：卖方按CIP约定投保并提供保险凭证 / Export clearance: Seller; import clearance: Buyer; insurance: The Seller shall procure insurance required by CIP and provide evidence of cover.</w:t>
      </w:r>
    </w:p>
    <w:p>
      <w:pPr>
        <w:sectPr>
          <w:footerReference w:type="default" r:id="rId15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商业发票 / Commercial invoice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装箱单 / Packing list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• 航空运单 / Air waybill</w:t>
      </w:r>
    </w:p>
    <w:p>
      <w:pPr>
        <w:sectPr>
          <w:footerReference w:type="default" r:id="rId16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买方在到货后十日内检验数量和外观；质量索赔应在发现后五日内书面提出并附证据 / The Buyer shall inspect quantity and apparent condition within ten days after arrival.; Quality claims shall be made in writing with evidence within five days after discovery.</w:t>
      </w:r>
    </w:p>
    <w:p>
      <w:pPr>
        <w:sectPr>
          <w:footerReference w:type="default" r:id="rId1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全部价款到账时所有权转移 / Title passes upon receipt of the full price.</w:t>
      </w:r>
    </w:p>
    <w:p>
      <w:pPr>
        <w:sectPr>
          <w:footerReference w:type="default" r:id="rId1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方式：letter-of-credit；装运前开立不可撤销信用证；信用证应允许分批议付并于装运后21日有效；开证行费用由买方承担，卖方银行费用由卖方承担 / Method: letter-of-credit; An irrevocable letter of credit shall be issued before shipment.; The credit shall permit partial drawings and remain valid for 21 days after shipment.; Issuing-bank charges are for the Buyer; the Seller bears its bank charges.</w:t>
      </w:r>
    </w:p>
    <w:p>
      <w:pPr>
        <w:sectPr>
          <w:footerReference w:type="default" r:id="rId19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适合国际空运的防潮包装；按买方书面唛头指示 / Moisture-resistant packaging suitable for international air transport.; Shipping marks shall follow the Buyer's written instructions.</w:t>
      </w:r>
    </w:p>
    <w:p>
      <w:pPr>
        <w:sectPr>
          <w:footerReference w:type="default" r:id="rId20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到货后十二个月；各方保留其原有知识产权 / Twelve months after arrival.; Each party retains its background intellectual property.</w:t>
      </w:r>
    </w:p>
    <w:p>
      <w:pPr>
        <w:sectPr>
          <w:footerReference w:type="default" r:id="rId21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双方自行核验并遵守适用于自身交易行为的制裁与出口管制要求 / Each party shall verify and comply with sanctions and export-control requirements applicable to its conduct.</w:t>
      </w:r>
    </w:p>
    <w:p>
      <w:pPr>
        <w:sectPr>
          <w:footerReference w:type="default" r:id="rId22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受影响方及时通知并采取合理减损措施 / The affected party shall give prompt notice and take reasonable mitigation measures.</w:t>
      </w:r>
    </w:p>
    <w:p>
      <w:pPr>
        <w:sectPr>
          <w:footerReference w:type="default" r:id="rId23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违约方赔偿可证明的直接损失 / The breaching party shall compensate proven direct losses.</w:t>
      </w:r>
    </w:p>
    <w:p>
      <w:pPr>
        <w:sectPr>
          <w:footerReference w:type="default" r:id="rId24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CISG选择：apply；适用法：除CISG调整事项外适用新加坡法律 / CISG choice: apply; governing law: Singapore law applies to matters not governed by the CISG.</w:t>
      </w:r>
    </w:p>
    <w:p>
      <w:pPr>
        <w:sectPr>
          <w:footerReference w:type="default" r:id="rId25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方式：arbitration；机构/地点：新加坡国际仲裁中心，仲裁地新加坡 / Method: arbitration; forum/seat: Singapore International Arbitration Centre, seat Singapore.</w:t>
      </w:r>
    </w:p>
    <w:p>
      <w:pPr>
        <w:sectPr>
          <w:footerReference w:type="default" r:id="rId26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中英文不一致时，以英文为准。 / If the Chinese and English texts conflict, the English text prevails.</w:t>
      </w:r>
    </w:p>
    <w:p>
      <w:pPr>
        <w:sectPr>
          <w:footerReference w:type="default" r:id="rId2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通知发送至合同所列电子邮箱并以送达回执为准 / Notices shall be sent to the stated email addresses and evidenced by delivery receipt.</w:t>
      </w:r>
    </w:p>
    <w:p>
      <w:pPr>
        <w:sectPr>
          <w:footerReference w:type="default" r:id="rId2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卖方 / Seller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上海示例出口有限公司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买方 / Buyer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示例进口有限公司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keepNext/>
        <w:spacing w:after="80" w:before="14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23"/>
          <w:szCs w:val="23"/>
          <w:lang w:val="zh-CN" w:eastAsia="zh-CN"/>
        </w:rPr>
        <w:t xml:space="preserve">使用提示 / Disclaimer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65747A"/>
          <w:sz w:val="15"/>
          <w:szCs w:val="15"/>
          <w:lang w:val="zh-CN" w:eastAsia="zh-CN"/>
        </w:rPr>
        <w:t xml:space="preserve">国际交易条款、适用法律与争议解决方式须由交易双方自行确认。 / The parties must confirm the trade terms, governing law and dispute resolution for the international transaction.</w:t>
      </w:r>
    </w:p>
    <w:sectPr>
      <w:footerReference w:type="default" r:id="rId29"/>
      <w:type w:val="nextPage"/>
      <w:pgSz w:w="11906" w:h="16838" w:orient="portrait"/>
      <w:pgMar w:top="794" w:right="680" w:bottom="794" w:left="6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oter" Target="footer22.xml"/><Relationship Id="rId29" Type="http://schemas.openxmlformats.org/officeDocument/2006/relationships/footer" Target="footer23.xm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国际货物销售合同 / INTERNATIONAL SALE OF GOODS CONTRACT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