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栈的出货构建，本机构建产物 2554008 B；flash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267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`docs/06`（当前板上 `2e00ecf2…`，2,204,456 B / SRAM 487,460 B；注意固件非可重现构建，md5 每次重编会变）。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2.20 MB/16 MB（13.14%）；SRAM 487,460 B/512 KB（92.98%）；PSRAM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受限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WiFi 本板硬件不可达（无 wlan 设备 / 无 `CONFIG_WIFI` / 无网卡驱动）⇒ 改走 USB CDC-ACM + SLIP：软件就绪，实测 `rc=-107=-ENOTCONN` ⇒ 只差一根 USB 数据线</w:t>
            </w:r>
          </w:p>
        </w:tc>
        <w:tc>
          <w:tcPr>
            <w:tcW w:type="dxa" w:w="2256"/>
          </w:tcPr>
          <w:p>
            <w:r>
              <w:t>`docs/07`、`docs/16`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Code（白名单工具，`logs/XPQHyue/` 有 50 个会话 / 15,283 事件，`validate-log.py` ALL OK）；DeepSeek Harness 作为补充证据放 `supplementary/dsh-logs/`（不在官方白名单，不计工时）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spacing w:after="40"/>
      </w:pPr>
      <w:r>
        <w:t>3.7.1 商业场景、成本与推广（多智能体调研综合；数字均标来源或「估计」，尚未经用户与模式验证）</w:t>
      </w:r>
    </w:p>
    <w:p>
      <w:pPr>
        <w:spacing w:after="40"/>
      </w:pPr>
      <w:r>
        <w:t>应用场景：校内教学的基础器材已普及（2024 年初中理科实验仪器配备达标率 97.54%、普通高中 96.76%，教育部统计公报），增量在探究性/数字化实验，但现行装备标准中无「腕上多传感器实验设备」品类且校内单价低；科普研学缺可穿戴、可走动演示的量化教具（2023 年全国科普经费 215.06 亿元、政府拨款占 77.7%，科技部；免费开放科技馆 409 座、2024 年联合行动服务 7218.98 万人次，中国科技馆）；家庭端直面 phyphox 免费锚点。最可能率先落地：科普研学/馆校合作（有财政预算与客流、不依赖政采目录、决策链短）。</w:t>
      </w:r>
    </w:p>
    <w:p>
      <w:pPr>
        <w:spacing w:after="40"/>
      </w:pPr>
      <w:r>
        <w:t>成本与定价：BOM 参考（立创商城/公开行情）——主控模组 ¥29.9、六轴 ¥8.92、磁力计 ¥12.32、1.85″ AMOLED ¥40–80（估计）、PMIC ¥3–6（估计）、贴片组装 ¥10–25（估计）、300 mAh 锂电 ¥7–10、表壳表带千件级 ¥57–100；小批量 100–300 台 BOM ≈ ¥160–280/台（估计），千级 ≈ ¥100–155/台（估计），加认证/工装摊销 +¥20–35/台。整机可达 ¥100 量级（以立创·黄山派 SF32LB52-ULP 开发板 ~¥100 级为参照，不含外壳整机约 ¥100–150，估计；量产改用 ¥29.9 级模组更低）；且兼容小米手环 Vela / openvela 生态，复用官方框架、AI Agent 与 Skill 工具链 ⇒ 可玩性与生态好、内容与工具链成本显著降低。建议 B 端套装 ¥499–699、C 端家庭版 ¥399–499（估计），毛利率约 60–70%（估计）。软件边际成本≈0（固件/界面/16+ 实验页/端侧 AI 教练已完成，端侧推理无云计费），增值在课程包、实验模板、教师培训与研学授权。</w:t>
      </w:r>
    </w:p>
    <w:p>
      <w:pPr>
        <w:spacing w:after="40"/>
      </w:pPr>
      <w:r>
        <w:t>推广路径（12 个月三期）：0–3 月试制 30–50 台 + SRRC 送检 + 与 1 家科技馆共研课程包（指标：试点 3–5 家、触达 ≥300 人次）；4–8 月千级试产 + 20 课时课程包 + 对接集成商与省级政采目录（指标：意向 ≥500 台、签约渠道 ≥3 家、政采入围 ≥1 包）；9–12 月电商家庭版 + OTA 迭代（指标：累计出货 ≥2000 台、B 端占比 ≥70%、月活 ≥50%）。渠道现实门槛：中学仪器采购为公开招标政采，需资质与售后网点，现实打法是"目录外试点 + 课后服务 → 经入库集成商供货"，周期常 6–12 个月。</w:t>
      </w:r>
    </w:p>
    <w:p>
      <w:pPr>
        <w:spacing w:after="40"/>
      </w:pPr>
      <w:r>
        <w:t>风险与合规：无线电型号核准（SRRC）本作品不需要 —— BLE 属 2.4GHz 微功率短距离设备，按工信部公告 2019年第52号第一条无需型号核准（义务成本≈0：不得加大发射功率/更改天线，说明书须标注该公告第六条 8 项内容）；出口欧盟时 CE RED、锂电 UN38.3（选已认证电芯）、采购资质（不自投、走集成商）、数据隐私（本地优先/默认不上云/家长知情同意）、开源许可（Apache-2.0/MIT，建 SBOM 与 NOTICE）。当前状态：无用户验证、无商业模式验证，仅有场景推演与成本估算。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