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ascii="宋体" w:hAnsi="宋体" w:eastAsia="宋体"/>
          <w:b/>
          <w:sz w:val="40"/>
        </w:rPr>
        <w:t>BK7258 R1 视觉辅助胸牌 OpenVela 技术报告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1、信息表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280"/>
        <w:gridCol w:w="4920"/>
      </w:tblGrid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项目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内容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作品名称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BK7258 R1 视觉辅助胸牌 OpenVela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队伍名称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不知道叫什么名字（队伍编号 441）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团队分工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邢晓亮（GitHub：xxluestc）：BSP 移植、驱动适配、构建烧录、实机验证、应用与报告整理</w:t>
            </w:r>
          </w:p>
        </w:tc>
      </w:tr>
      <w:tr>
        <w:tc>
          <w:tcPr>
            <w:tcW w:w="22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选题方向</w:t>
            </w:r>
          </w:p>
        </w:tc>
        <w:tc>
          <w:tcPr>
            <w:tcW w:w="492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新硬件平台适配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2、摘要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ascii="宋体" w:hAnsi="宋体" w:eastAsia="宋体"/>
          <w:sz w:val="21"/>
        </w:rPr>
        <w:t>本项目面向 BK7258 R1 开发板，完成物理 CPU0 与 AP 侧 NuttX/openvela 的启动、跨核 RPTUN/RPMsg、AP 双核 SMP、双屏 LCD、GC2145 摄像头和 SD 数据链路，并将拍照识别应用接入 MiMo。r14 镜像已在真实开发板烧录；实机串口记录了 KEY1 短按触发、21,099 字节 JPEG、中文识别正文及 stage=done status=0。双屏运行原厂样式眼睛动画，硬件照片展示点亮效果，操作者观察到眨眼。</w:t>
        <w:br/>
        <w:br/>
        <w:t>关键词：openvela；NuttX；BK7258；RPTUN；SMP；GC2145；MiMo；视觉辅助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3、正文</w:t>
      </w:r>
      <w:bookmarkEnd w:id="4"/>
    </w:p>
    <w:p>
      <w:pPr>
        <w:pStyle w:val="Heading1"/>
        <w:keepNext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3.1 绪论</w:t>
      </w:r>
      <w:bookmarkEnd w:id="5"/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3.1.1 项目背景与问题定义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R1 是一块集成双屏、摄像头、Wi-Fi、按键、振动器、PSRAM 和 SD-NAND 的 BK7258 多核开发板。原厂方案能够运行成熟的 Armino/FreeRTOS 应用，但如果只在原厂应用上叠加识别、问答或提醒，就无法回答本项目最关心的问题：BK7258 怎样从复位入口启动 openvela，CPU0 怎样拉起 AP，多核之间如何通过 Mailbox、共享内存和 RPTUN 通信，板级初始化怎样把硬件变成 /dev 设备，图像和网络数据又怎样在有限内存中流动。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因此，本项目把“完成 R1 的可复现全 OpenVela BSP 适配”作为主线，把图形、摄像头和 Wi-Fi 当作检验 BSP 是否真实可用的载荷。最终成果应从源码、配置、构建、镜像、Flash、CPU 启动、bring-up 到实机证据形成闭环，并能在失败时指出问题所在层级。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3.1.2 技术难点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三颗物理 CPU 与两个 NuttX 层级容易混淆。 物理 CPU0 负责系统首启和 AP 管理；物理 CPU1 是 AP NuttX 的逻辑 CPU0；物理 CPU2 是 AP NuttX SMP 的逻辑 CPU1。只看到 AP NSH 不能证明 CPU0 也是 openvela，只看到 /proc/cpuinfo 的 processor: 0 也不能证明 CPU2 已上线。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启动和内存边界必须同时正确。 CPU0、AP、bootloader、共享区、PSRAM 和用户数据有固定 Flash/RAM 契约。入口地址、VTOR、MSP、链接脚本或镜像偏移任何一处不一致，都可能表现为无日志、AP 超时或 RPTUN 长期停在 CONNECTING。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芯片层与板级层必须分开。 GPIO 寄存器、IRQ、SysTick 属于 BK7258 芯片层；按键、LED、屏幕复位、电源脚和 Camera 引脚属于 R1 板级映射。把板级常量写进通用 SoC 代码会破坏复用，也容易把相近开发板误当成同一硬件。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跨核外设服务不是普通函数调用。 Wi-Fi、Flash 等能力需要明确控制器所在 CPU、RPMsg 服务、共享缓冲所有权和错误恢复；-107、-16 等应用错误往往只是前面 AP 或服务未就绪的连锁结果。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多媒体容易触发资源冲突。 两块 160×160 RGB565 帧缓冲共需 102400 字节，一帧 640×480 VYUY 图像需 614400 字节，还要与网络、TLS 和 JPEG 缓冲共享 SRAM/PSRAM。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板级能力需要实机闭环。 源码接入、配置生效、构建通过和开发板响应是不同层级，必须结合镜像哈希与串口日志逐层确认。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3.1.3 创新点与差异化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把 R1 从“原厂 CP + openvela AP”的混合验证推进为 CPU0 与 AP 均运行 NuttX/openvela、CPU2 进入 AP SMP 的全 OpenVela 路线，并以状态机和实机日志明确证明每一层。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将多核启动、RPTUN 通道、双屏显示和视觉识别的实机结果绑定到镜像与串口记录，便于复核。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将“源码 → 配置 → 构建 → ELF/bin → 合包 → Flash → CPU 启动 → bring-up → 设备节点/服务”做成可追溯流程，所有结论绑定提交、镜像哈希、串口日志和通过标准。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自建 bk7258-openvela-porting Skill，把 BSP 边界核对、R1 差异、构建同步、失败处理和证据门禁固化为可重复流程，减少反复猜接口和无证据修改。</w:t>
      </w:r>
    </w:p>
    <w:p>
      <w:pPr>
        <w:pStyle w:val="Heading1"/>
        <w:keepNext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3.2 系统方案设计</w:t>
      </w:r>
      <w:bookmarkEnd w:id="6"/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3.2.1 总体架构与数据流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本次实机系统采用以下拓扑：</w:t>
      </w:r>
    </w:p>
    <w:p>
      <w:pPr>
        <w:jc w:val="center"/>
      </w:pPr>
      <w:r>
        <w:rPr>
          <w:rFonts w:ascii="宋体" w:hAnsi="宋体" w:eastAsia="宋体"/>
        </w:rPr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5623560" cy="39791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79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1"/>
        </w:rPr>
        <w:t>图 1 BK7258 R1 系统结构及视觉数据流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主要数据流分为四条：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显示：应用像素或状态 → framebuffer → GC9D01 lower-half → QSPI/SPI → 两块 160×160 屏幕。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视觉：GC2145 寄存器配置 → I2C 与 DVP → YUV buffer/DMA → PSRAM 帧缓冲 → JPEG → V4L2 /dev/video0 → 应用服务。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网络：应用请求 → NuttX 网络栈 → 跨核 Wi-Fi 服务 → Beken PHY/RF；DHCP、DNS、TCP/TLS 按顺序建立。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3.2.2 方案论证与选型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本项目选择 CPU0 与 AP 均运行 OpenVela/NuttX，AP 侧由 CPU1、CPU2 组成 SMP 系统。CP 负责启动管理、串口命令和跨核请求；AP 承担 Camera、LCD、Wi-Fi 和 MiMo 请求。两侧通过 Mailbox、共享内存及 RPTUN/RPMsg 通信，这一分工使视觉交互与硬件驱动保持清晰边界。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R1 集成的屏幕、摄像头和无线资源能够在一块板上覆盖图形、多媒体和网络三类 openvela 能力，因此选作验证平台。端侧负责启动、驱动、采集、缓存、设备控制和离线诊断；云端模型负责图片理解。断网或弱网时，设备仍保留 NSH、按键、电源、显示状态和本地采集自检，并报告明确的网络阶段错误。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3.2.3 关键模块设计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CPU0 启动模块：初始化 MSP/VTOR、FPU、时钟、低级串口、IRQ、SysTick 和堆，进入 nx_start()，再由 NSH 和 AP 管理应用提供可观测入口。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AP 管理模块：用明确状态记录 AP 启动、心跳、错误和 generation；失败时保留第一处错误，不让后续网络错误覆盖根因。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跨核通信模块：通过 Mailbox/doorbell 触发事件，共享内存承载数据，RPTUN/RPMsg 管理通道生命周期；状态至少区分 CONNECTING 和 CONNECTED。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SMP 模块：AP 的逻辑 CPU0 拉起物理 CPU2，验证第二调度 CPU、IPI 和双向回调；用 online 位图和 PASSED 状态，而不是只看启动字符串。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板级 bring-up：将通用 BK7258 驱动与 R1 的引脚、电源、总线和设备映射组合，按依赖顺序注册字符设备、块设备、网络和多媒体设备。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应用服务层：vision_badge 通过 camera、vision、feedback 和 RPC 接口组织拍照、网络识别与结果返回。</w:t>
      </w:r>
    </w:p>
    <w:p>
      <w:pPr>
        <w:pStyle w:val="Heading1"/>
        <w:keepNext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3.3 核心算法与技术原理</w:t>
      </w:r>
      <w:bookmarkEnd w:id="7"/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3.3.1 启动、调度与系统节拍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复位后，链接脚本给出的向量表、初始 MSP 和程序入口必须与 Flash 中的实际镜像地址一致。bk7258_start.c 完成早期架构初始化，bk7258_lowputc.c 提供调度器启动前的串口输出，bk7258_irq.c 建立中断，bk7258_timerisr.c 配置系统节拍，最后进入 NuttX 调度。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SysTick 不只是“一个定时器”。NuttX 的延时、超时和时间片都依赖持续递增的系统 tick。项目早期出现 NSH 已能输入、但 sleep 不返回的现象，说明 UART 和命令解释器已运行，而系统节拍链未闭合。修正 SysTick 后，sleep 和定时任务恢复，这一案例用于验证“先找第一处失效的公共依赖”。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3.3.2 多核启动、SMP 与跨核通信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CPU0 先启动并建立共享区，再释放 AP。AP 的首核完成运行时重定位、堆和调度初始化后，与 CPU0 建立 RPTUN；随后 AP 首核通过启动入口、栈和 IPI 机制拉起物理 CPU2。三类状态含义不同：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AP READY：AP 核心已经运行并能响应管理侧；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RPTUN CONNECTED：两端共享内存和通知通道已经完成握手；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CPU2 SCHEDULER_ONLINE 与 AP SMP PASSED：AP 第二调度 CPU 已上线，并完成双向调度/回调验证。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本队早期实机日志中三者同时出现且 heartbeat 递增，证明启动和跨核基本链可工作；r5 自检再次记录 AP READY、RPTUN CONNECTED、CPU2 SCHEDULER_ONLINE 与 AP SMP PASSED。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3.3.3 内存与资源约束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项目使用链接脚本和构建后检查共同约束 Flash 与 RAM。r14 分区中，bootloader 位于 0x00000000，CPU0 应用位于 0x00011000，AP 位于 0x00143000，pair 位于 0x002ca000；EasyFlash、RF 校准和用户数据分区不被本次局部更新覆盖。AP 运行区与 CPU0/SWAP 边界同样需要检查，不能只看 bin 文件大小。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大缓冲优先放入 PSRAM，DMA 缓冲还要满足硬件可访问范围、对齐和缓存一致性。两块显示帧缓冲、VGA 图像、JPEG 工作区和 TLS 内存不能各自按峰值无限申请，终版以实际 map、free 和重复开关测试决定预算。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3.3.4 openvela 设备模型与多媒体机制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NuttX 通过 upper-half/lower-half 把应用接口与硬件实现分离。板级 bringup 调用注册函数后，应用经文件描述符和 ioctl 使用 /dev/fb*、/dev/video*、/dev/mmcsd* 等设备，而不是直接调用板级寄存器函数。这样可把 GC2145、GC9D01 等 R1 差异留在 lower-half 和 board 层，并让应用服务保持稳定。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r13/r14 的全 OpenVela BSP 实机日志记录了 Camera JPEG、SD 数据面和双屏眼睛线程。GC2145 通过 DVP/DMA 将图像送入缓冲并完成 JPEG 编码；两块圆屏由独立显示链路驱动。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3.3.5 AI 能力边界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AI 能力采用云端 MiMo 图片理解。r14 实机已完成 Camera JPEG、Wi-Fi/DHCP、HTTPS、图片上传、JSON 解析、跨核返回和中文结果打印；KEY1 可触发这一链路。API Key 从设备侧配置加载，不写入镜像和普通日志。</w:t>
      </w:r>
    </w:p>
    <w:p>
      <w:pPr>
        <w:pStyle w:val="Heading1"/>
        <w:keepNext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3.4 系统实现</w:t>
      </w:r>
      <w:bookmarkEnd w:id="8"/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3.4.1 软件与固件结构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当前队伍仓按职责分为：chips/bk7258 芯片层、boards/bk7258 板级层、nuttx 覆盖层、tools/bk7258 构建工具、app/bsp_diag 诊断命令、app/vision_badge 视觉应用、移植审查 Skill、实机证据和 AI Coding 日志。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本队将 CP/AP 配置、R1 板级绑定、视觉应用、诊断工具与构建规则组织在同一赛事仓库。固件依赖由 manifest 固定；各组件保留相应许可证声明。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3.4.2 从源码到实机的完整流程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完整流程为：Kconfig/defconfig 选择功能，编译生成 CPU0/AP ELF，使用 map/readelf/nm 检查入口和边界，生成 CPU0/AP bin，按分区表与 bootloader 合包并生成 SHA256，由参赛者将明确 Flash 范围写入开发板，最后依次验收 CPU0、AP、RPTUN、CPU2 SMP、board bring-up、NSH 和设备节点。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烧录地址不是从文件名推测，而是由分区表、链接地址和打包清单共同确定。项目曾用局部写入只更新 CPU0/AP，避开 boot、配对、EasyFlash、RF 校准和用户数据区域；每个候选镜像都应记录输入文件、地址、长度、工具版本、日志和 SHA256，并保留已验证的回退镜像。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3.4.3 芯片层与板级适配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bk7258_start.c：复位入口与进入 NuttX 前的架构初始化；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bk7258_lowputc.c、bk7258_serial.c：早期 UART 和 NuttX 串口设备；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bk7258_irq.c：中断控制器初始化与 IRQ 分发；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bk7258_timerisr.c：系统节拍；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bk7258_allocateheap.c：堆边界；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bk7258_gpio.c：与 SoC 相关的 GPIO 操作；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boards/bk7258/aidk_ai_toy/src/：R1 早期板级初始化、驱动注册与设备 bring-up；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bk7258_buttons.c、bk7258_userleds.c：R1 引脚映射与 NuttX board API。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GPIO 实测曾发现初始 LED 引脚映射错误：KEY1 和 KEY3 只能点亮同一颗绿灯。回到 R1 原理图和板级映射修正后，KEY1/KEY2/KEY3 分别产生掩码 0x01/0x02/0x04，并对应红灯、绿灯和双灯。这说明不同 board 的引脚必须留在板级，不能通过猜测修改通用 GPIO 驱动。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3.4.4 应用和交互实现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vision_badge 把应用拆为 camera、vision、feedback、workflow 和 RPC 服务。CP 的 NSH 命令或 KEY1 短按通过 RPMsg 触发 AP 采图，AP 使用 V4L2 获取 JPEG、通过 HTTPS 请求 MiMo 并把有界中文结果返回 CP。r14 的 KEY1 路径在 CP 串口打印中文正文。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本次人机交互以 KEY1 短按拍照识别和双屏眼睛动画为主。r13 启动日志记录 AIDK EYE START vendor dual-eye animation 和眼睛任务调度；r14 沿用同一 AP 镜像，硬件照片记录双屏点亮，操作者观察到眨眼。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3.4.5 自建 Skill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自建 Skill 位于 .agents/skills/bk7258-openvela-porting/，不是一段泛化提示词，而是面向本项目的移植流程：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检查 R1 原理图/BOM、板级配置和关键外设映射；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核对 CP/AP 配置、分区与构建产物；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用审计脚本检查项目结构、配置和证据；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以“源码存在 → 配置生效 → 构建通过 → 镜像正确 → R1 实机通过”为证据门禁；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对失败记录第一处异常、层级、回退点和下一实验。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仓库现有 Python 回归测试用于检查 Skill 审计规则。自建 Skill 是开发流程工具，不属于设备运行时 Agent Skill；本次参赛方向为新硬件平台适配。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3.5 系统测试与结果分析</w:t>
      </w:r>
      <w:r>
        <w:rPr>
          <w:rFonts w:eastAsia="等线" w:ascii="Arial" w:cs="Arial" w:hAnsi="Arial"/>
          <w:b w:val="true"/>
          <w:sz w:val="28"/>
        </w:rPr>
        <w:t>（务必提供量化数据）</w:t>
      </w:r>
      <w:bookmarkEnd w:id="9"/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3.5.1 测试环境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硬件为 BK7258 R1/AIDK AI Toy，串口 COM12，115200 8N1。固件为 r14，CP/AP 全 OpenVela，AP SMP=2。构建在 Ubuntu VM 通过 BK7258 direct build 完成，镜像哈希见 evidence/final/vision-badge-r14-SHA256SUMS.txt。MiMo 模型为 mimo-v2.5。实机证据集中在 evidence/final/，包括构建清单、烧录日志、KEY1 和命令触发的查询日志。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3.5.2 功能测试结果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CP 到 AP RPC 返回 AP endpoint ready。r13 同 AP 镜像启动日志记录 Wi-Fi DHCP ACK、Camera 数据面通过、SD 数据面通过和原厂样式眼睛任务启动。r14 的 KEY1 实测输出 VISION BADGE KEY1 short press; starting capture，采集 21,099 字节 JPEG，返回 81 字节中文结果，最终为 stage=done status=0。识别正文为“一位戴眼镜的年轻男子，耳朵里塞着白色耳机，正对着镜头。”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r14 另一条命令触发的实测查询采集 17,527 字节 JPEG，返回 78 字节中文结果，stage=done status=0。现有保存证据包含两次成功查询，其中一次由 KEY1 触发。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3.5.3 性能和资源数据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本次 r14 保存日志中的实机视觉请求次数为 2；JPEG 样本大小分别为 17,527 和 21,099 字节；MiMo 结果长度分别为 78 和 81 字节；两次均为 stage=done status=0。AP 镜像为 813,858 字节，CP 镜像为 920,754 字节，pair 镜像为 2,854,912 字节。Camera 配置为 640×480 JPEG；RPMsg 文本槽为 256 字节。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表中数据来自 r14 保存的两次成功查询和构建清单，统计口径为已保存样本。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3.5.4 可靠性与异常处理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源码含 Camera 参数和 JPEG 标记校验、MiMo network/clock/credentials/http/response 阶段日志、HTTP 非 2xx、JSON 缺字段、超大结果和 RPC endpoint 未就绪处理。r7 的 DNS 失败被定位为 AP DNS 配置缺失，r8 修复后取得 HTTPS 链路；r14 补齐 KEY1 成功路径的中文正文打印。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异常处理覆盖 Camera 输入校验、网络请求失败、模型响应解析和跨核端点状态；功能结果以保存的实机日志为准。</w:t>
      </w:r>
    </w:p>
    <w:p>
      <w:pPr>
        <w:pStyle w:val="Heading1"/>
        <w:keepNext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3.6 AI-Native 开发说明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035"/>
        <w:gridCol w:w="4245"/>
      </w:tblGrid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指标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数据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AI Coding 代码占比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</w:pPr>
            <w:r>
              <w:rPr>
                <w:rFonts w:ascii="宋体" w:hAnsi="宋体" w:eastAsia="宋体"/>
                <w:sz w:val="21"/>
              </w:rPr>
              <w:t>70%（团队估算，按本队新增和改动代码的开发参与度）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使用的 AI 工具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</w:pPr>
            <w:r>
              <w:rPr>
                <w:rFonts w:ascii="宋体" w:hAnsi="宋体" w:eastAsia="宋体"/>
                <w:sz w:val="21"/>
              </w:rPr>
              <w:t>Codex、MiMo Code、本地终端、源码检索与文档处理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MCP 工具使用情况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</w:pPr>
            <w:r>
              <w:rPr>
                <w:rFonts w:ascii="宋体" w:hAnsi="宋体" w:eastAsia="宋体"/>
                <w:sz w:val="21"/>
              </w:rPr>
              <w:t>无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Skills 使用与新增情况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</w:pPr>
            <w:r>
              <w:rPr>
                <w:rFonts w:ascii="宋体" w:hAnsi="宋体" w:eastAsia="宋体"/>
                <w:sz w:val="21"/>
              </w:rPr>
              <w:t>bk7258-openvela-porting；用于 BSP 分层、构建、实机验证和证据门禁，12 项测试通过</w:t>
            </w:r>
          </w:p>
        </w:tc>
      </w:tr>
      <w:tr>
        <w:tc>
          <w:tcPr>
            <w:tcW w:w="40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keepNext/>
              <w:spacing w:before="120" w:after="120" w:line="288" w:lineRule="auto"/>
              <w:ind w:left="0"/>
              <w:jc w:val="left"/>
            </w:pPr>
            <w:r>
              <w:rPr>
                <w:rFonts w:eastAsia="宋体" w:ascii="宋体" w:cs="Arial" w:hAnsi="宋体"/>
                <w:sz w:val="21"/>
              </w:rPr>
              <w:t>Token 使用总量</w:t>
            </w:r>
          </w:p>
        </w:tc>
        <w:tc>
          <w:tcPr>
            <w:tcW w:w="4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r>
              <w:rPr>
                <w:rFonts w:ascii="宋体" w:hAnsi="宋体" w:eastAsia="宋体"/>
                <w:sz w:val="21"/>
              </w:rPr>
              <w:t>约 500,000 Token（团队估算，非平台账单统计）</w:t>
            </w:r>
          </w:p>
        </w:tc>
      </w:tr>
    </w:tbl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3.6.1 AI 工具使用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AI Coding 用于检索 NuttX、Beken 和 OpenVela 源码，起草板级 glue 与应用接口，分析串口错误码，整理镜像清单，生成回归检查并编写技术报告。GPIO、Flash 地址、设备节点、构建结果和识别结果均由源码、VM 构建日志或 R1 串口日志复核。仓库内保存了 3 个 MiMo Code 会话、76 条事件的原始日志。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3.6.2 AI 工具指标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按本队新增和改动代码的开发参与度估计，AI Coding 代码占比为 70%；开发讨论、代码生成与调试的 Token 使用总量约为 500,000。两项均为团队估算，不是逐行归因或平台账单统计。使用工具包括 Codex、MiMo Code、本地终端、源码检索和文档处理。自建 Skill 为 bk7258-openvela-porting，项目审计 12 项全部通过。硬件实测和最终提交字段由人工确认。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3.6.3 典型问题与解决方式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Wi-Fi 初次查询在 TLS 阶段返回 -82，通过阶段日志定位为 DNS client 缺失；加入 DNS client 后重新构建并在 R1 获得 MiMo HTTP 成功。MiMo 长回答曾被固定 RPC 槽截断，通过限制提示词长度和 UTF-8 安全拷贝修正。</w:t>
      </w:r>
    </w:p>
    <w:p>
      <w:pPr>
        <w:pStyle w:val="Heading1"/>
        <w:keepNext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3.7 总结与展望</w:t>
      </w:r>
      <w:bookmarkEnd w:id="11"/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3.7.1 成果总结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本项目完成 BK7258 R1 的全 OpenVela CP/AP 架构、AP SMP、RPTUN/RPMsg、双 LCD、GC2145 V4L2 JPEG、SD 数据面和 MiMo 视觉应用闭环。r14 在真实开发板上完成 KEY1 拍照识别并打印中文结果，另有一次 NSH 命令触发的成功查询。构建清单、镜像 SHA256、烧录日志和串口证据收录在仓库 evidence/final/。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3.7.2 应用前景与商业价值</w:t>
      </w:r>
    </w:p>
    <w:p>
      <w:pPr>
        <w:keepLines/>
        <w:jc w:val="both"/>
      </w:pPr>
      <w:r>
        <w:rPr>
          <w:rFonts w:ascii="宋体" w:hAnsi="宋体" w:eastAsia="宋体"/>
          <w:sz w:val="21"/>
        </w:rPr>
        <w:t>视觉辅助胸牌面向需要环境提示的视障用户，适用于室内、校园和日常通行场景。端侧提供 Camera、LCD、网络和跨核基础，云端模型按需提供图片理解。产品可沿无障碍辅助设备、教育与开发套件两条方向继续验证用户需求和应用价值。</w:t>
      </w:r>
    </w:p>
    <w:p>
      <w:pPr>
        <w:pStyle w:val="Heading2"/>
        <w:keepNext/>
        <w:jc w:val="left"/>
      </w:pPr>
      <w:r>
        <w:rPr>
          <w:rFonts w:ascii="宋体" w:hAnsi="宋体" w:eastAsia="宋体"/>
          <w:b/>
          <w:sz w:val="23"/>
        </w:rPr>
        <w:t>3.7.3 后续工作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围绕连续采集、网络请求和长时间运行，建立更完整的性能与稳定性数据。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优化功耗、隐私保护和弱网条件下的交互体验。</w:t>
      </w:r>
    </w:p>
    <w:p>
      <w:pPr>
        <w:pStyle w:val="ListBullet"/>
        <w:jc w:val="both"/>
      </w:pPr>
      <w:r>
        <w:rPr>
          <w:rFonts w:ascii="宋体" w:hAnsi="宋体" w:eastAsia="宋体"/>
          <w:sz w:val="21"/>
        </w:rPr>
        <w:t>增加更多现场场景验证，持续改进辅助提示体验。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</w:p>
</w:hdr>
</file>

<file path=word/numbering.xml><?xml version="1.0" encoding="utf-8"?>
<w:numbering xmlns:w="http://schemas.openxmlformats.org/wordprocessingml/2006/main">
  <w:abstractNum w:abstractNumId="1459340">
    <w:lvl>
      <w:numFmt w:val="bullet"/>
      <w:suff w:val="tab"/>
      <w:lvlText w:val="•"/>
      <w:rPr>
        <w:color w:val="3370ff"/>
      </w:rPr>
    </w:lvl>
  </w:abstractNum>
  <w:abstractNum w:abstractNumId="1459341">
    <w:lvl>
      <w:numFmt w:val="bullet"/>
      <w:suff w:val="tab"/>
      <w:lvlText w:val="•"/>
      <w:rPr>
        <w:color w:val="3370ff"/>
      </w:rPr>
    </w:lvl>
  </w:abstractNum>
  <w:abstractNum w:abstractNumId="1459342">
    <w:lvl>
      <w:numFmt w:val="bullet"/>
      <w:suff w:val="tab"/>
      <w:lvlText w:val="•"/>
      <w:rPr>
        <w:color w:val="3370ff"/>
      </w:rPr>
    </w:lvl>
  </w:abstractNum>
  <w:abstractNum w:abstractNumId="1459343">
    <w:lvl>
      <w:numFmt w:val="bullet"/>
      <w:suff w:val="tab"/>
      <w:lvlText w:val="•"/>
      <w:rPr>
        <w:color w:val="3370ff"/>
      </w:rPr>
    </w:lvl>
  </w:abstractNum>
  <w:abstractNum w:abstractNumId="1459344">
    <w:lvl>
      <w:numFmt w:val="bullet"/>
      <w:suff w:val="tab"/>
      <w:lvlText w:val="•"/>
      <w:rPr>
        <w:color w:val="3370ff"/>
      </w:rPr>
    </w:lvl>
  </w:abstractNum>
  <w:abstractNum w:abstractNumId="1459345">
    <w:lvl>
      <w:numFmt w:val="bullet"/>
      <w:suff w:val="tab"/>
      <w:lvlText w:val="•"/>
      <w:rPr>
        <w:color w:val="3370ff"/>
      </w:rPr>
    </w:lvl>
  </w:abstractNum>
  <w:abstractNum w:abstractNumId="1459346">
    <w:lvl>
      <w:numFmt w:val="bullet"/>
      <w:suff w:val="tab"/>
      <w:lvlText w:val="•"/>
      <w:rPr>
        <w:color w:val="3370ff"/>
      </w:rPr>
    </w:lvl>
  </w:abstractNum>
  <w:abstractNum w:abstractNumId="1459347">
    <w:lvl>
      <w:numFmt w:val="bullet"/>
      <w:suff w:val="tab"/>
      <w:lvlText w:val="•"/>
      <w:rPr>
        <w:color w:val="3370ff"/>
      </w:rPr>
    </w:lvl>
  </w:abstractNum>
  <w:abstractNum w:abstractNumId="1459348">
    <w:lvl>
      <w:numFmt w:val="bullet"/>
      <w:suff w:val="tab"/>
      <w:lvlText w:val="•"/>
      <w:rPr>
        <w:color w:val="3370ff"/>
      </w:rPr>
    </w:lvl>
  </w:abstractNum>
  <w:abstractNum w:abstractNumId="1459349">
    <w:lvl>
      <w:numFmt w:val="bullet"/>
      <w:suff w:val="tab"/>
      <w:lvlText w:val="•"/>
      <w:rPr>
        <w:color w:val="3370ff"/>
      </w:rPr>
    </w:lvl>
  </w:abstractNum>
  <w:abstractNum w:abstractNumId="1459350">
    <w:lvl>
      <w:numFmt w:val="bullet"/>
      <w:suff w:val="tab"/>
      <w:lvlText w:val="•"/>
      <w:rPr>
        <w:color w:val="3370ff"/>
      </w:rPr>
    </w:lvl>
  </w:abstractNum>
  <w:abstractNum w:abstractNumId="1459351">
    <w:lvl>
      <w:numFmt w:val="bullet"/>
      <w:suff w:val="tab"/>
      <w:lvlText w:val="•"/>
      <w:rPr>
        <w:color w:val="3370ff"/>
      </w:rPr>
    </w:lvl>
  </w:abstractNum>
  <w:abstractNum w:abstractNumId="1459352">
    <w:lvl>
      <w:numFmt w:val="bullet"/>
      <w:suff w:val="tab"/>
      <w:lvlText w:val="•"/>
      <w:rPr>
        <w:color w:val="3370ff"/>
      </w:rPr>
    </w:lvl>
  </w:abstractNum>
  <w:abstractNum w:abstractNumId="1459353">
    <w:lvl>
      <w:numFmt w:val="bullet"/>
      <w:suff w:val="tab"/>
      <w:lvlText w:val="•"/>
      <w:rPr>
        <w:color w:val="3370ff"/>
      </w:rPr>
    </w:lvl>
  </w:abstractNum>
  <w:abstractNum w:abstractNumId="1459354">
    <w:lvl>
      <w:numFmt w:val="bullet"/>
      <w:suff w:val="tab"/>
      <w:lvlText w:val="•"/>
      <w:rPr>
        <w:color w:val="3370ff"/>
      </w:rPr>
    </w:lvl>
  </w:abstractNum>
  <w:abstractNum w:abstractNumId="1459355">
    <w:lvl>
      <w:numFmt w:val="bullet"/>
      <w:suff w:val="tab"/>
      <w:lvlText w:val="•"/>
      <w:rPr>
        <w:color w:val="3370ff"/>
      </w:rPr>
    </w:lvl>
  </w:abstractNum>
  <w:abstractNum w:abstractNumId="1459356">
    <w:lvl>
      <w:numFmt w:val="bullet"/>
      <w:suff w:val="tab"/>
      <w:lvlText w:val="•"/>
      <w:rPr>
        <w:color w:val="3370ff"/>
      </w:rPr>
    </w:lvl>
  </w:abstractNum>
  <w:abstractNum w:abstractNumId="1459357">
    <w:lvl>
      <w:numFmt w:val="bullet"/>
      <w:suff w:val="tab"/>
      <w:lvlText w:val="•"/>
      <w:rPr>
        <w:color w:val="3370ff"/>
      </w:rPr>
    </w:lvl>
  </w:abstractNum>
  <w:abstractNum w:abstractNumId="1459358">
    <w:lvl>
      <w:numFmt w:val="bullet"/>
      <w:suff w:val="tab"/>
      <w:lvlText w:val="•"/>
      <w:rPr>
        <w:color w:val="3370ff"/>
      </w:rPr>
    </w:lvl>
  </w:abstractNum>
  <w:abstractNum w:abstractNumId="1459359">
    <w:lvl>
      <w:numFmt w:val="bullet"/>
      <w:suff w:val="tab"/>
      <w:lvlText w:val="•"/>
      <w:rPr>
        <w:color w:val="3370ff"/>
      </w:rPr>
    </w:lvl>
  </w:abstractNum>
  <w:abstractNum w:abstractNumId="1459360">
    <w:lvl>
      <w:numFmt w:val="bullet"/>
      <w:suff w:val="tab"/>
      <w:lvlText w:val="•"/>
      <w:rPr>
        <w:color w:val="3370ff"/>
      </w:rPr>
    </w:lvl>
  </w:abstractNum>
  <w:abstractNum w:abstractNumId="1459361">
    <w:lvl>
      <w:numFmt w:val="bullet"/>
      <w:suff w:val="tab"/>
      <w:lvlText w:val="•"/>
      <w:rPr>
        <w:color w:val="3370ff"/>
      </w:rPr>
    </w:lvl>
  </w:abstractNum>
  <w:abstractNum w:abstractNumId="1459362">
    <w:lvl>
      <w:numFmt w:val="bullet"/>
      <w:suff w:val="tab"/>
      <w:lvlText w:val="•"/>
      <w:rPr>
        <w:color w:val="3370ff"/>
      </w:rPr>
    </w:lvl>
  </w:abstractNum>
  <w:abstractNum w:abstractNumId="1459363">
    <w:lvl>
      <w:numFmt w:val="bullet"/>
      <w:suff w:val="tab"/>
      <w:lvlText w:val="•"/>
      <w:rPr>
        <w:color w:val="3370ff"/>
      </w:rPr>
    </w:lvl>
  </w:abstractNum>
  <w:abstractNum w:abstractNumId="1459364">
    <w:lvl>
      <w:numFmt w:val="bullet"/>
      <w:suff w:val="tab"/>
      <w:lvlText w:val="•"/>
      <w:rPr>
        <w:color w:val="3370ff"/>
      </w:rPr>
    </w:lvl>
  </w:abstractNum>
  <w:abstractNum w:abstractNumId="1459365">
    <w:lvl>
      <w:numFmt w:val="bullet"/>
      <w:suff w:val="tab"/>
      <w:lvlText w:val="•"/>
      <w:rPr>
        <w:color w:val="3370ff"/>
      </w:rPr>
    </w:lvl>
  </w:abstractNum>
  <w:abstractNum w:abstractNumId="1459366">
    <w:lvl>
      <w:numFmt w:val="bullet"/>
      <w:suff w:val="tab"/>
      <w:lvlText w:val="•"/>
      <w:rPr>
        <w:color w:val="3370ff"/>
      </w:rPr>
    </w:lvl>
  </w:abstractNum>
  <w:abstractNum w:abstractNumId="1459367">
    <w:lvl>
      <w:numFmt w:val="bullet"/>
      <w:suff w:val="tab"/>
      <w:lvlText w:val="•"/>
      <w:rPr>
        <w:color w:val="3370ff"/>
      </w:rPr>
    </w:lvl>
  </w:abstractNum>
  <w:abstractNum w:abstractNumId="1459368">
    <w:lvl>
      <w:numFmt w:val="bullet"/>
      <w:suff w:val="tab"/>
      <w:lvlText w:val="•"/>
      <w:rPr>
        <w:color w:val="3370ff"/>
      </w:rPr>
    </w:lvl>
  </w:abstractNum>
  <w:num w:numId="1">
    <w:abstractNumId w:val="1459340"/>
  </w:num>
  <w:num w:numId="2">
    <w:abstractNumId w:val="1459341"/>
  </w:num>
  <w:num w:numId="3">
    <w:abstractNumId w:val="1459342"/>
  </w:num>
  <w:num w:numId="4">
    <w:abstractNumId w:val="1459343"/>
  </w:num>
  <w:num w:numId="5">
    <w:abstractNumId w:val="1459344"/>
  </w:num>
  <w:num w:numId="6">
    <w:abstractNumId w:val="1459345"/>
  </w:num>
  <w:num w:numId="7">
    <w:abstractNumId w:val="1459346"/>
  </w:num>
  <w:num w:numId="8">
    <w:abstractNumId w:val="1459347"/>
  </w:num>
  <w:num w:numId="9">
    <w:abstractNumId w:val="1459348"/>
  </w:num>
  <w:num w:numId="10">
    <w:abstractNumId w:val="1459349"/>
  </w:num>
  <w:num w:numId="11">
    <w:abstractNumId w:val="1459350"/>
  </w:num>
  <w:num w:numId="12">
    <w:abstractNumId w:val="1459351"/>
  </w:num>
  <w:num w:numId="13">
    <w:abstractNumId w:val="1459352"/>
  </w:num>
  <w:num w:numId="14">
    <w:abstractNumId w:val="1459353"/>
  </w:num>
  <w:num w:numId="15">
    <w:abstractNumId w:val="1459354"/>
  </w:num>
  <w:num w:numId="16">
    <w:abstractNumId w:val="1459355"/>
  </w:num>
  <w:num w:numId="17">
    <w:abstractNumId w:val="1459356"/>
  </w:num>
  <w:num w:numId="18">
    <w:abstractNumId w:val="1459357"/>
  </w:num>
  <w:num w:numId="19">
    <w:abstractNumId w:val="1459358"/>
  </w:num>
  <w:num w:numId="20">
    <w:abstractNumId w:val="1459359"/>
  </w:num>
  <w:num w:numId="21">
    <w:abstractNumId w:val="1459360"/>
  </w:num>
  <w:num w:numId="22">
    <w:abstractNumId w:val="1459361"/>
  </w:num>
  <w:num w:numId="23">
    <w:abstractNumId w:val="1459362"/>
  </w:num>
  <w:num w:numId="24">
    <w:abstractNumId w:val="1459363"/>
  </w:num>
  <w:num w:numId="25">
    <w:abstractNumId w:val="1459364"/>
  </w:num>
  <w:num w:numId="26">
    <w:abstractNumId w:val="1459365"/>
  </w:num>
  <w:num w:numId="27">
    <w:abstractNumId w:val="1459366"/>
  </w:num>
  <w:num w:numId="28">
    <w:abstractNumId w:val="1459367"/>
  </w:num>
  <w:num w:numId="29">
    <w:abstractNumId w:val="145936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customStyle="1" w:styleId="Heading1">
    <w:name w:val="heading 1"/>
  </w:style>
  <w:style w:type="paragraph" w:customStyle="1" w:styleId="Heading2">
    <w:name w:val="heading 2"/>
  </w:style>
  <w:style w:type="paragraph" w:customStyle="1" w:styleId="ListBullet">
    <w:name w:val="List Bullet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header" Target="header1.xml"/><Relationship Id="rId6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2026-07-20T03:33:17Z</dcterms:created>
  <dc:creator>Apache POI</dc:creator>
  <dc:title>BK7258 R1 视觉辅助胸牌 OpenVela</dc:title>
  <dc:subject>2026 首届 OpenVela AI 硬件开发者大赛技术报告</dc:subject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ccb7d93083eb11f180005da500005ca5" pid="2" fmtid="{D5CDD505-2E9C-101B-9397-08002B2CF9AE}">
    <vt:lpwstr>CWMR2FealOgLvQA5wJZOGCumM7J2IgAqe/7PjyT1VOXT54/834mpVl4fl8WX4e8RExudXUs6QVz7Ad9T8ZUnqXEfQ==</vt:lpwstr>
  </property>
</Properties>
</file>