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Domain-Specific Compiler IR and Expert System Architecture</w:t>
      </w:r>
    </w:p>
    <w:p>
      <w:pPr>
        <w:jc w:val="center"/>
      </w:pPr>
      <w:r>
        <w:t>DSC Master Design Doc</w:t>
      </w:r>
    </w:p>
    <w:p>
      <w:pPr>
        <w:jc w:val="center"/>
      </w:pPr>
      <w:r>
        <w:t>Thirteen-Chapter Integrated Architecture Draft with Gatekeeper, Performance Portability, Tensor Evolution Gatekeeper, Three-Level Parallelization, Locality- and Bandwidth-Driven Tensor Transformation, Common Opcode Substrate, Python DSL to Very-High-Level WHIRL Ingestion, On-Prem LLM Lifecycle Service, Durable Tensor Traits, Derived Analysis Facts, Deferred Fusion/Sharding/Tiling Plans, Holistic RL Memory Planning, Dynamic Shape, Hardware Target, CNN/ResNet, Transformer Domain, CUDA MMM, NVIDIA/TPU Memory-Tier Contracts, Compiler Knowledge Repository, Performance Model, Adaptive Pipeline Scheduling, Target Code Generation, Host-Device/NCCL Execution Responsibility, and DSC-to-SGLang Native Executable Integration</w:t>
      </w:r>
    </w:p>
    <w:p/>
    <w:p/>
    <w:p>
      <w:pPr>
        <w:pStyle w:val="SmallNote"/>
        <w:jc w:val="center"/>
      </w:pPr>
      <w:r>
        <w:t>Purpose: Define a domain-centered compiler architecture that connects domain-specific languages and applications to domain-specific systems, while supporting a Common Compiler Substrate, hierarchical domain-specific opcode namespaces, promotion policy, namespace-based extension, compiler-enforced compatibility contracts, tensor-evolution gatekeeping, data-availability-centered memory planning, deferred optimization, calibrated performance modeling, adaptive pipeline scheduling, target code generation, explicit host/device/communication execution responsibility, SGLang-native executable packaging, and portable intra-device, scale-up, and scale-out execution semantics.</w:t>
      </w:r>
    </w:p>
    <w:p/>
    <w:p/>
    <w:tbl>
      <w:tblPr>
        <w:tblStyle w:val="TableGrid"/>
        <w:tblW w:type="auto" w:w="0"/>
        <w:jc w:val="center"/>
        <w:tblLayout w:type="fixed"/>
        <w:tblLook w:firstColumn="1" w:firstRow="1" w:lastColumn="0" w:lastRow="0" w:noHBand="0" w:noVBand="1" w:val="04A0"/>
      </w:tblPr>
      <w:tblGrid>
        <w:gridCol w:w="3312"/>
        <w:gridCol w:w="3312"/>
        <w:gridCol w:w="3312"/>
      </w:tblGrid>
      <w:tr>
        <w:trPr>
          <w:cantSplit/>
          <w:tblHeader/>
          <w:cantSplit/>
          <w:tblHeader w:val="true"/>
          <w:tblHeader w:val="true"/>
        </w:trPr>
        <w:tc>
          <w:tcPr>
            <w:tcW w:type="dxa" w:w="648"/>
            <w:vAlign w:val="top"/>
            <w:shd w:fill="D9EAF7"/>
            <w:tcMar>
              <w:top w:w="10" w:type="dxa"/>
              <w:start w:w="55" w:type="dxa"/>
              <w:bottom w:w="10" w:type="dxa"/>
              <w:end w:w="55" w:type="dxa"/>
            </w:tcMar>
          </w:tcPr>
          <w:p>
            <w:pPr>
              <w:spacing w:before="0" w:after="0" w:line="240" w:lineRule="auto"/>
              <w:jc w:val="left"/>
            </w:pPr>
            <w:r>
              <w:rPr>
                <w:rFonts w:ascii="Aptos" w:hAnsi="Aptos"/>
                <w:b/>
                <w:sz w:val="16"/>
              </w:rPr>
              <w:t>Chapter</w:t>
            </w:r>
          </w:p>
        </w:tc>
        <w:tc>
          <w:tcPr>
            <w:tcW w:type="dxa" w:w="3240"/>
            <w:vAlign w:val="top"/>
            <w:shd w:fill="D9EAF7"/>
            <w:tcMar>
              <w:top w:w="10" w:type="dxa"/>
              <w:start w:w="55" w:type="dxa"/>
              <w:bottom w:w="10" w:type="dxa"/>
              <w:end w:w="55" w:type="dxa"/>
            </w:tcMar>
          </w:tcPr>
          <w:p>
            <w:pPr>
              <w:spacing w:before="0" w:after="0" w:line="240" w:lineRule="auto"/>
            </w:pPr>
            <w:r>
              <w:rPr>
                <w:rFonts w:ascii="Aptos" w:hAnsi="Aptos"/>
                <w:b/>
                <w:sz w:val="16"/>
              </w:rPr>
              <w:t>Title</w:t>
            </w:r>
          </w:p>
        </w:tc>
        <w:tc>
          <w:tcPr>
            <w:tcW w:type="dxa" w:w="5688"/>
            <w:vAlign w:val="top"/>
            <w:shd w:fill="D9EAF7"/>
            <w:tcMar>
              <w:top w:w="10" w:type="dxa"/>
              <w:start w:w="55" w:type="dxa"/>
              <w:bottom w:w="10" w:type="dxa"/>
              <w:end w:w="55" w:type="dxa"/>
            </w:tcMar>
          </w:tcPr>
          <w:p>
            <w:pPr>
              <w:spacing w:before="0" w:after="0" w:line="240" w:lineRule="auto"/>
            </w:pPr>
            <w:r>
              <w:rPr>
                <w:rFonts w:ascii="Aptos" w:hAnsi="Aptos"/>
                <w:b/>
                <w:sz w:val="16"/>
              </w:rPr>
              <w:t>Purpose</w:t>
            </w:r>
          </w:p>
        </w:tc>
      </w:tr>
      <w:tr>
        <w:trPr>
          <w:cantSplit/>
          <w:cantSplit/>
        </w:trPr>
        <w:tc>
          <w:tcPr>
            <w:tcW w:type="dxa" w:w="648"/>
            <w:vAlign w:val="top"/>
            <w:tcMar>
              <w:top w:w="10" w:type="dxa"/>
              <w:start w:w="55" w:type="dxa"/>
              <w:bottom w:w="10" w:type="dxa"/>
              <w:end w:w="55" w:type="dxa"/>
            </w:tcMar>
          </w:tcPr>
          <w:p>
            <w:pPr>
              <w:spacing w:before="0" w:after="0" w:line="240" w:lineRule="auto"/>
              <w:jc w:val="left"/>
            </w:pPr>
            <w:r>
              <w:rPr>
                <w:rFonts w:ascii="Aptos" w:hAnsi="Aptos"/>
                <w:b w:val="0"/>
                <w:sz w:val="16"/>
              </w:rPr>
              <w:t>1</w:t>
            </w:r>
          </w:p>
        </w:tc>
        <w:tc>
          <w:tcPr>
            <w:tcW w:type="dxa" w:w="3240"/>
            <w:vAlign w:val="top"/>
            <w:tcMar>
              <w:top w:w="10" w:type="dxa"/>
              <w:start w:w="55" w:type="dxa"/>
              <w:bottom w:w="10" w:type="dxa"/>
              <w:end w:w="55" w:type="dxa"/>
            </w:tcMar>
          </w:tcPr>
          <w:p>
            <w:pPr>
              <w:spacing w:before="0" w:after="0" w:line="240" w:lineRule="auto"/>
            </w:pPr>
            <w:r>
              <w:rPr>
                <w:rFonts w:ascii="Aptos" w:hAnsi="Aptos"/>
                <w:b w:val="0"/>
                <w:sz w:val="16"/>
              </w:rPr>
              <w:t>Vision and Motivation</w:t>
            </w:r>
          </w:p>
        </w:tc>
        <w:tc>
          <w:tcPr>
            <w:tcW w:type="dxa" w:w="5688"/>
            <w:vAlign w:val="top"/>
            <w:tcMar>
              <w:top w:w="10" w:type="dxa"/>
              <w:start w:w="55" w:type="dxa"/>
              <w:bottom w:w="10" w:type="dxa"/>
              <w:end w:w="55" w:type="dxa"/>
            </w:tcMar>
          </w:tcPr>
          <w:p>
            <w:pPr>
              <w:spacing w:after="0" w:before="0" w:line="240" w:lineRule="auto"/>
            </w:pPr>
            <w:r>
              <w:rPr>
                <w:rFonts w:ascii="Aptos" w:hAnsi="Aptos"/>
                <w:b w:val="0"/>
                <w:sz w:val="16"/>
              </w:rPr>
              <w:t>Explain the domain-centered compiler vision.</w:t>
            </w:r>
          </w:p>
        </w:tc>
      </w:tr>
      <w:tr>
        <w:trPr>
          <w:cantSplit/>
          <w:cantSplit/>
        </w:trPr>
        <w:tc>
          <w:tcPr>
            <w:tcW w:type="dxa" w:w="648"/>
            <w:vAlign w:val="top"/>
            <w:tcMar>
              <w:top w:w="10" w:type="dxa"/>
              <w:start w:w="55" w:type="dxa"/>
              <w:bottom w:w="10" w:type="dxa"/>
              <w:end w:w="55" w:type="dxa"/>
            </w:tcMar>
          </w:tcPr>
          <w:p>
            <w:pPr>
              <w:spacing w:before="0" w:after="0" w:line="240" w:lineRule="auto"/>
              <w:jc w:val="left"/>
            </w:pPr>
            <w:r>
              <w:rPr>
                <w:rFonts w:ascii="Aptos" w:hAnsi="Aptos"/>
                <w:b w:val="0"/>
                <w:sz w:val="16"/>
              </w:rPr>
              <w:t>2</w:t>
            </w:r>
          </w:p>
        </w:tc>
        <w:tc>
          <w:tcPr>
            <w:tcW w:type="dxa" w:w="3240"/>
            <w:vAlign w:val="top"/>
            <w:tcMar>
              <w:top w:w="10" w:type="dxa"/>
              <w:start w:w="55" w:type="dxa"/>
              <w:bottom w:w="10" w:type="dxa"/>
              <w:end w:w="55" w:type="dxa"/>
            </w:tcMar>
          </w:tcPr>
          <w:p>
            <w:pPr>
              <w:spacing w:before="0" w:after="0" w:line="240" w:lineRule="auto"/>
            </w:pPr>
            <w:r>
              <w:rPr>
                <w:rFonts w:ascii="Aptos" w:hAnsi="Aptos"/>
                <w:b w:val="0"/>
                <w:sz w:val="16"/>
              </w:rPr>
              <w:t>Domain-Specific Compiler IR Architecture</w:t>
            </w:r>
          </w:p>
        </w:tc>
        <w:tc>
          <w:tcPr>
            <w:tcW w:type="dxa" w:w="5688"/>
            <w:vAlign w:val="top"/>
            <w:tcMar>
              <w:top w:w="10" w:type="dxa"/>
              <w:start w:w="55" w:type="dxa"/>
              <w:bottom w:w="10" w:type="dxa"/>
              <w:end w:w="55" w:type="dxa"/>
            </w:tcMar>
          </w:tcPr>
          <w:p>
            <w:pPr>
              <w:spacing w:after="0" w:before="0" w:line="240" w:lineRule="auto"/>
            </w:pPr>
            <w:r>
              <w:rPr>
                <w:rFonts w:ascii="Aptos" w:hAnsi="Aptos"/>
                <w:b w:val="0"/>
                <w:sz w:val="16"/>
              </w:rPr>
              <w:t>Define IR layers from application intent to execution.</w:t>
            </w:r>
          </w:p>
        </w:tc>
      </w:tr>
      <w:tr>
        <w:trPr>
          <w:cantSplit/>
          <w:cantSplit/>
        </w:trPr>
        <w:tc>
          <w:tcPr>
            <w:tcW w:type="dxa" w:w="648"/>
            <w:vAlign w:val="top"/>
            <w:tcMar>
              <w:top w:w="10" w:type="dxa"/>
              <w:start w:w="55" w:type="dxa"/>
              <w:bottom w:w="10" w:type="dxa"/>
              <w:end w:w="55" w:type="dxa"/>
            </w:tcMar>
          </w:tcPr>
          <w:p>
            <w:pPr>
              <w:spacing w:before="0" w:after="0" w:line="240" w:lineRule="auto"/>
              <w:jc w:val="left"/>
            </w:pPr>
            <w:r>
              <w:rPr>
                <w:rFonts w:ascii="Aptos" w:hAnsi="Aptos"/>
                <w:b w:val="0"/>
                <w:sz w:val="16"/>
              </w:rPr>
              <w:t>3</w:t>
            </w:r>
          </w:p>
        </w:tc>
        <w:tc>
          <w:tcPr>
            <w:tcW w:type="dxa" w:w="3240"/>
            <w:vAlign w:val="top"/>
            <w:tcMar>
              <w:top w:w="10" w:type="dxa"/>
              <w:start w:w="55" w:type="dxa"/>
              <w:bottom w:w="10" w:type="dxa"/>
              <w:end w:w="55" w:type="dxa"/>
            </w:tcMar>
          </w:tcPr>
          <w:p>
            <w:pPr>
              <w:spacing w:before="0" w:after="0" w:line="240" w:lineRule="auto"/>
            </w:pPr>
            <w:r>
              <w:rPr>
                <w:rFonts w:ascii="Aptos" w:hAnsi="Aptos"/>
                <w:b w:val="0"/>
                <w:sz w:val="16"/>
              </w:rPr>
              <w:t>Namespace-Based Hierarchical Domain and Sub-Domain Mechanism</w:t>
            </w:r>
          </w:p>
        </w:tc>
        <w:tc>
          <w:tcPr>
            <w:tcW w:type="dxa" w:w="5688"/>
            <w:vAlign w:val="top"/>
            <w:tcMar>
              <w:top w:w="10" w:type="dxa"/>
              <w:start w:w="55" w:type="dxa"/>
              <w:bottom w:w="10" w:type="dxa"/>
              <w:end w:w="55" w:type="dxa"/>
            </w:tcMar>
          </w:tcPr>
          <w:p>
            <w:pPr>
              <w:spacing w:after="0" w:before="0" w:line="240" w:lineRule="auto"/>
            </w:pPr>
            <w:r>
              <w:rPr>
                <w:rFonts w:ascii="Aptos" w:hAnsi="Aptos"/>
                <w:b w:val="0"/>
                <w:sz w:val="16"/>
              </w:rPr>
              <w:t>Define namespaces, registries, and contracts.</w:t>
            </w:r>
          </w:p>
        </w:tc>
      </w:tr>
      <w:tr>
        <w:trPr>
          <w:cantSplit/>
          <w:cantSplit/>
        </w:trPr>
        <w:tc>
          <w:tcPr>
            <w:tcW w:type="dxa" w:w="648"/>
            <w:vAlign w:val="top"/>
            <w:tcMar>
              <w:top w:w="10" w:type="dxa"/>
              <w:start w:w="55" w:type="dxa"/>
              <w:bottom w:w="10" w:type="dxa"/>
              <w:end w:w="55" w:type="dxa"/>
            </w:tcMar>
          </w:tcPr>
          <w:p>
            <w:pPr>
              <w:spacing w:before="0" w:after="0" w:line="240" w:lineRule="auto"/>
              <w:jc w:val="left"/>
            </w:pPr>
            <w:r>
              <w:rPr>
                <w:rFonts w:ascii="Aptos" w:hAnsi="Aptos"/>
                <w:b w:val="0"/>
                <w:sz w:val="16"/>
              </w:rPr>
              <w:t>4</w:t>
            </w:r>
          </w:p>
        </w:tc>
        <w:tc>
          <w:tcPr>
            <w:tcW w:type="dxa" w:w="3240"/>
            <w:vAlign w:val="top"/>
            <w:tcMar>
              <w:top w:w="10" w:type="dxa"/>
              <w:start w:w="55" w:type="dxa"/>
              <w:bottom w:w="10" w:type="dxa"/>
              <w:end w:w="55" w:type="dxa"/>
            </w:tcMar>
          </w:tcPr>
          <w:p>
            <w:pPr>
              <w:spacing w:before="0" w:after="0" w:line="240" w:lineRule="auto"/>
            </w:pPr>
            <w:r>
              <w:rPr>
                <w:rFonts w:ascii="Aptos" w:hAnsi="Aptos"/>
                <w:b w:val="0"/>
                <w:sz w:val="16"/>
              </w:rPr>
              <w:t>Contract-Carrying Compilation and Gatekeeper Verification</w:t>
            </w:r>
          </w:p>
        </w:tc>
        <w:tc>
          <w:tcPr>
            <w:tcW w:type="dxa" w:w="5688"/>
            <w:vAlign w:val="top"/>
            <w:tcMar>
              <w:top w:w="10" w:type="dxa"/>
              <w:start w:w="55" w:type="dxa"/>
              <w:bottom w:w="10" w:type="dxa"/>
              <w:end w:w="55" w:type="dxa"/>
            </w:tcMar>
          </w:tcPr>
          <w:p>
            <w:pPr>
              <w:spacing w:after="0" w:before="0" w:line="240" w:lineRule="auto"/>
            </w:pPr>
            <w:r>
              <w:rPr>
                <w:rFonts w:ascii="Aptos" w:hAnsi="Aptos"/>
                <w:b w:val="0"/>
                <w:sz w:val="16"/>
              </w:rPr>
              <w:t>Define compiler gatekeeper verification.</w:t>
            </w:r>
          </w:p>
        </w:tc>
      </w:tr>
      <w:tr>
        <w:trPr>
          <w:cantSplit/>
          <w:cantSplit/>
        </w:trPr>
        <w:tc>
          <w:tcPr>
            <w:tcW w:type="dxa" w:w="648"/>
            <w:vAlign w:val="top"/>
            <w:tcMar>
              <w:top w:w="10" w:type="dxa"/>
              <w:start w:w="55" w:type="dxa"/>
              <w:bottom w:w="10" w:type="dxa"/>
              <w:end w:w="55" w:type="dxa"/>
            </w:tcMar>
          </w:tcPr>
          <w:p>
            <w:pPr>
              <w:spacing w:before="0" w:after="0" w:line="240" w:lineRule="auto"/>
              <w:jc w:val="left"/>
            </w:pPr>
            <w:r>
              <w:rPr>
                <w:rFonts w:ascii="Aptos" w:hAnsi="Aptos"/>
                <w:b w:val="0"/>
                <w:sz w:val="16"/>
              </w:rPr>
              <w:t>5</w:t>
            </w:r>
          </w:p>
        </w:tc>
        <w:tc>
          <w:tcPr>
            <w:tcW w:type="dxa" w:w="3240"/>
            <w:vAlign w:val="top"/>
            <w:tcMar>
              <w:top w:w="10" w:type="dxa"/>
              <w:start w:w="55" w:type="dxa"/>
              <w:bottom w:w="10" w:type="dxa"/>
              <w:end w:w="55" w:type="dxa"/>
            </w:tcMar>
          </w:tcPr>
          <w:p>
            <w:pPr>
              <w:spacing w:before="0" w:after="0" w:line="240" w:lineRule="auto"/>
            </w:pPr>
            <w:r>
              <w:rPr>
                <w:rFonts w:ascii="Aptos" w:hAnsi="Aptos"/>
                <w:b w:val="0"/>
                <w:sz w:val="16"/>
              </w:rPr>
              <w:t>Performance Portability Through Compiler-Selected Parallelization</w:t>
            </w:r>
          </w:p>
        </w:tc>
        <w:tc>
          <w:tcPr>
            <w:tcW w:type="dxa" w:w="5688"/>
            <w:vAlign w:val="top"/>
            <w:tcMar>
              <w:top w:w="10" w:type="dxa"/>
              <w:start w:w="55" w:type="dxa"/>
              <w:bottom w:w="10" w:type="dxa"/>
              <w:end w:w="55" w:type="dxa"/>
            </w:tcMar>
          </w:tcPr>
          <w:p>
            <w:pPr>
              <w:spacing w:after="0" w:before="0" w:line="240" w:lineRule="auto"/>
            </w:pPr>
            <w:r>
              <w:rPr>
                <w:rFonts w:ascii="Aptos" w:hAnsi="Aptos"/>
                <w:b w:val="0"/>
                <w:sz w:val="16"/>
              </w:rPr>
              <w:t>Define compiler-selected parallelization and sharding.</w:t>
            </w:r>
          </w:p>
        </w:tc>
      </w:tr>
      <w:tr>
        <w:trPr>
          <w:cantSplit/>
        </w:trPr>
        <w:tc>
          <w:tcPr>
            <w:tcW w:type="dxa" w:w="648"/>
            <w:vAlign w:val="top"/>
            <w:tcMar>
              <w:top w:w="10" w:type="dxa"/>
              <w:start w:w="55" w:type="dxa"/>
              <w:bottom w:w="10" w:type="dxa"/>
              <w:end w:w="55" w:type="dxa"/>
            </w:tcMar>
          </w:tcPr>
          <w:p>
            <w:pPr>
              <w:spacing w:before="0" w:after="0" w:line="240" w:lineRule="auto"/>
              <w:jc w:val="left"/>
            </w:pPr>
            <w:r>
              <w:rPr>
                <w:rFonts w:ascii="Aptos" w:hAnsi="Aptos"/>
                <w:b w:val="0"/>
                <w:sz w:val="16"/>
              </w:rPr>
              <w:t>6</w:t>
            </w:r>
          </w:p>
        </w:tc>
        <w:tc>
          <w:tcPr>
            <w:tcW w:type="dxa" w:w="3240"/>
            <w:vAlign w:val="top"/>
            <w:tcMar>
              <w:top w:w="10" w:type="dxa"/>
              <w:start w:w="55" w:type="dxa"/>
              <w:bottom w:w="10" w:type="dxa"/>
              <w:end w:w="55" w:type="dxa"/>
            </w:tcMar>
          </w:tcPr>
          <w:p>
            <w:pPr>
              <w:spacing w:before="0" w:after="0" w:line="240" w:lineRule="auto"/>
            </w:pPr>
            <w:r>
              <w:rPr>
                <w:rFonts w:ascii="Aptos" w:hAnsi="Aptos"/>
                <w:b w:val="0"/>
                <w:sz w:val="16"/>
              </w:rPr>
              <w:t>Common Compiler Substrate Opcode Architecture and Promotion Policy</w:t>
            </w:r>
          </w:p>
        </w:tc>
        <w:tc>
          <w:tcPr>
            <w:tcW w:type="dxa" w:w="5688"/>
            <w:vAlign w:val="top"/>
            <w:tcMar>
              <w:top w:w="10" w:type="dxa"/>
              <w:start w:w="55" w:type="dxa"/>
              <w:bottom w:w="10" w:type="dxa"/>
              <w:end w:w="55" w:type="dxa"/>
            </w:tcMar>
          </w:tcPr>
          <w:p>
            <w:pPr>
              <w:spacing w:after="0" w:before="0" w:line="240" w:lineRule="auto"/>
            </w:pPr>
            <w:r>
              <w:rPr>
                <w:rFonts w:ascii="Aptos" w:hAnsi="Aptos"/>
                <w:b w:val="0"/>
                <w:sz w:val="16"/>
              </w:rPr>
              <w:t>Define common opcode levels and promotion policy.</w:t>
            </w:r>
          </w:p>
        </w:tc>
      </w:tr>
      <w:tr>
        <w:trPr>
          <w:cantSplit/>
        </w:trPr>
        <w:tc>
          <w:tcPr>
            <w:tcW w:type="dxa" w:w="648"/>
            <w:vAlign w:val="top"/>
            <w:tcMar>
              <w:top w:w="10" w:type="dxa"/>
              <w:start w:w="55" w:type="dxa"/>
              <w:bottom w:w="10" w:type="dxa"/>
              <w:end w:w="55" w:type="dxa"/>
            </w:tcMar>
          </w:tcPr>
          <w:p>
            <w:pPr>
              <w:spacing w:before="0" w:after="0" w:line="240" w:lineRule="auto"/>
              <w:jc w:val="left"/>
            </w:pPr>
            <w:r>
              <w:rPr>
                <w:rFonts w:ascii="Aptos" w:hAnsi="Aptos"/>
                <w:b w:val="0"/>
                <w:sz w:val="16"/>
              </w:rPr>
              <w:t>7</w:t>
            </w:r>
          </w:p>
        </w:tc>
        <w:tc>
          <w:tcPr>
            <w:tcW w:type="dxa" w:w="3240"/>
            <w:vAlign w:val="top"/>
            <w:tcMar>
              <w:top w:w="10" w:type="dxa"/>
              <w:start w:w="55" w:type="dxa"/>
              <w:bottom w:w="10" w:type="dxa"/>
              <w:end w:w="55" w:type="dxa"/>
            </w:tcMar>
          </w:tcPr>
          <w:p>
            <w:pPr>
              <w:spacing w:before="0" w:after="0" w:line="240" w:lineRule="auto"/>
            </w:pPr>
            <w:r>
              <w:rPr>
                <w:rFonts w:ascii="Aptos" w:hAnsi="Aptos"/>
                <w:b w:val="0"/>
                <w:sz w:val="16"/>
              </w:rPr>
              <w:t>Python DSL to Very-High-Level WHIRL Ingestion</w:t>
            </w:r>
          </w:p>
        </w:tc>
        <w:tc>
          <w:tcPr>
            <w:tcW w:type="dxa" w:w="5688"/>
            <w:vAlign w:val="top"/>
            <w:tcMar>
              <w:top w:w="10" w:type="dxa"/>
              <w:start w:w="55" w:type="dxa"/>
              <w:bottom w:w="10" w:type="dxa"/>
              <w:end w:w="55" w:type="dxa"/>
            </w:tcMar>
          </w:tcPr>
          <w:p>
            <w:pPr>
              <w:spacing w:after="0" w:before="0" w:line="240" w:lineRule="auto"/>
            </w:pPr>
            <w:r>
              <w:rPr>
                <w:rFonts w:ascii="Aptos" w:hAnsi="Aptos"/>
                <w:b w:val="0"/>
                <w:sz w:val="16"/>
              </w:rPr>
              <w:t>Define Python DSL capture and very-high-level WHIRL ingestion.</w:t>
            </w:r>
          </w:p>
        </w:tc>
      </w:tr>
      <w:tr>
        <w:trPr>
          <w:cantSplit/>
        </w:trPr>
        <w:tc>
          <w:tcPr>
            <w:tcW w:type="dxa" w:w="648"/>
            <w:vAlign w:val="top"/>
          </w:tcPr>
          <w:p>
            <w:pPr>
              <w:spacing w:after="0" w:before="0" w:line="240" w:lineRule="auto"/>
            </w:pPr>
            <w:r>
              <w:rPr>
                <w:rFonts w:ascii="Aptos" w:hAnsi="Aptos"/>
                <w:b w:val="0"/>
                <w:sz w:val="16"/>
              </w:rPr>
              <w:t>8</w:t>
            </w:r>
          </w:p>
        </w:tc>
        <w:tc>
          <w:tcPr>
            <w:tcW w:type="dxa" w:w="3240"/>
            <w:vAlign w:val="top"/>
          </w:tcPr>
          <w:p>
            <w:pPr>
              <w:spacing w:after="0" w:before="0" w:line="240" w:lineRule="auto"/>
            </w:pPr>
            <w:r>
              <w:rPr>
                <w:rFonts w:ascii="Aptos" w:hAnsi="Aptos"/>
                <w:b w:val="0"/>
                <w:sz w:val="16"/>
              </w:rPr>
              <w:t>On-Prem LLM Post-Training and Inference Service Architecture</w:t>
            </w:r>
          </w:p>
        </w:tc>
        <w:tc>
          <w:tcPr>
            <w:tcW w:type="dxa" w:w="5688"/>
            <w:vAlign w:val="top"/>
          </w:tcPr>
          <w:p>
            <w:pPr>
              <w:spacing w:after="0" w:before="0" w:line="240" w:lineRule="auto"/>
            </w:pPr>
            <w:r>
              <w:rPr>
                <w:rFonts w:ascii="Aptos" w:hAnsi="Aptos"/>
                <w:b w:val="0"/>
                <w:sz w:val="16"/>
              </w:rPr>
              <w:t>Define on-prem LLM lifecycle architecture for inference, RL rollout, post-training, quantization, runtime planning, and gatekeeping.</w:t>
            </w:r>
          </w:p>
        </w:tc>
      </w:tr>
      <w:tr>
        <w:trPr>
          <w:cantSplit/>
        </w:trPr>
        <w:tc>
          <w:tcPr>
            <w:tcW w:type="dxa" w:w="648"/>
            <w:vAlign w:val="top"/>
          </w:tcPr>
          <w:p>
            <w:pPr>
              <w:spacing w:after="0" w:before="0" w:line="240" w:lineRule="auto"/>
            </w:pPr>
            <w:r>
              <w:rPr>
                <w:rFonts w:ascii="Aptos" w:hAnsi="Aptos"/>
                <w:b w:val="0"/>
                <w:sz w:val="16"/>
              </w:rPr>
              <w:t>9</w:t>
            </w:r>
          </w:p>
        </w:tc>
        <w:tc>
          <w:tcPr>
            <w:tcW w:type="dxa" w:w="3240"/>
            <w:vAlign w:val="top"/>
          </w:tcPr>
          <w:p>
            <w:r>
              <w:t>Holistic Tensor Memory and Data-Availability Architecture</w:t>
            </w:r>
          </w:p>
        </w:tc>
        <w:tc>
          <w:tcPr>
            <w:tcW w:type="dxa" w:w="5688"/>
            <w:vAlign w:val="center"/>
          </w:tcPr>
          <w:p>
            <w:r>
              <w:t>Define RL tensor lifecycles, durable tensor traits, availability/version state, memory hierarchy, placement, movement, quantization, and memory gatekeeping.</w:t>
            </w:r>
          </w:p>
        </w:tc>
      </w:tr>
      <w:tr>
        <w:trPr>
          <w:cantSplit/>
        </w:trPr>
        <w:tc>
          <w:tcPr>
            <w:tcW w:type="dxa" w:w="3312"/>
          </w:tcPr>
          <w:p>
            <w:r>
              <w:t>10</w:t>
            </w:r>
          </w:p>
        </w:tc>
        <w:tc>
          <w:tcPr>
            <w:tcW w:type="dxa" w:w="3312"/>
          </w:tcPr>
          <w:p>
            <w:r>
              <w:t>Compiler Knowledge and Deferred Optimization Planning</w:t>
            </w:r>
          </w:p>
        </w:tc>
        <w:tc>
          <w:tcPr>
            <w:tcW w:type="dxa" w:w="3312"/>
          </w:tcPr>
          <w:p>
            <w:r>
              <w:t>Define derived analysis facts, non-destructive optimization plans, fusion analysis views, virtual tensor states, explicit materialization, invalidation, and debugging lineage.</w:t>
            </w:r>
          </w:p>
        </w:tc>
      </w:tr>
      <w:tr>
        <w:trPr>
          <w:cantSplit/>
        </w:trPr>
        <w:tc>
          <w:tcPr>
            <w:tcW w:type="dxa" w:w="3312"/>
          </w:tcPr>
          <w:p>
            <w:r>
              <w:t>11</w:t>
            </w:r>
          </w:p>
        </w:tc>
        <w:tc>
          <w:tcPr>
            <w:tcW w:type="dxa" w:w="3312"/>
          </w:tcPr>
          <w:p>
            <w:r>
              <w:t>Performance Modeling and Adaptive Pipeline Scheduling</w:t>
            </w:r>
          </w:p>
        </w:tc>
        <w:tc>
          <w:tcPr>
            <w:tcW w:type="dxa" w:w="3312"/>
          </w:tcPr>
          <w:p>
            <w:r>
              <w:t>Define default and calibrated performance models, runtime feedback, pipeline-stage timing, starvation/backpressure analysis, variant selection, and profile-guided replanning.</w:t>
            </w:r>
          </w:p>
        </w:tc>
      </w:tr>
      <w:tr>
        <w:trPr>
          <w:cantSplit/>
        </w:trPr>
        <w:tc>
          <w:tcPr>
            <w:tcW w:type="dxa" w:w="3312"/>
          </w:tcPr>
          <w:p>
            <w:r>
              <w:t>12</w:t>
            </w:r>
          </w:p>
        </w:tc>
        <w:tc>
          <w:tcPr>
            <w:tcW w:type="dxa" w:w="3312"/>
          </w:tcPr>
          <w:p>
            <w:r>
              <w:t>Code Generation Architecture and Target Binary Production</w:t>
            </w:r>
          </w:p>
        </w:tc>
        <w:tc>
          <w:tcPr>
            <w:tcW w:type="dxa" w:w="3312"/>
          </w:tcPr>
          <w:p>
            <w:r>
              <w:t>Define the target code-generation phase through capability contracts for DeviceKernelIR, target assembly generation, native-binary finalization, library-kernel binding, provider selection, lineage, diagnostics, and replaceable implementation strategies.</w:t>
            </w:r>
          </w:p>
        </w:tc>
      </w:tr>
      <w:tr>
        <w:tc>
          <w:tcPr>
            <w:tcW w:type="dxa" w:w="3312"/>
          </w:tcPr>
          <w:p>
            <w:r>
              <w:t>13</w:t>
            </w:r>
          </w:p>
        </w:tc>
        <w:tc>
          <w:tcPr>
            <w:tcW w:type="dxa" w:w="3312"/>
          </w:tcPr>
          <w:p>
            <w:r>
              <w:t>DSC-to-SGLang Native Executable Integration Plan</w:t>
            </w:r>
          </w:p>
        </w:tc>
        <w:tc>
          <w:tcPr>
            <w:tcW w:type="dxa" w:w="3312"/>
          </w:tcPr>
          <w:p>
            <w:r>
              <w:t>Define the first runnable SGLang vertical slice, native-kernel package, correctness gates, benchmark ladder, and progressive optimization roadmap.</w:t>
            </w:r>
          </w:p>
        </w:tc>
      </w:tr>
    </w:tbl>
    <w:p/>
    <w:p>
      <w:pPr>
        <w:pStyle w:val="SmallNote"/>
        <w:jc w:val="center"/>
      </w:pPr>
      <w:r>
        <w:t>Draft date: August 19, 2026 | Version: v0.17</w:t>
      </w:r>
    </w:p>
    <w:p>
      <w:pPr>
        <w:pStyle w:val="Heading1"/>
        <w:pageBreakBefore/>
      </w:pPr>
      <w:r>
        <w:t>Document Map</w:t>
      </w:r>
    </w:p>
    <w:p>
      <w:pPr>
        <w:pStyle w:val="ListNumber"/>
      </w:pPr>
      <w:r>
        <w:t>Chapter 1. Vision and Motivation</w:t>
      </w:r>
    </w:p>
    <w:p>
      <w:pPr>
        <w:pStyle w:val="ListNumber"/>
      </w:pPr>
      <w:r>
        <w:t>Chapter 2. Domain-Specific Compiler IR Architecture</w:t>
      </w:r>
    </w:p>
    <w:p>
      <w:pPr>
        <w:pStyle w:val="ListNumber"/>
      </w:pPr>
      <w:r>
        <w:t>Chapter 3. Namespace-Based Hierarchical Domain and Sub-Domain Mechanism</w:t>
      </w:r>
    </w:p>
    <w:p>
      <w:pPr>
        <w:pStyle w:val="ListNumber"/>
      </w:pPr>
      <w:r>
        <w:t>Chapter 4. Contract-Carrying Compilation and Gatekeeper Verification</w:t>
      </w:r>
    </w:p>
    <w:p>
      <w:pPr>
        <w:pStyle w:val="ListNumber"/>
      </w:pPr>
      <w:r>
        <w:t>Chapter 5. Performance Portability Through Compiler-Selected Parallelization</w:t>
      </w:r>
    </w:p>
    <w:p>
      <w:pPr>
        <w:pStyle w:val="ListNumber"/>
      </w:pPr>
      <w:r>
        <w:t>Chapter 6. Common Compiler Substrate Opcode Architecture and Promotion Policy</w:t>
      </w:r>
    </w:p>
    <w:p>
      <w:pPr>
        <w:pStyle w:val="ListNumber"/>
      </w:pPr>
      <w:r>
        <w:t>Chapter 7. Python DSL Frontend and Very-High-Level WHIRL Ingestion Architecture</w:t>
      </w:r>
    </w:p>
    <w:p>
      <w:pPr>
        <w:pStyle w:val="ListNumber"/>
      </w:pPr>
      <w:r>
        <w:t>Chapter 8. On-Prem LLM Post-Training and Inference Service Architecture</w:t>
      </w:r>
    </w:p>
    <w:p>
      <w:pPr>
        <w:pStyle w:val="ListNumber"/>
      </w:pPr>
      <w:r>
        <w:t>Chapter 9. Holistic Tensor Memory and Data-Availability Architecture</w:t>
      </w:r>
    </w:p>
    <w:p>
      <w:pPr>
        <w:pStyle w:val="ListNumber"/>
      </w:pPr>
      <w:r>
        <w:t>Chapter 10. Compiler Knowledge and Deferred Optimization Planning</w:t>
      </w:r>
    </w:p>
    <w:p>
      <w:pPr>
        <w:pStyle w:val="ListNumber"/>
      </w:pPr>
      <w:r>
        <w:t>Chapter 11. Performance Modeling and Adaptive Pipeline Scheduling</w:t>
      </w:r>
    </w:p>
    <w:p>
      <w:pPr>
        <w:pStyle w:val="ListNumber"/>
      </w:pPr>
      <w:r>
        <w:t>Chapter 12. Code Generation Architecture and Target Binary Production</w:t>
      </w:r>
    </w:p>
    <w:p>
      <w:pPr>
        <w:pStyle w:val="ListNumber"/>
      </w:pPr>
      <w:r>
        <w:t>Chapter 13. DSC-to-SGLang Native Executable Integration Plan</w:t>
      </w:r>
    </w:p>
    <w:p>
      <w:pPr>
        <w:pStyle w:val="ListNumber"/>
      </w:pPr>
      <w:r>
        <w:t>Appendix A. Gatekeeper Construction Proposal: From Pretrained Import to Inference Certification</w:t>
      </w:r>
    </w:p>
    <w:p>
      <w:pPr>
        <w:pStyle w:val="ListNumber"/>
      </w:pPr>
      <w:r>
        <w:t>Appendix B. Compiler-to-SGLang Coverage and Integration Boundary Proposal</w:t>
      </w:r>
    </w:p>
    <w:p>
      <w:pPr>
        <w:pStyle w:val="ListNumber"/>
      </w:pPr>
      <w:r>
        <w:t>Appendix C. Hardware Target Domain and Backend Construction Proposal</w:t>
      </w:r>
    </w:p>
    <w:p>
      <w:pPr>
        <w:pStyle w:val="ListNumber"/>
      </w:pPr>
      <w:r>
        <w:t>Appendix D. Common-Lowering, Sharding, Memory Hierarchy, Tensor Traits, Dispatch/Reduce, Dynamic Shape Type System, and Dynamic Runtime IR</w:t>
      </w:r>
    </w:p>
    <w:p>
      <w:pPr>
        <w:pStyle w:val="ListNumber"/>
      </w:pPr>
      <w:r>
        <w:t>Appendix E. CNN Domain and ResNet Ingestion Opcode Set</w:t>
      </w:r>
    </w:p>
    <w:p>
      <w:pPr>
        <w:pStyle w:val="ListNumber"/>
      </w:pPr>
      <w:r>
        <w:t>Appendix F. Transformer Domain Opcode Set and Common-Op Mapping</w:t>
      </w:r>
    </w:p>
    <w:p>
      <w:pPr>
        <w:pStyle w:val="ListNumber"/>
      </w:pPr>
      <w:r>
        <w:rPr>
          <w:b w:val="0"/>
          <w:i w:val="0"/>
        </w:rPr>
        <w:t>Appendix G. Local Kernel Tensor Evolution Case Study: CUDA Matrix Multiplication</w:t>
      </w:r>
    </w:p>
    <w:p>
      <w:pPr>
        <w:pStyle w:val="ListNumber"/>
      </w:pPr>
      <w:r>
        <w:rPr>
          <w:b w:val="0"/>
          <w:i w:val="0"/>
        </w:rPr>
        <w:t>Appendix H. Bandwidth-Driven Parallelization and Memory-Tier Contracts Across NVIDIA and TPU</w:t>
      </w:r>
    </w:p>
    <w:p>
      <w:pPr>
        <w:pStyle w:val="ListNumber"/>
      </w:pPr>
      <w:r>
        <w:t>Appendix I. PyTorch/XLA StableHLO Export Pattern and Open64 WHIRL Ingestion Strategy</w:t>
      </w:r>
    </w:p>
    <w:p>
      <w:pPr>
        <w:pStyle w:val="ListNumber"/>
      </w:pPr>
      <w:r>
        <w:t>Appendix J. DSC-to-SGLang Native Kernel Packaging and CUBIN Generation</w:t>
      </w:r>
    </w:p>
    <w:p>
      <w:pPr>
        <w:pStyle w:val="ListNumber"/>
      </w:pPr>
      <w:r>
        <w:t>References</w:t>
      </w:r>
    </w:p>
    <w:p>
      <w:pPr>
        <w:pStyle w:val="Heading1"/>
        <w:pageBreakBefore/>
      </w:pPr>
      <w:r>
        <w:t>Chapter 1. Vision and Motivation</w:t>
      </w:r>
    </w:p>
    <w:p>
      <w:pPr>
        <w:pStyle w:val="Heading2"/>
      </w:pPr>
      <w:r>
        <w:t>1.1 Core Vision</w:t>
      </w:r>
    </w:p>
    <w:p>
      <w:r>
        <w:t>The central vision is to build a domain-specific compiler IR and expert system that connects domain-specific application intent to domain-specific system execution. The system should allow an application developer to express intent in the language of the domain, while allowing the compiler and runtime to preserve domain semantics, apply domain-specific optimization, and target domain-specific systems safely and efficiently.</w:t>
      </w:r>
    </w:p>
    <w:p>
      <w:r>
        <w:t>The architecture is grounded in the following claim: domain is the key attribute across language, compiler, and architecture. A language expresses domain intent; the compiler preserves and transforms domain meaning; and the system or hardware executes the domain workload under concrete performance, memory, and compatibility constraints.</w:t>
      </w:r>
    </w:p>
    <w:p>
      <w:pPr>
        <w:pStyle w:val="CodeBlock"/>
      </w:pPr>
      <w:r>
        <w:rPr>
          <w:rFonts w:ascii="Consolas" w:hAnsi="Consolas" w:eastAsia="Consolas"/>
          <w:sz w:val="17"/>
        </w:rPr>
        <w:t>Domain-specific application intent</w:t>
        <w:br/>
        <w:t xml:space="preserve">    -&gt; domain-specific language / API</w:t>
        <w:br/>
        <w:t xml:space="preserve">    -&gt; domain-specific compiler IR</w:t>
        <w:br/>
        <w:t xml:space="preserve">    -&gt; domain-specific runtime and system</w:t>
        <w:br/>
        <w:t xml:space="preserve">    -&gt; domain-specific hardware or deployment environment</w:t>
      </w:r>
    </w:p>
    <w:p>
      <w:pPr>
        <w:pStyle w:val="Heading2"/>
      </w:pPr>
      <w:r>
        <w:t>1.2 Why the Domain Must Be Explicit</w:t>
      </w:r>
    </w:p>
    <w:p>
      <w:r>
        <w:t>Traditional compiler stacks often organize around programming languages, general-purpose IR layers, or target architectures. This works for broad compatibility, but it often loses the domain knowledge needed to optimize modern AI systems. Transformer inference, RL post-training, encrypted computation, tensor programs, graph-level optimization, and accelerator deployment all contain semantics that are neither purely language-level nor purely hardware-level.</w:t>
      </w:r>
    </w:p>
    <w:p>
      <w:r>
        <w:t>A domain-specific compiler must preserve facts such as tensor roles, shape constraints, checkpoint ABI, attention state semantics, generation policy, tokenizer behavior, and backend capability. If these facts are not represented explicitly, they become implicit assumptions scattered across frameworks, launch scripts, checkpoint converters, runtime flags, and human handoff documents.</w:t>
      </w:r>
    </w:p>
    <w:p>
      <w:pPr>
        <w:pStyle w:val="Heading2"/>
      </w:pPr>
      <w:r>
        <w:t>1.3 Architectural Problem</w:t>
      </w:r>
    </w:p>
    <w:p>
      <w:r>
        <w:t>Modern AI systems are increasingly assembled by multiple teams and frameworks. One team may pre-train a model in Megatron. Another may perform RL post-training with PyTorch and SGLang rollout. A third may deploy inference using SGLang or another serving framework. The model may use standard multi-head attention, grouped-query attention, mixture-of-experts, or linear attention with recurrent state. In this situation, successful deployment depends on much more than loading a checkpoint.</w:t>
      </w:r>
    </w:p>
    <w:p>
      <w:r>
        <w:t>Compatibility depends on architecture, tokenizer, chat template, weights, tensor layout, position encoding, sampling policy, runtime state semantics, logprob reproduction, and numerical tolerance. Many current tools verify local structural properties, but the end-to-end contract is still mostly implicit.</w:t>
      </w:r>
    </w:p>
    <w:p>
      <w:pPr>
        <w:pStyle w:val="Heading2"/>
      </w:pPr>
      <w:r>
        <w:t>1.4 Design Thesis</w:t>
      </w:r>
    </w:p>
    <w:p>
      <w:r>
        <w:t>The compiler should not be merely a lowering and optimization tool. It should become the semantic authority that connects domain-specific application intent to system execution. The compiler IR should carry the contracts needed for verification, lowering, optimization, runtime guards, and conformance testing.</w:t>
      </w:r>
    </w:p>
    <w:tbl>
      <w:tblPr>
        <w:tblStyle w:val="TableGrid"/>
        <w:tblW w:type="auto" w:w="0"/>
        <w:jc w:val="center"/>
        <w:tblLayout w:type="autofit"/>
        <w:tblLook w:firstColumn="1" w:firstRow="1" w:lastColumn="0" w:lastRow="0" w:noHBand="0" w:noVBand="1" w:val="04A0"/>
      </w:tblPr>
      <w:tblGrid>
        <w:gridCol w:w="4968"/>
        <w:gridCol w:w="4968"/>
      </w:tblGrid>
      <w:tr>
        <w:trPr>
          <w:cantSplit/>
          <w:tblHeader/>
          <w:cantSplit/>
          <w:tblHeader w:val="true"/>
        </w:trPr>
        <w:tc>
          <w:tcPr>
            <w:tcW w:type="dxa" w:w="2880"/>
            <w:vAlign w:val="top"/>
            <w:shd w:fill="D9EAF7"/>
          </w:tcPr>
          <w:p>
            <w:pPr>
              <w:spacing w:after="0"/>
            </w:pPr>
            <w:r/>
            <w:r>
              <w:rPr>
                <w:b/>
                <w:sz w:val="18"/>
              </w:rPr>
              <w:t>Design principle</w:t>
            </w:r>
          </w:p>
        </w:tc>
        <w:tc>
          <w:tcPr>
            <w:tcW w:type="dxa" w:w="8064"/>
            <w:vAlign w:val="top"/>
            <w:shd w:fill="D9EAF7"/>
          </w:tcPr>
          <w:p>
            <w:pPr>
              <w:spacing w:after="0"/>
            </w:pPr>
            <w:r/>
            <w:r>
              <w:rPr>
                <w:b/>
                <w:sz w:val="18"/>
              </w:rPr>
              <w:t>Meaning</w:t>
            </w:r>
          </w:p>
        </w:tc>
      </w:tr>
      <w:tr>
        <w:trPr>
          <w:cantSplit/>
          <w:cantSplit/>
        </w:trPr>
        <w:tc>
          <w:tcPr>
            <w:tcW w:type="dxa" w:w="2880"/>
            <w:vAlign w:val="top"/>
          </w:tcPr>
          <w:p>
            <w:pPr>
              <w:spacing w:after="0"/>
            </w:pPr>
            <w:r/>
            <w:r>
              <w:rPr>
                <w:b w:val="0"/>
                <w:sz w:val="18"/>
              </w:rPr>
              <w:t>Domain-centered organization</w:t>
            </w:r>
          </w:p>
        </w:tc>
        <w:tc>
          <w:tcPr>
            <w:tcW w:type="dxa" w:w="8064"/>
            <w:vAlign w:val="top"/>
          </w:tcPr>
          <w:p>
            <w:pPr>
              <w:spacing w:after="0"/>
            </w:pPr>
            <w:r/>
            <w:r>
              <w:rPr>
                <w:b w:val="0"/>
                <w:sz w:val="18"/>
              </w:rPr>
              <w:t>Compiler abstractions are organized around domain semantics rather than only source language or target hardware.</w:t>
            </w:r>
          </w:p>
        </w:tc>
      </w:tr>
      <w:tr>
        <w:trPr>
          <w:cantSplit/>
          <w:cantSplit/>
        </w:trPr>
        <w:tc>
          <w:tcPr>
            <w:tcW w:type="dxa" w:w="2880"/>
            <w:vAlign w:val="top"/>
          </w:tcPr>
          <w:p>
            <w:pPr>
              <w:spacing w:after="0"/>
            </w:pPr>
            <w:r/>
            <w:r>
              <w:rPr>
                <w:b w:val="0"/>
                <w:sz w:val="18"/>
              </w:rPr>
              <w:t>Contract-carrying IR</w:t>
            </w:r>
          </w:p>
        </w:tc>
        <w:tc>
          <w:tcPr>
            <w:tcW w:type="dxa" w:w="8064"/>
            <w:vAlign w:val="top"/>
          </w:tcPr>
          <w:p>
            <w:pPr>
              <w:spacing w:after="0"/>
            </w:pPr>
            <w:r/>
            <w:r>
              <w:rPr>
                <w:b w:val="0"/>
                <w:sz w:val="18"/>
              </w:rPr>
              <w:t>The IR carries compatibility contracts, not just operations and types.</w:t>
            </w:r>
          </w:p>
        </w:tc>
      </w:tr>
      <w:tr>
        <w:trPr>
          <w:cantSplit/>
          <w:cantSplit/>
        </w:trPr>
        <w:tc>
          <w:tcPr>
            <w:tcW w:type="dxa" w:w="2880"/>
            <w:vAlign w:val="top"/>
          </w:tcPr>
          <w:p>
            <w:pPr>
              <w:spacing w:after="0"/>
            </w:pPr>
            <w:r/>
            <w:r>
              <w:rPr>
                <w:b w:val="0"/>
                <w:sz w:val="18"/>
              </w:rPr>
              <w:t>Sub-domain structure</w:t>
            </w:r>
          </w:p>
        </w:tc>
        <w:tc>
          <w:tcPr>
            <w:tcW w:type="dxa" w:w="8064"/>
            <w:vAlign w:val="top"/>
          </w:tcPr>
          <w:p>
            <w:pPr>
              <w:spacing w:after="0"/>
            </w:pPr>
            <w:r/>
            <w:r>
              <w:rPr>
                <w:b w:val="0"/>
                <w:sz w:val="18"/>
              </w:rPr>
              <w:t>A domain may contain execution-specific sub-domains such as pre-training, RL rollout, and inference.</w:t>
            </w:r>
          </w:p>
        </w:tc>
      </w:tr>
      <w:tr>
        <w:trPr>
          <w:cantSplit/>
          <w:cantSplit/>
        </w:trPr>
        <w:tc>
          <w:tcPr>
            <w:tcW w:type="dxa" w:w="2880"/>
            <w:vAlign w:val="top"/>
          </w:tcPr>
          <w:p>
            <w:pPr>
              <w:spacing w:after="0"/>
            </w:pPr>
            <w:r/>
            <w:r>
              <w:rPr>
                <w:b w:val="0"/>
                <w:sz w:val="18"/>
              </w:rPr>
              <w:t>Namespace-based extension</w:t>
            </w:r>
          </w:p>
        </w:tc>
        <w:tc>
          <w:tcPr>
            <w:tcW w:type="dxa" w:w="8064"/>
            <w:vAlign w:val="top"/>
          </w:tcPr>
          <w:p>
            <w:pPr>
              <w:spacing w:after="0"/>
            </w:pPr>
            <w:r/>
            <w:r>
              <w:rPr>
                <w:b w:val="0"/>
                <w:sz w:val="18"/>
              </w:rPr>
              <w:t>Simple namespaces provide modular identity and ownership boundaries.</w:t>
            </w:r>
          </w:p>
        </w:tc>
      </w:tr>
      <w:tr>
        <w:trPr>
          <w:cantSplit/>
          <w:cantSplit/>
        </w:trPr>
        <w:tc>
          <w:tcPr>
            <w:tcW w:type="dxa" w:w="2880"/>
            <w:vAlign w:val="top"/>
          </w:tcPr>
          <w:p>
            <w:pPr>
              <w:spacing w:after="0"/>
            </w:pPr>
            <w:r/>
            <w:r>
              <w:rPr>
                <w:b w:val="0"/>
                <w:sz w:val="18"/>
              </w:rPr>
              <w:t>Compiler gatekeeper</w:t>
            </w:r>
          </w:p>
        </w:tc>
        <w:tc>
          <w:tcPr>
            <w:tcW w:type="dxa" w:w="8064"/>
            <w:vAlign w:val="top"/>
          </w:tcPr>
          <w:p>
            <w:pPr>
              <w:spacing w:after="0"/>
            </w:pPr>
            <w:r/>
            <w:r>
              <w:rPr>
                <w:b w:val="0"/>
                <w:sz w:val="18"/>
              </w:rPr>
              <w:t>The compiler verifies compatibility before deployment and emits actionable diagnostics.</w:t>
            </w:r>
          </w:p>
        </w:tc>
      </w:tr>
    </w:tbl>
    <w:p/>
    <w:p>
      <w:pPr>
        <w:pStyle w:val="Heading2"/>
      </w:pPr>
      <w:r>
        <w:t>1.5 Goals and Non-Goals</w:t>
      </w:r>
    </w:p>
    <w:tbl>
      <w:tblPr>
        <w:tblStyle w:val="TableGrid"/>
        <w:tblW w:type="auto" w:w="0"/>
        <w:jc w:val="center"/>
        <w:tblLayout w:type="autofit"/>
        <w:tblLook w:firstColumn="1" w:firstRow="1" w:lastColumn="0" w:lastRow="0" w:noHBand="0" w:noVBand="1" w:val="04A0"/>
      </w:tblPr>
      <w:tblGrid>
        <w:gridCol w:w="4968"/>
        <w:gridCol w:w="4968"/>
      </w:tblGrid>
      <w:tr>
        <w:trPr>
          <w:cantSplit/>
          <w:tblHeader/>
          <w:cantSplit/>
          <w:tblHeader w:val="true"/>
        </w:trPr>
        <w:tc>
          <w:tcPr>
            <w:tcW w:type="dxa" w:w="1872"/>
            <w:vAlign w:val="top"/>
            <w:shd w:fill="D9EAF7"/>
          </w:tcPr>
          <w:p>
            <w:pPr>
              <w:spacing w:after="0"/>
            </w:pPr>
            <w:r/>
            <w:r>
              <w:rPr>
                <w:b/>
                <w:sz w:val="18"/>
              </w:rPr>
              <w:t>Category</w:t>
            </w:r>
          </w:p>
        </w:tc>
        <w:tc>
          <w:tcPr>
            <w:tcW w:type="dxa" w:w="9072"/>
            <w:vAlign w:val="top"/>
            <w:shd w:fill="D9EAF7"/>
          </w:tcPr>
          <w:p>
            <w:pPr>
              <w:spacing w:after="0"/>
            </w:pPr>
            <w:r/>
            <w:r>
              <w:rPr>
                <w:b/>
                <w:sz w:val="18"/>
              </w:rPr>
              <w:t>Scope</w:t>
            </w:r>
          </w:p>
        </w:tc>
      </w:tr>
      <w:tr>
        <w:trPr>
          <w:cantSplit/>
          <w:cantSplit/>
        </w:trPr>
        <w:tc>
          <w:tcPr>
            <w:tcW w:type="dxa" w:w="1872"/>
            <w:vAlign w:val="top"/>
          </w:tcPr>
          <w:p>
            <w:pPr>
              <w:spacing w:after="0"/>
            </w:pPr>
            <w:r/>
            <w:r>
              <w:rPr>
                <w:b w:val="0"/>
                <w:sz w:val="18"/>
              </w:rPr>
              <w:t>Goals</w:t>
            </w:r>
          </w:p>
        </w:tc>
        <w:tc>
          <w:tcPr>
            <w:tcW w:type="dxa" w:w="9072"/>
            <w:vAlign w:val="top"/>
          </w:tcPr>
          <w:p>
            <w:pPr>
              <w:spacing w:after="0"/>
            </w:pPr>
            <w:r/>
            <w:r>
              <w:rPr>
                <w:b w:val="0"/>
                <w:sz w:val="18"/>
              </w:rPr>
              <w:t>Represent domain semantics; organize sub-domains; verify cross-phase compatibility; support extensibility by partners; generate runtime guards and conformance tests; expose actionable diagnostics.</w:t>
            </w:r>
          </w:p>
        </w:tc>
      </w:tr>
      <w:tr>
        <w:trPr>
          <w:cantSplit/>
          <w:cantSplit/>
        </w:trPr>
        <w:tc>
          <w:tcPr>
            <w:tcW w:type="dxa" w:w="1872"/>
            <w:vAlign w:val="top"/>
          </w:tcPr>
          <w:p>
            <w:pPr>
              <w:spacing w:after="0"/>
            </w:pPr>
            <w:r/>
            <w:r>
              <w:rPr>
                <w:b w:val="0"/>
                <w:sz w:val="18"/>
              </w:rPr>
              <w:t>Non-goals</w:t>
            </w:r>
          </w:p>
        </w:tc>
        <w:tc>
          <w:tcPr>
            <w:tcW w:type="dxa" w:w="9072"/>
            <w:vAlign w:val="top"/>
          </w:tcPr>
          <w:p>
            <w:pPr>
              <w:spacing w:after="0"/>
            </w:pPr>
            <w:r/>
            <w:r>
              <w:rPr>
                <w:b w:val="0"/>
                <w:sz w:val="18"/>
              </w:rPr>
              <w:t>Replace all training frameworks, all serving engines, or all evaluation systems; prove model quality, safety, or alignment; eliminate the need for benchmark and human evaluation.</w:t>
            </w:r>
          </w:p>
        </w:tc>
      </w:tr>
    </w:tbl>
    <w:p/>
    <w:p>
      <w:pPr>
        <w:pStyle w:val="Heading2"/>
      </w:pPr>
      <w:r>
        <w:t>1.6 Transformer as a Motivating Case</w:t>
      </w:r>
    </w:p>
    <w:p>
      <w:r>
        <w:t>The Transformer lifecycle illustrates the need for this architecture. The forward computation is shared across pre-training, RL post-training, and inference, but each phase adds different system obligations. Pre-training needs gradients, optimizer state, activation checkpointing, and distributed collectives. RL post-training needs rollout generation, old-policy logprobs, reward input, KL control, and actor-reference consistency. Inference needs prefill/decode scheduling, cache or state reuse, sampling, streaming, and service-level constraints.</w:t>
      </w:r>
    </w:p>
    <w:p>
      <w:r>
        <w:t>A flat Transformer domain would be too broad. Three unrelated domains would duplicate semantics and create drift. The better architecture is one shared Transformer semantic domain with phase-specific execution sub-domains.</w:t>
      </w:r>
    </w:p>
    <w:p>
      <w:pPr>
        <w:pStyle w:val="CodeBlock"/>
      </w:pPr>
      <w:r>
        <w:rPr>
          <w:rFonts w:ascii="Consolas" w:hAnsi="Consolas" w:eastAsia="Consolas"/>
          <w:sz w:val="17"/>
        </w:rPr>
        <w:t>Transformer Semantic Domain</w:t>
        <w:br/>
        <w:t xml:space="preserve">  + Pre-Training Execution Sub-domain</w:t>
        <w:br/>
        <w:t xml:space="preserve">  + RL Post-Training Execution Sub-domain</w:t>
        <w:br/>
        <w:t xml:space="preserve">  + Inference Serving Sub-domain</w:t>
        <w:br/>
        <w:t xml:space="preserve">  + Checkpoint / Model ABI Sub-domain</w:t>
        <w:br/>
        <w:t xml:space="preserve">  + Runtime State Sub-domain</w:t>
      </w:r>
    </w:p>
    <w:p>
      <w:pPr>
        <w:pStyle w:val="Heading1"/>
        <w:pageBreakBefore/>
      </w:pPr>
      <w:r>
        <w:t>Chapter 2. Domain-Specific Compiler IR Architecture</w:t>
      </w:r>
    </w:p>
    <w:p>
      <w:pPr>
        <w:pStyle w:val="Heading2"/>
      </w:pPr>
      <w:r>
        <w:t>2.1 Role of the Domain-Specific IR</w:t>
      </w:r>
    </w:p>
    <w:p>
      <w:r>
        <w:t>The domain-specific compiler IR is the semantic bridge between the application layer and the system layer. It must carry enough information to preserve domain meaning while supporting transformation, optimization, lowering, and verification. For AI systems, this means the IR must represent tensor computation, model structure, dynamic shapes, runtime state, checkpoint mapping, generation behavior, backend constraints, and conformance requirements.</w:t>
      </w:r>
    </w:p>
    <w:p>
      <w:pPr>
        <w:pStyle w:val="Heading2"/>
      </w:pPr>
      <w:r>
        <w:t>2.2 Layered IR Model</w:t>
      </w:r>
    </w:p>
    <w:p>
      <w:r>
        <w:t>A single IR level is unlikely to represent all necessary concerns cleanly. The proposed architecture uses a layered IR model. Each layer owns a different kind of fact and exposes interfaces to the neighboring layers.</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tblHeader/>
          <w:cantSplit/>
          <w:tblHeader w:val="true"/>
        </w:trPr>
        <w:tc>
          <w:tcPr>
            <w:tcW w:type="dxa" w:w="2448"/>
            <w:vAlign w:val="top"/>
            <w:shd w:fill="D9EAF7"/>
          </w:tcPr>
          <w:p>
            <w:pPr>
              <w:spacing w:after="0"/>
            </w:pPr>
            <w:r/>
            <w:r>
              <w:rPr>
                <w:b/>
                <w:sz w:val="18"/>
              </w:rPr>
              <w:t>IR layer</w:t>
            </w:r>
          </w:p>
        </w:tc>
        <w:tc>
          <w:tcPr>
            <w:tcW w:type="dxa" w:w="4320"/>
            <w:vAlign w:val="top"/>
            <w:shd w:fill="D9EAF7"/>
          </w:tcPr>
          <w:p>
            <w:pPr>
              <w:spacing w:after="0"/>
            </w:pPr>
            <w:r/>
            <w:r>
              <w:rPr>
                <w:b/>
                <w:sz w:val="18"/>
              </w:rPr>
              <w:t>Primary responsibility</w:t>
            </w:r>
          </w:p>
        </w:tc>
        <w:tc>
          <w:tcPr>
            <w:tcW w:type="dxa" w:w="4176"/>
            <w:vAlign w:val="top"/>
            <w:shd w:fill="D9EAF7"/>
          </w:tcPr>
          <w:p>
            <w:pPr>
              <w:spacing w:after="0"/>
            </w:pPr>
            <w:r/>
            <w:r>
              <w:rPr>
                <w:b/>
                <w:sz w:val="18"/>
              </w:rPr>
              <w:t>Examples</w:t>
            </w:r>
          </w:p>
        </w:tc>
      </w:tr>
      <w:tr>
        <w:trPr>
          <w:cantSplit/>
          <w:cantSplit/>
        </w:trPr>
        <w:tc>
          <w:tcPr>
            <w:tcW w:type="dxa" w:w="2448"/>
            <w:vAlign w:val="top"/>
          </w:tcPr>
          <w:p>
            <w:pPr>
              <w:spacing w:after="0"/>
            </w:pPr>
            <w:r/>
            <w:r>
              <w:rPr>
                <w:b w:val="0"/>
                <w:sz w:val="18"/>
              </w:rPr>
              <w:t>Application Intent IR</w:t>
            </w:r>
          </w:p>
        </w:tc>
        <w:tc>
          <w:tcPr>
            <w:tcW w:type="dxa" w:w="4320"/>
            <w:vAlign w:val="top"/>
          </w:tcPr>
          <w:p>
            <w:pPr>
              <w:spacing w:after="0"/>
            </w:pPr>
            <w:r/>
            <w:r>
              <w:rPr>
                <w:b w:val="0"/>
                <w:sz w:val="18"/>
              </w:rPr>
              <w:t>Capture user/application-level domain intent before low-level system decisions.</w:t>
            </w:r>
          </w:p>
        </w:tc>
        <w:tc>
          <w:tcPr>
            <w:tcW w:type="dxa" w:w="4176"/>
            <w:vAlign w:val="top"/>
          </w:tcPr>
          <w:p>
            <w:pPr>
              <w:spacing w:after="0"/>
            </w:pPr>
            <w:r/>
            <w:r>
              <w:rPr>
                <w:b w:val="0"/>
                <w:sz w:val="18"/>
              </w:rPr>
              <w:t>Generate, rank, fine-tune, infer, encrypt, search, serve.</w:t>
            </w:r>
          </w:p>
        </w:tc>
      </w:tr>
      <w:tr>
        <w:trPr>
          <w:cantSplit/>
          <w:cantSplit/>
        </w:trPr>
        <w:tc>
          <w:tcPr>
            <w:tcW w:type="dxa" w:w="2448"/>
            <w:vAlign w:val="top"/>
          </w:tcPr>
          <w:p>
            <w:pPr>
              <w:spacing w:after="0"/>
            </w:pPr>
            <w:r/>
            <w:r>
              <w:rPr>
                <w:b w:val="0"/>
                <w:sz w:val="18"/>
              </w:rPr>
              <w:t>Domain Semantic IR</w:t>
            </w:r>
          </w:p>
        </w:tc>
        <w:tc>
          <w:tcPr>
            <w:tcW w:type="dxa" w:w="4320"/>
            <w:vAlign w:val="top"/>
          </w:tcPr>
          <w:p>
            <w:pPr>
              <w:spacing w:after="0"/>
            </w:pPr>
            <w:r/>
            <w:r>
              <w:rPr>
                <w:b w:val="0"/>
                <w:sz w:val="18"/>
              </w:rPr>
              <w:t>Represent domain facts that must remain stable across frameworks and phases.</w:t>
            </w:r>
          </w:p>
        </w:tc>
        <w:tc>
          <w:tcPr>
            <w:tcW w:type="dxa" w:w="4176"/>
            <w:vAlign w:val="top"/>
          </w:tcPr>
          <w:p>
            <w:pPr>
              <w:spacing w:after="0"/>
            </w:pPr>
            <w:r/>
            <w:r>
              <w:rPr>
                <w:b w:val="0"/>
                <w:sz w:val="18"/>
              </w:rPr>
              <w:t>Architecture, tensor roles, tokenizer ABI, attention semantics, checkpoint ABI.</w:t>
            </w:r>
          </w:p>
        </w:tc>
      </w:tr>
      <w:tr>
        <w:trPr>
          <w:cantSplit/>
          <w:cantSplit/>
        </w:trPr>
        <w:tc>
          <w:tcPr>
            <w:tcW w:type="dxa" w:w="2448"/>
            <w:vAlign w:val="top"/>
          </w:tcPr>
          <w:p>
            <w:pPr>
              <w:spacing w:after="0"/>
            </w:pPr>
            <w:r/>
            <w:r>
              <w:rPr>
                <w:b w:val="0"/>
                <w:sz w:val="18"/>
              </w:rPr>
              <w:t>Execution Sub-domain IR</w:t>
            </w:r>
          </w:p>
        </w:tc>
        <w:tc>
          <w:tcPr>
            <w:tcW w:type="dxa" w:w="4320"/>
            <w:vAlign w:val="top"/>
          </w:tcPr>
          <w:p>
            <w:pPr>
              <w:spacing w:after="0"/>
            </w:pPr>
            <w:r/>
            <w:r>
              <w:rPr>
                <w:b w:val="0"/>
                <w:sz w:val="18"/>
              </w:rPr>
              <w:t>Represent phase-specific behavior.</w:t>
            </w:r>
          </w:p>
        </w:tc>
        <w:tc>
          <w:tcPr>
            <w:tcW w:type="dxa" w:w="4176"/>
            <w:vAlign w:val="top"/>
          </w:tcPr>
          <w:p>
            <w:pPr>
              <w:spacing w:after="0"/>
            </w:pPr>
            <w:r/>
            <w:r>
              <w:rPr>
                <w:b w:val="0"/>
                <w:sz w:val="18"/>
              </w:rPr>
              <w:t>Pre-training backward graph, RL rollout, inference decode, reward scoring.</w:t>
            </w:r>
          </w:p>
        </w:tc>
      </w:tr>
      <w:tr>
        <w:trPr>
          <w:cantSplit/>
          <w:cantSplit/>
        </w:trPr>
        <w:tc>
          <w:tcPr>
            <w:tcW w:type="dxa" w:w="2448"/>
            <w:vAlign w:val="top"/>
          </w:tcPr>
          <w:p>
            <w:pPr>
              <w:spacing w:after="0"/>
            </w:pPr>
            <w:r/>
            <w:r>
              <w:rPr>
                <w:b w:val="0"/>
                <w:sz w:val="18"/>
              </w:rPr>
              <w:t>Runtime State IR</w:t>
            </w:r>
          </w:p>
        </w:tc>
        <w:tc>
          <w:tcPr>
            <w:tcW w:type="dxa" w:w="4320"/>
            <w:vAlign w:val="top"/>
          </w:tcPr>
          <w:p>
            <w:pPr>
              <w:spacing w:after="0"/>
            </w:pPr>
            <w:r/>
            <w:r>
              <w:rPr>
                <w:b w:val="0"/>
                <w:sz w:val="18"/>
              </w:rPr>
              <w:t>Represent persistent runtime states and their update rules.</w:t>
            </w:r>
          </w:p>
        </w:tc>
        <w:tc>
          <w:tcPr>
            <w:tcW w:type="dxa" w:w="4176"/>
            <w:vAlign w:val="top"/>
          </w:tcPr>
          <w:p>
            <w:pPr>
              <w:spacing w:after="0"/>
            </w:pPr>
            <w:r/>
            <w:r>
              <w:rPr>
                <w:b w:val="0"/>
                <w:sz w:val="18"/>
              </w:rPr>
              <w:t>KV cache, linear-attention recurrent state, prefix state cache.</w:t>
            </w:r>
          </w:p>
        </w:tc>
      </w:tr>
      <w:tr>
        <w:trPr>
          <w:cantSplit/>
          <w:cantSplit/>
        </w:trPr>
        <w:tc>
          <w:tcPr>
            <w:tcW w:type="dxa" w:w="2448"/>
            <w:vAlign w:val="top"/>
          </w:tcPr>
          <w:p>
            <w:pPr>
              <w:spacing w:after="0"/>
            </w:pPr>
            <w:r/>
            <w:r>
              <w:rPr>
                <w:b w:val="0"/>
                <w:sz w:val="18"/>
              </w:rPr>
              <w:t>System / Backend IR</w:t>
            </w:r>
          </w:p>
        </w:tc>
        <w:tc>
          <w:tcPr>
            <w:tcW w:type="dxa" w:w="4320"/>
            <w:vAlign w:val="top"/>
          </w:tcPr>
          <w:p>
            <w:pPr>
              <w:spacing w:after="0"/>
            </w:pPr>
            <w:r/>
            <w:r>
              <w:rPr>
                <w:b w:val="0"/>
                <w:sz w:val="18"/>
              </w:rPr>
              <w:t>Represent concrete system constraints.</w:t>
            </w:r>
          </w:p>
        </w:tc>
        <w:tc>
          <w:tcPr>
            <w:tcW w:type="dxa" w:w="4176"/>
            <w:vAlign w:val="top"/>
          </w:tcPr>
          <w:p>
            <w:pPr>
              <w:spacing w:after="0"/>
            </w:pPr>
            <w:r/>
            <w:r>
              <w:rPr>
                <w:b w:val="0"/>
                <w:sz w:val="18"/>
              </w:rPr>
              <w:t>GPU kernels, SGLang backend, tensor parallel layout, memory policy, target capability.</w:t>
            </w:r>
          </w:p>
        </w:tc>
      </w:tr>
      <w:tr>
        <w:trPr>
          <w:cantSplit/>
          <w:cantSplit/>
        </w:trPr>
        <w:tc>
          <w:tcPr>
            <w:tcW w:type="dxa" w:w="2448"/>
            <w:vAlign w:val="top"/>
          </w:tcPr>
          <w:p>
            <w:pPr>
              <w:spacing w:after="0"/>
            </w:pPr>
            <w:r/>
            <w:r>
              <w:rPr>
                <w:b w:val="0"/>
                <w:sz w:val="18"/>
              </w:rPr>
              <w:t>Contract IR</w:t>
            </w:r>
          </w:p>
        </w:tc>
        <w:tc>
          <w:tcPr>
            <w:tcW w:type="dxa" w:w="4320"/>
            <w:vAlign w:val="top"/>
          </w:tcPr>
          <w:p>
            <w:pPr>
              <w:spacing w:after="0"/>
            </w:pPr>
            <w:r/>
            <w:r>
              <w:rPr>
                <w:b w:val="0"/>
                <w:sz w:val="18"/>
              </w:rPr>
              <w:t>Represent verification obligations and diagnostics.</w:t>
            </w:r>
          </w:p>
        </w:tc>
        <w:tc>
          <w:tcPr>
            <w:tcW w:type="dxa" w:w="4176"/>
            <w:vAlign w:val="top"/>
          </w:tcPr>
          <w:p>
            <w:pPr>
              <w:spacing w:after="0"/>
            </w:pPr>
            <w:r/>
            <w:r>
              <w:rPr>
                <w:b w:val="0"/>
                <w:sz w:val="18"/>
              </w:rPr>
              <w:t>Tokenizer identity, logprob replay, state equivalence, shape compatibility.</w:t>
            </w:r>
          </w:p>
        </w:tc>
      </w:tr>
    </w:tbl>
    <w:p/>
    <w:p>
      <w:pPr>
        <w:pStyle w:val="Heading2"/>
      </w:pPr>
      <w:r>
        <w:t>2.3 Semantic Model ABI</w:t>
      </w:r>
    </w:p>
    <w:p>
      <w:r>
        <w:t>The model ABI is the shared contract that makes a model portable across phases and organizations. It is broader than a weight file. It includes architecture, tokenizer, vocabulary, position encoding, attention mechanism, normalization, MLP structure, checkpoint tensor names, weight layout, dtype rules, and output-logit semantics. For MoE Transformers, the ABI must also include router semantics, expert identity, expert placement, token dispatch, expert-output combine rules, expert-parallel topology, capacity policy, and load-balancing policy.</w:t>
      </w:r>
    </w:p>
    <w:p>
      <w:pPr>
        <w:pStyle w:val="CodeBlock"/>
      </w:pPr>
      <w:r>
        <w:rPr>
          <w:rFonts w:ascii="Consolas" w:hAnsi="Consolas" w:eastAsia="Consolas"/>
          <w:sz w:val="17"/>
        </w:rPr>
        <w:t>Model ABI = architecture</w:t>
        <w:br/>
        <w:t xml:space="preserve">          + weights</w:t>
        <w:br/>
        <w:t xml:space="preserve">          + tokenizer / vocabulary</w:t>
        <w:br/>
        <w:t xml:space="preserve">          + position rules</w:t>
        <w:br/>
        <w:t xml:space="preserve">          + attention/state semantics</w:t>
        <w:br/>
        <w:t xml:space="preserve">          + MoE router / expert / dispatch contract</w:t>
        <w:br/>
        <w:t xml:space="preserve">          + tensor layout and dtype</w:t>
        <w:br/>
        <w:t xml:space="preserve">          + generation assumptions</w:t>
        <w:br/>
        <w:t xml:space="preserve">          + checkpoint mapping</w:t>
      </w:r>
    </w:p>
    <w:p>
      <w:pPr>
        <w:pStyle w:val="Heading2"/>
      </w:pPr>
      <w:r>
        <w:t>2.4 Tensor Contract Types</w:t>
      </w:r>
    </w:p>
    <w:p>
      <w:r>
        <w:t>The tensor type in the IR should carry more than element type and shape. A gatekeeping compiler must distinguish activation tensors, weight tensors, logits, logprobs, rewards, KV caches, recurrent attention states, router logits, expert weights, dispatch maps, combine weights, and optimizer state. These may share similar shapes but have different semantic roles and legal transformations.</w:t>
      </w:r>
    </w:p>
    <w:p>
      <w:pPr>
        <w:pStyle w:val="CodeBlock"/>
      </w:pPr>
      <w:r>
        <w:rPr>
          <w:rFonts w:ascii="Consolas" w:hAnsi="Consolas" w:eastAsia="Consolas"/>
          <w:sz w:val="17"/>
        </w:rPr>
        <w:t>TensorContract&lt;</w:t>
        <w:br/>
        <w:t xml:space="preserve">  dtype = bf16,</w:t>
        <w:br/>
        <w:t xml:space="preserve">  shape = [B, S, H],</w:t>
        <w:br/>
        <w:t xml:space="preserve">  layout = row_major | tiled | paged | blocked,</w:t>
        <w:br/>
        <w:t xml:space="preserve">  memory_space = HBM | CPU | unified | remote,</w:t>
        <w:br/>
        <w:t xml:space="preserve">  sharding = TP | DP | PP | EP | none,</w:t>
        <w:br/>
        <w:t xml:space="preserve">  quantization = none | FP8 | INT4,</w:t>
        <w:br/>
        <w:t xml:space="preserve">  semantic_role = activation | weight | logits | logprob | reward | state | router | expert | dispatch_map</w:t>
        <w:br/>
        <w:t>&gt;</w:t>
      </w:r>
    </w:p>
    <w:p>
      <w:pPr>
        <w:pStyle w:val="Heading2"/>
      </w:pPr>
      <w:r>
        <w:t>2.5 Symbolic Shape and Constraint System</w:t>
      </w:r>
    </w:p>
    <w:p>
      <w:r>
        <w:t>Dynamic AI workloads require symbolic shape reasoning. The IR should support symbolic dimensions such as B for batch size, S for sequence length, H for hidden size, D for head dimension, N for number of heads, I for intermediate size, V for vocabulary size, E for number of experts, K for experts per token, and C for expert capacity. It should also represent constraints such as H = N * D, S &lt;= max_context, V = tokenizer.vocab_size, K &lt;= E, and dispatched_token_count &lt;= expert_capacity.</w:t>
      </w:r>
    </w:p>
    <w:p>
      <w:pPr>
        <w:pStyle w:val="CodeBlock"/>
      </w:pPr>
      <w:r>
        <w:rPr>
          <w:rFonts w:ascii="Consolas" w:hAnsi="Consolas" w:eastAsia="Consolas"/>
          <w:sz w:val="17"/>
        </w:rPr>
        <w:t>B: batch_size</w:t>
        <w:br/>
        <w:t>S: sequence_length</w:t>
        <w:br/>
        <w:t>H: hidden_size</w:t>
        <w:br/>
        <w:t>N: num_heads</w:t>
        <w:br/>
        <w:t>D: head_dim</w:t>
        <w:br/>
        <w:t>V: vocab_size</w:t>
        <w:br/>
        <w:t>E: num_experts</w:t>
        <w:br/>
        <w:t>K: experts_per_token</w:t>
        <w:br/>
        <w:t>C: expert_capacity</w:t>
        <w:br/>
        <w:br/>
        <w:t>constraints:</w:t>
        <w:br/>
        <w:t xml:space="preserve">  H = N * D</w:t>
        <w:br/>
        <w:t xml:space="preserve">  S &lt;= max_context</w:t>
        <w:br/>
        <w:t xml:space="preserve">  V = tokenizer.vocab_size</w:t>
        <w:br/>
        <w:t xml:space="preserve">  K &lt;= E</w:t>
        <w:br/>
        <w:t xml:space="preserve">  dispatched_token_count &lt;= expert_capacity</w:t>
      </w:r>
    </w:p>
    <w:p>
      <w:r>
        <w:t>This idea aligns with the direction of MLIR and StableHLO. MLIR documents shape inference as a mechanism for reasoning about shapes and shape functions, and MLIR tensor types distinguish ranked and unranked tensors. StableHLO provides a portability layer with op specifications, verifiers, and type inference guidance. [1][2][3]</w:t>
      </w:r>
    </w:p>
    <w:p>
      <w:pPr>
        <w:pStyle w:val="Heading2"/>
      </w:pPr>
      <w:r>
        <w:t>2.6 Domain Operations and Effects</w:t>
      </w:r>
    </w:p>
    <w:p>
      <w:r>
        <w:t>The IR should represent domain operations at the level where domain-specific verification and optimization are possible. For example, a Transformer IR should not immediately lower everything into generic matmul and elementwise operations. It should retain operations such as attention, linear-attention state update, MoE routing, token dispatch, expert execution, expert output combine, rollout generation, logprob computation, and prefix-state restore long enough for domain-specific passes to reason about them.</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tblHeader/>
          <w:cantSplit/>
          <w:tblHeader w:val="true"/>
        </w:trPr>
        <w:tc>
          <w:tcPr>
            <w:tcW w:type="dxa" w:w="2304"/>
            <w:vAlign w:val="top"/>
            <w:shd w:fill="D9EAF7"/>
          </w:tcPr>
          <w:p>
            <w:pPr>
              <w:spacing w:after="0"/>
            </w:pPr>
            <w:r/>
            <w:r>
              <w:rPr>
                <w:b/>
                <w:sz w:val="18"/>
              </w:rPr>
              <w:t>Operation class</w:t>
            </w:r>
          </w:p>
        </w:tc>
        <w:tc>
          <w:tcPr>
            <w:tcW w:type="dxa" w:w="3168"/>
            <w:vAlign w:val="top"/>
            <w:shd w:fill="D9EAF7"/>
          </w:tcPr>
          <w:p>
            <w:pPr>
              <w:spacing w:after="0"/>
            </w:pPr>
            <w:r/>
            <w:r>
              <w:rPr>
                <w:b/>
                <w:sz w:val="18"/>
              </w:rPr>
              <w:t>Examples</w:t>
            </w:r>
          </w:p>
        </w:tc>
        <w:tc>
          <w:tcPr>
            <w:tcW w:type="dxa" w:w="5472"/>
            <w:vAlign w:val="top"/>
            <w:shd w:fill="D9EAF7"/>
          </w:tcPr>
          <w:p>
            <w:pPr>
              <w:spacing w:after="0"/>
            </w:pPr>
            <w:r/>
            <w:r>
              <w:rPr>
                <w:b/>
                <w:sz w:val="18"/>
              </w:rPr>
              <w:t>Why domain-specific representation matters</w:t>
            </w:r>
          </w:p>
        </w:tc>
      </w:tr>
      <w:tr>
        <w:trPr>
          <w:cantSplit/>
          <w:cantSplit/>
        </w:trPr>
        <w:tc>
          <w:tcPr>
            <w:tcW w:type="dxa" w:w="2304"/>
            <w:vAlign w:val="top"/>
          </w:tcPr>
          <w:p>
            <w:pPr>
              <w:spacing w:after="0"/>
            </w:pPr>
            <w:r/>
            <w:r>
              <w:rPr>
                <w:b w:val="0"/>
                <w:sz w:val="18"/>
              </w:rPr>
              <w:t>Model operations</w:t>
            </w:r>
          </w:p>
        </w:tc>
        <w:tc>
          <w:tcPr>
            <w:tcW w:type="dxa" w:w="3168"/>
            <w:vAlign w:val="top"/>
          </w:tcPr>
          <w:p>
            <w:pPr>
              <w:spacing w:after="0"/>
            </w:pPr>
            <w:r/>
            <w:r>
              <w:rPr>
                <w:b w:val="0"/>
                <w:sz w:val="18"/>
              </w:rPr>
              <w:t>embedding, norm, attention, MLP, logits</w:t>
            </w:r>
          </w:p>
        </w:tc>
        <w:tc>
          <w:tcPr>
            <w:tcW w:type="dxa" w:w="5472"/>
            <w:vAlign w:val="top"/>
          </w:tcPr>
          <w:p>
            <w:pPr>
              <w:spacing w:after="0"/>
            </w:pPr>
            <w:r/>
            <w:r>
              <w:rPr>
                <w:b w:val="0"/>
                <w:sz w:val="18"/>
              </w:rPr>
              <w:t>Preserves architecture and tensor-role semantics.</w:t>
            </w:r>
          </w:p>
        </w:tc>
      </w:tr>
      <w:tr>
        <w:trPr>
          <w:cantSplit/>
          <w:cantSplit/>
        </w:trPr>
        <w:tc>
          <w:tcPr>
            <w:tcW w:type="dxa" w:w="2304"/>
            <w:vAlign w:val="top"/>
          </w:tcPr>
          <w:p>
            <w:pPr>
              <w:spacing w:after="0"/>
            </w:pPr>
            <w:r/>
            <w:r>
              <w:rPr>
                <w:b w:val="0"/>
                <w:sz w:val="18"/>
              </w:rPr>
              <w:t>Generation operations</w:t>
            </w:r>
          </w:p>
        </w:tc>
        <w:tc>
          <w:tcPr>
            <w:tcW w:type="dxa" w:w="3168"/>
            <w:vAlign w:val="top"/>
          </w:tcPr>
          <w:p>
            <w:pPr>
              <w:spacing w:after="0"/>
            </w:pPr>
            <w:r/>
            <w:r>
              <w:rPr>
                <w:b w:val="0"/>
                <w:sz w:val="18"/>
              </w:rPr>
              <w:t>sample, stop, stream, return_logprobs</w:t>
            </w:r>
          </w:p>
        </w:tc>
        <w:tc>
          <w:tcPr>
            <w:tcW w:type="dxa" w:w="5472"/>
            <w:vAlign w:val="top"/>
          </w:tcPr>
          <w:p>
            <w:pPr>
              <w:spacing w:after="0"/>
            </w:pPr>
            <w:r/>
            <w:r>
              <w:rPr>
                <w:b w:val="0"/>
                <w:sz w:val="18"/>
              </w:rPr>
              <w:t>Defines rollout and inference behavior.</w:t>
            </w:r>
          </w:p>
        </w:tc>
      </w:tr>
      <w:tr>
        <w:trPr>
          <w:cantSplit/>
          <w:cantSplit/>
        </w:trPr>
        <w:tc>
          <w:tcPr>
            <w:tcW w:type="dxa" w:w="2304"/>
            <w:vAlign w:val="top"/>
          </w:tcPr>
          <w:p>
            <w:pPr>
              <w:spacing w:after="0"/>
            </w:pPr>
            <w:r/>
            <w:r>
              <w:rPr>
                <w:b w:val="0"/>
                <w:sz w:val="18"/>
              </w:rPr>
              <w:t>State operations</w:t>
            </w:r>
          </w:p>
        </w:tc>
        <w:tc>
          <w:tcPr>
            <w:tcW w:type="dxa" w:w="3168"/>
            <w:vAlign w:val="top"/>
          </w:tcPr>
          <w:p>
            <w:pPr>
              <w:spacing w:after="0"/>
            </w:pPr>
            <w:r/>
            <w:r>
              <w:rPr>
                <w:b w:val="0"/>
                <w:sz w:val="18"/>
              </w:rPr>
              <w:t>state.init, state.update, state.snapshot, state.restore</w:t>
            </w:r>
          </w:p>
        </w:tc>
        <w:tc>
          <w:tcPr>
            <w:tcW w:type="dxa" w:w="5472"/>
            <w:vAlign w:val="top"/>
          </w:tcPr>
          <w:p>
            <w:pPr>
              <w:spacing w:after="0"/>
            </w:pPr>
            <w:r/>
            <w:r>
              <w:rPr>
                <w:b w:val="0"/>
                <w:sz w:val="18"/>
              </w:rPr>
              <w:t>Verifies cache/state correctness.</w:t>
            </w:r>
          </w:p>
        </w:tc>
      </w:tr>
      <w:tr>
        <w:trPr>
          <w:cantSplit/>
          <w:cantSplit/>
        </w:trPr>
        <w:tc>
          <w:tcPr>
            <w:tcW w:type="dxa" w:w="2304"/>
            <w:vAlign w:val="top"/>
          </w:tcPr>
          <w:p>
            <w:pPr>
              <w:spacing w:after="0"/>
            </w:pPr>
            <w:r/>
            <w:r>
              <w:rPr>
                <w:b w:val="0"/>
                <w:sz w:val="18"/>
              </w:rPr>
              <w:t>Checkpoint operations</w:t>
            </w:r>
          </w:p>
        </w:tc>
        <w:tc>
          <w:tcPr>
            <w:tcW w:type="dxa" w:w="3168"/>
            <w:vAlign w:val="top"/>
          </w:tcPr>
          <w:p>
            <w:pPr>
              <w:spacing w:after="0"/>
            </w:pPr>
            <w:r/>
            <w:r>
              <w:rPr>
                <w:b w:val="0"/>
                <w:sz w:val="18"/>
              </w:rPr>
              <w:t>load, map, shard, fuse, split, transpose</w:t>
            </w:r>
          </w:p>
        </w:tc>
        <w:tc>
          <w:tcPr>
            <w:tcW w:type="dxa" w:w="5472"/>
            <w:vAlign w:val="top"/>
          </w:tcPr>
          <w:p>
            <w:pPr>
              <w:spacing w:after="0"/>
            </w:pPr>
            <w:r/>
            <w:r>
              <w:rPr>
                <w:b w:val="0"/>
                <w:sz w:val="18"/>
              </w:rPr>
              <w:t>Prevents silent tensor conversion errors.</w:t>
            </w:r>
          </w:p>
        </w:tc>
      </w:tr>
      <w:tr>
        <w:trPr>
          <w:cantSplit/>
          <w:cantSplit/>
        </w:trPr>
        <w:tc>
          <w:tcPr>
            <w:tcW w:type="dxa" w:w="2304"/>
            <w:vAlign w:val="top"/>
          </w:tcPr>
          <w:p>
            <w:pPr>
              <w:spacing w:after="0"/>
            </w:pPr>
            <w:r/>
            <w:r>
              <w:rPr>
                <w:b w:val="0"/>
                <w:sz w:val="18"/>
              </w:rPr>
              <w:t>Contract operations</w:t>
            </w:r>
          </w:p>
        </w:tc>
        <w:tc>
          <w:tcPr>
            <w:tcW w:type="dxa" w:w="3168"/>
            <w:vAlign w:val="top"/>
          </w:tcPr>
          <w:p>
            <w:pPr>
              <w:spacing w:after="0"/>
            </w:pPr>
            <w:r/>
            <w:r>
              <w:rPr>
                <w:b w:val="0"/>
                <w:sz w:val="18"/>
              </w:rPr>
              <w:t>assert_same_tokenizer, assert_logprob_close</w:t>
            </w:r>
          </w:p>
        </w:tc>
        <w:tc>
          <w:tcPr>
            <w:tcW w:type="dxa" w:w="5472"/>
            <w:vAlign w:val="top"/>
          </w:tcPr>
          <w:p>
            <w:pPr>
              <w:spacing w:after="0"/>
            </w:pPr>
            <w:r/>
            <w:r>
              <w:rPr>
                <w:b w:val="0"/>
                <w:sz w:val="18"/>
              </w:rPr>
              <w:t>Turns compatibility assumptions into executable checks.</w:t>
            </w:r>
          </w:p>
        </w:tc>
      </w:tr>
    </w:tbl>
    <w:p/>
    <w:p>
      <w:pPr>
        <w:pStyle w:val="Heading2"/>
      </w:pPr>
      <w:r>
        <w:t>2.7 Compiler Pass Families</w:t>
      </w:r>
    </w:p>
    <w:p>
      <w:r>
        <w:t>The architecture should organize passes by domain responsibility. A pass may be a verifier, an annotation pass, an optimizer, a lowering pass, or a test-generation pass.</w:t>
      </w:r>
    </w:p>
    <w:tbl>
      <w:tblPr>
        <w:tblStyle w:val="TableGrid"/>
        <w:tblW w:type="auto" w:w="0"/>
        <w:jc w:val="center"/>
        <w:tblLayout w:type="autofit"/>
        <w:tblLook w:firstColumn="1" w:firstRow="1" w:lastColumn="0" w:lastRow="0" w:noHBand="0" w:noVBand="1" w:val="04A0"/>
      </w:tblPr>
      <w:tblGrid>
        <w:gridCol w:w="4968"/>
        <w:gridCol w:w="4968"/>
      </w:tblGrid>
      <w:tr>
        <w:trPr>
          <w:cantSplit/>
          <w:tblHeader/>
          <w:cantSplit/>
          <w:tblHeader w:val="true"/>
        </w:trPr>
        <w:tc>
          <w:tcPr>
            <w:tcW w:type="dxa" w:w="3168"/>
            <w:vAlign w:val="top"/>
            <w:shd w:fill="D9EAF7"/>
          </w:tcPr>
          <w:p>
            <w:pPr>
              <w:spacing w:after="0"/>
            </w:pPr>
            <w:r/>
            <w:r>
              <w:rPr>
                <w:b/>
                <w:sz w:val="18"/>
              </w:rPr>
              <w:t>Pass family</w:t>
            </w:r>
          </w:p>
        </w:tc>
        <w:tc>
          <w:tcPr>
            <w:tcW w:type="dxa" w:w="7776"/>
            <w:vAlign w:val="top"/>
            <w:shd w:fill="D9EAF7"/>
          </w:tcPr>
          <w:p>
            <w:pPr>
              <w:spacing w:after="0"/>
            </w:pPr>
            <w:r/>
            <w:r>
              <w:rPr>
                <w:b/>
                <w:sz w:val="18"/>
              </w:rPr>
              <w:t>Purpose</w:t>
            </w:r>
          </w:p>
        </w:tc>
      </w:tr>
      <w:tr>
        <w:trPr>
          <w:cantSplit/>
          <w:cantSplit/>
        </w:trPr>
        <w:tc>
          <w:tcPr>
            <w:tcW w:type="dxa" w:w="3168"/>
            <w:vAlign w:val="top"/>
          </w:tcPr>
          <w:p>
            <w:pPr>
              <w:spacing w:after="0"/>
            </w:pPr>
            <w:r/>
            <w:r>
              <w:rPr>
                <w:b w:val="0"/>
                <w:sz w:val="18"/>
              </w:rPr>
              <w:t>Import passes</w:t>
            </w:r>
          </w:p>
        </w:tc>
        <w:tc>
          <w:tcPr>
            <w:tcW w:type="dxa" w:w="7776"/>
            <w:vAlign w:val="top"/>
          </w:tcPr>
          <w:p>
            <w:pPr>
              <w:spacing w:after="0"/>
            </w:pPr>
            <w:r/>
            <w:r>
              <w:rPr>
                <w:b w:val="0"/>
                <w:sz w:val="18"/>
              </w:rPr>
              <w:t>Import Megatron, PyTorch, SGLang, tokenizer, checkpoint, and rollout trace artifacts into the domain IR.</w:t>
            </w:r>
          </w:p>
        </w:tc>
      </w:tr>
      <w:tr>
        <w:trPr>
          <w:cantSplit/>
          <w:cantSplit/>
        </w:trPr>
        <w:tc>
          <w:tcPr>
            <w:tcW w:type="dxa" w:w="3168"/>
            <w:vAlign w:val="top"/>
          </w:tcPr>
          <w:p>
            <w:pPr>
              <w:spacing w:after="0"/>
            </w:pPr>
            <w:r/>
            <w:r>
              <w:rPr>
                <w:b w:val="0"/>
                <w:sz w:val="18"/>
              </w:rPr>
              <w:t>Semantic verification passes</w:t>
            </w:r>
          </w:p>
        </w:tc>
        <w:tc>
          <w:tcPr>
            <w:tcW w:type="dxa" w:w="7776"/>
            <w:vAlign w:val="top"/>
          </w:tcPr>
          <w:p>
            <w:pPr>
              <w:spacing w:after="0"/>
            </w:pPr>
            <w:r/>
            <w:r>
              <w:rPr>
                <w:b w:val="0"/>
                <w:sz w:val="18"/>
              </w:rPr>
              <w:t>Check architecture, tensor shapes, attention semantics, tokenizer ABI, and checkpoint ABI.</w:t>
            </w:r>
          </w:p>
        </w:tc>
      </w:tr>
      <w:tr>
        <w:trPr>
          <w:cantSplit/>
          <w:cantSplit/>
        </w:trPr>
        <w:tc>
          <w:tcPr>
            <w:tcW w:type="dxa" w:w="3168"/>
            <w:vAlign w:val="top"/>
          </w:tcPr>
          <w:p>
            <w:pPr>
              <w:spacing w:after="0"/>
            </w:pPr>
            <w:r/>
            <w:r>
              <w:rPr>
                <w:b w:val="0"/>
                <w:sz w:val="18"/>
              </w:rPr>
              <w:t>Sub-domain lowering passes</w:t>
            </w:r>
          </w:p>
        </w:tc>
        <w:tc>
          <w:tcPr>
            <w:tcW w:type="dxa" w:w="7776"/>
            <w:vAlign w:val="top"/>
          </w:tcPr>
          <w:p>
            <w:pPr>
              <w:spacing w:after="0"/>
            </w:pPr>
            <w:r/>
            <w:r>
              <w:rPr>
                <w:b w:val="0"/>
                <w:sz w:val="18"/>
              </w:rPr>
              <w:t>Lower domain operations into phase-specific execution forms.</w:t>
            </w:r>
          </w:p>
        </w:tc>
      </w:tr>
      <w:tr>
        <w:trPr>
          <w:cantSplit/>
          <w:cantSplit/>
        </w:trPr>
        <w:tc>
          <w:tcPr>
            <w:tcW w:type="dxa" w:w="3168"/>
            <w:vAlign w:val="top"/>
          </w:tcPr>
          <w:p>
            <w:pPr>
              <w:spacing w:after="0"/>
            </w:pPr>
            <w:r/>
            <w:r>
              <w:rPr>
                <w:b w:val="0"/>
                <w:sz w:val="18"/>
              </w:rPr>
              <w:t>Runtime-state passes</w:t>
            </w:r>
          </w:p>
        </w:tc>
        <w:tc>
          <w:tcPr>
            <w:tcW w:type="dxa" w:w="7776"/>
            <w:vAlign w:val="top"/>
          </w:tcPr>
          <w:p>
            <w:pPr>
              <w:spacing w:after="0"/>
            </w:pPr>
            <w:r/>
            <w:r>
              <w:rPr>
                <w:b w:val="0"/>
                <w:sz w:val="18"/>
              </w:rPr>
              <w:t>Plan KV-cache or linear-attention state layout, update, transfer, and reuse.</w:t>
            </w:r>
          </w:p>
        </w:tc>
      </w:tr>
      <w:tr>
        <w:trPr>
          <w:cantSplit/>
          <w:cantSplit/>
        </w:trPr>
        <w:tc>
          <w:tcPr>
            <w:tcW w:type="dxa" w:w="3168"/>
            <w:vAlign w:val="top"/>
          </w:tcPr>
          <w:p>
            <w:pPr>
              <w:spacing w:after="0"/>
            </w:pPr>
            <w:r/>
            <w:r>
              <w:rPr>
                <w:b w:val="0"/>
                <w:sz w:val="18"/>
              </w:rPr>
              <w:t>Backend capability passes</w:t>
            </w:r>
          </w:p>
        </w:tc>
        <w:tc>
          <w:tcPr>
            <w:tcW w:type="dxa" w:w="7776"/>
            <w:vAlign w:val="top"/>
          </w:tcPr>
          <w:p>
            <w:pPr>
              <w:spacing w:after="0"/>
            </w:pPr>
            <w:r/>
            <w:r>
              <w:rPr>
                <w:b w:val="0"/>
                <w:sz w:val="18"/>
              </w:rPr>
              <w:t>Check that the selected runtime backend supports the model, attention mechanism, dtype, and max context.</w:t>
            </w:r>
          </w:p>
        </w:tc>
      </w:tr>
      <w:tr>
        <w:trPr>
          <w:cantSplit/>
          <w:cantSplit/>
        </w:trPr>
        <w:tc>
          <w:tcPr>
            <w:tcW w:type="dxa" w:w="3168"/>
            <w:vAlign w:val="top"/>
          </w:tcPr>
          <w:p>
            <w:pPr>
              <w:spacing w:after="0"/>
            </w:pPr>
            <w:r/>
            <w:r>
              <w:rPr>
                <w:b w:val="0"/>
                <w:sz w:val="18"/>
              </w:rPr>
              <w:t>Conformance-generation passes</w:t>
            </w:r>
          </w:p>
        </w:tc>
        <w:tc>
          <w:tcPr>
            <w:tcW w:type="dxa" w:w="7776"/>
            <w:vAlign w:val="top"/>
          </w:tcPr>
          <w:p>
            <w:pPr>
              <w:spacing w:after="0"/>
            </w:pPr>
            <w:r/>
            <w:r>
              <w:rPr>
                <w:b w:val="0"/>
                <w:sz w:val="18"/>
              </w:rPr>
              <w:t>Generate golden-tokenization, golden-logit, logprob replay, and state-equivalence tests.</w:t>
            </w:r>
          </w:p>
        </w:tc>
      </w:tr>
      <w:tr>
        <w:trPr>
          <w:cantSplit/>
          <w:cantSplit/>
        </w:trPr>
        <w:tc>
          <w:tcPr>
            <w:tcW w:type="dxa" w:w="3168"/>
            <w:vAlign w:val="top"/>
          </w:tcPr>
          <w:p>
            <w:pPr>
              <w:spacing w:after="0"/>
            </w:pPr>
            <w:r/>
            <w:r>
              <w:rPr>
                <w:b w:val="0"/>
                <w:sz w:val="18"/>
              </w:rPr>
              <w:t>Diagnostic passes</w:t>
            </w:r>
          </w:p>
        </w:tc>
        <w:tc>
          <w:tcPr>
            <w:tcW w:type="dxa" w:w="7776"/>
            <w:vAlign w:val="top"/>
          </w:tcPr>
          <w:p>
            <w:pPr>
              <w:spacing w:after="0"/>
            </w:pPr>
            <w:r/>
            <w:r>
              <w:rPr>
                <w:b w:val="0"/>
                <w:sz w:val="18"/>
              </w:rPr>
              <w:t>Emit structured errors and warnings with stable codes.</w:t>
            </w:r>
          </w:p>
        </w:tc>
      </w:tr>
    </w:tbl>
    <w:p/>
    <w:p>
      <w:pPr>
        <w:pStyle w:val="Heading2"/>
      </w:pPr>
      <w:r>
        <w:t>2.8 Extensibility Principle</w:t>
      </w:r>
    </w:p>
    <w:p>
      <w:r>
        <w:t>The system should allow a new domain, sub-domain, backend, attention mechanism, or verifier to be added without rewriting the central compiler. This is achieved through namespace-based extension, domain registration, and contract registration. The next chapter defines this mechanism.</w:t>
      </w:r>
    </w:p>
    <w:p>
      <w:pPr>
        <w:pStyle w:val="Heading2"/>
      </w:pPr>
      <w:r>
        <w:t>2.9 Common Compiler Substrate and Domain Hierarchy</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cantSplit/>
          <w:tblHeader w:val="true"/>
        </w:trPr>
        <w:tc>
          <w:tcPr>
            <w:tcW w:type="dxa" w:w="1800"/>
            <w:vAlign w:val="center"/>
            <w:shd w:fill="1F2937"/>
          </w:tcPr>
          <w:p>
            <w:r/>
            <w:r>
              <w:rPr>
                <w:rFonts w:ascii="Aptos" w:hAnsi="Aptos"/>
                <w:b/>
                <w:color w:val="FFFFFF"/>
                <w:sz w:val="18"/>
              </w:rPr>
              <w:t>Layer</w:t>
            </w:r>
          </w:p>
        </w:tc>
        <w:tc>
          <w:tcPr>
            <w:tcW w:type="dxa" w:w="3240"/>
            <w:vAlign w:val="center"/>
            <w:shd w:fill="1F2937"/>
          </w:tcPr>
          <w:p>
            <w:r/>
            <w:r>
              <w:rPr>
                <w:rFonts w:ascii="Aptos" w:hAnsi="Aptos"/>
                <w:b/>
                <w:color w:val="FFFFFF"/>
                <w:sz w:val="18"/>
              </w:rPr>
              <w:t>Common substrate responsibility</w:t>
            </w:r>
          </w:p>
        </w:tc>
        <w:tc>
          <w:tcPr>
            <w:tcW w:type="dxa" w:w="3096"/>
            <w:vAlign w:val="center"/>
            <w:shd w:fill="1F2937"/>
          </w:tcPr>
          <w:p>
            <w:r/>
            <w:r>
              <w:rPr>
                <w:rFonts w:ascii="Aptos" w:hAnsi="Aptos"/>
                <w:b/>
                <w:color w:val="FFFFFF"/>
                <w:sz w:val="18"/>
              </w:rPr>
              <w:t>Transformer plugin</w:t>
            </w:r>
          </w:p>
        </w:tc>
        <w:tc>
          <w:tcPr>
            <w:tcW w:type="dxa" w:w="3096"/>
            <w:vAlign w:val="center"/>
            <w:shd w:fill="1F2937"/>
          </w:tcPr>
          <w:p>
            <w:r/>
            <w:r>
              <w:rPr>
                <w:rFonts w:ascii="Aptos" w:hAnsi="Aptos"/>
                <w:b/>
                <w:color w:val="FFFFFF"/>
                <w:sz w:val="18"/>
              </w:rPr>
              <w:t>CNN plugin</w:t>
            </w:r>
          </w:p>
        </w:tc>
      </w:tr>
      <w:tr>
        <w:trPr>
          <w:cantSplit/>
          <w:cantSplit/>
        </w:trPr>
        <w:tc>
          <w:tcPr>
            <w:tcW w:type="dxa" w:w="1800"/>
            <w:vAlign w:val="center"/>
          </w:tcPr>
          <w:p>
            <w:r/>
            <w:r>
              <w:rPr>
                <w:rFonts w:ascii="Aptos" w:hAnsi="Aptos"/>
                <w:b w:val="0"/>
                <w:sz w:val="18"/>
              </w:rPr>
              <w:t>Tensor model</w:t>
            </w:r>
          </w:p>
        </w:tc>
        <w:tc>
          <w:tcPr>
            <w:tcW w:type="dxa" w:w="3240"/>
            <w:vAlign w:val="center"/>
          </w:tcPr>
          <w:p>
            <w:r/>
            <w:r>
              <w:rPr>
                <w:rFonts w:ascii="Aptos" w:hAnsi="Aptos"/>
                <w:b w:val="0"/>
                <w:sz w:val="18"/>
              </w:rPr>
              <w:t>Flat TENSOR_KIND, traits, descriptors, shape symbols, layout/sharding/memory descriptors</w:t>
            </w:r>
          </w:p>
        </w:tc>
        <w:tc>
          <w:tcPr>
            <w:tcW w:type="dxa" w:w="3096"/>
            <w:vAlign w:val="center"/>
          </w:tcPr>
          <w:p>
            <w:r/>
            <w:r>
              <w:rPr>
                <w:rFonts w:ascii="Aptos" w:hAnsi="Aptos"/>
                <w:b w:val="0"/>
                <w:sz w:val="18"/>
              </w:rPr>
              <w:t>Activation, logits, KV state, router logits, experts</w:t>
            </w:r>
          </w:p>
        </w:tc>
        <w:tc>
          <w:tcPr>
            <w:tcW w:type="dxa" w:w="3096"/>
            <w:vAlign w:val="center"/>
          </w:tcPr>
          <w:p>
            <w:r/>
            <w:r>
              <w:rPr>
                <w:rFonts w:ascii="Aptos" w:hAnsi="Aptos"/>
                <w:b w:val="0"/>
                <w:sz w:val="18"/>
              </w:rPr>
              <w:t>Image input, feature map, convolution weight, batchnorm state</w:t>
            </w:r>
          </w:p>
        </w:tc>
      </w:tr>
      <w:tr>
        <w:trPr>
          <w:cantSplit/>
          <w:cantSplit/>
        </w:trPr>
        <w:tc>
          <w:tcPr>
            <w:tcW w:type="dxa" w:w="1800"/>
            <w:vAlign w:val="center"/>
          </w:tcPr>
          <w:p>
            <w:r/>
            <w:r>
              <w:rPr>
                <w:rFonts w:ascii="Aptos" w:hAnsi="Aptos"/>
                <w:b w:val="0"/>
                <w:sz w:val="18"/>
              </w:rPr>
              <w:t>Shape model</w:t>
            </w:r>
          </w:p>
        </w:tc>
        <w:tc>
          <w:tcPr>
            <w:tcW w:type="dxa" w:w="3240"/>
            <w:vAlign w:val="center"/>
          </w:tcPr>
          <w:p>
            <w:r/>
            <w:r>
              <w:rPr>
                <w:rFonts w:ascii="Aptos" w:hAnsi="Aptos"/>
                <w:b w:val="0"/>
                <w:sz w:val="18"/>
              </w:rPr>
              <w:t>Static, symbolic, bounded dynamic, runtime-evolving, derived, and data-dependent dims</w:t>
            </w:r>
          </w:p>
        </w:tc>
        <w:tc>
          <w:tcPr>
            <w:tcW w:type="dxa" w:w="3096"/>
            <w:vAlign w:val="center"/>
          </w:tcPr>
          <w:p>
            <w:r/>
            <w:r>
              <w:rPr>
                <w:rFonts w:ascii="Aptos" w:hAnsi="Aptos"/>
                <w:b w:val="0"/>
                <w:sz w:val="18"/>
              </w:rPr>
              <w:t>sequence length, KV block count, expert capacity</w:t>
            </w:r>
          </w:p>
        </w:tc>
        <w:tc>
          <w:tcPr>
            <w:tcW w:type="dxa" w:w="3096"/>
            <w:vAlign w:val="center"/>
          </w:tcPr>
          <w:p>
            <w:r/>
            <w:r>
              <w:rPr>
                <w:rFonts w:ascii="Aptos" w:hAnsi="Aptos"/>
                <w:b w:val="0"/>
                <w:sz w:val="18"/>
              </w:rPr>
              <w:t>height/width, batch size, output spatial formula, halo size</w:t>
            </w:r>
          </w:p>
        </w:tc>
      </w:tr>
      <w:tr>
        <w:trPr>
          <w:cantSplit/>
          <w:cantSplit/>
        </w:trPr>
        <w:tc>
          <w:tcPr>
            <w:tcW w:type="dxa" w:w="1800"/>
            <w:vAlign w:val="center"/>
          </w:tcPr>
          <w:p>
            <w:r/>
            <w:r>
              <w:rPr>
                <w:rFonts w:ascii="Aptos" w:hAnsi="Aptos"/>
                <w:b w:val="0"/>
                <w:sz w:val="18"/>
              </w:rPr>
              <w:t>Semantic ops</w:t>
            </w:r>
          </w:p>
        </w:tc>
        <w:tc>
          <w:tcPr>
            <w:tcW w:type="dxa" w:w="3240"/>
            <w:vAlign w:val="center"/>
          </w:tcPr>
          <w:p>
            <w:r/>
            <w:r>
              <w:rPr>
                <w:rFonts w:ascii="Aptos" w:hAnsi="Aptos"/>
                <w:b w:val="0"/>
                <w:sz w:val="18"/>
              </w:rPr>
              <w:t>Operation interfaces, verifier hooks, pass registration</w:t>
            </w:r>
          </w:p>
        </w:tc>
        <w:tc>
          <w:tcPr>
            <w:tcW w:type="dxa" w:w="3096"/>
            <w:vAlign w:val="center"/>
          </w:tcPr>
          <w:p>
            <w:r/>
            <w:r>
              <w:rPr>
                <w:rFonts w:ascii="Aptos" w:hAnsi="Aptos"/>
                <w:b w:val="0"/>
                <w:sz w:val="18"/>
              </w:rPr>
              <w:t>attention, MoE, generation, logprob replay</w:t>
            </w:r>
          </w:p>
        </w:tc>
        <w:tc>
          <w:tcPr>
            <w:tcW w:type="dxa" w:w="3096"/>
            <w:vAlign w:val="center"/>
          </w:tcPr>
          <w:p>
            <w:r/>
            <w:r>
              <w:rPr>
                <w:rFonts w:ascii="Aptos" w:hAnsi="Aptos"/>
                <w:b w:val="0"/>
                <w:sz w:val="18"/>
              </w:rPr>
              <w:t>conv2d, pooling, batchnorm, residual add, preprocessing</w:t>
            </w:r>
          </w:p>
        </w:tc>
      </w:tr>
      <w:tr>
        <w:trPr>
          <w:cantSplit/>
          <w:cantSplit/>
        </w:trPr>
        <w:tc>
          <w:tcPr>
            <w:tcW w:type="dxa" w:w="1800"/>
            <w:vAlign w:val="center"/>
          </w:tcPr>
          <w:p>
            <w:r/>
            <w:r>
              <w:rPr>
                <w:rFonts w:ascii="Aptos" w:hAnsi="Aptos"/>
                <w:b w:val="0"/>
                <w:sz w:val="18"/>
              </w:rPr>
              <w:t>Parallelism</w:t>
            </w:r>
          </w:p>
        </w:tc>
        <w:tc>
          <w:tcPr>
            <w:tcW w:type="dxa" w:w="3240"/>
            <w:vAlign w:val="center"/>
          </w:tcPr>
          <w:p>
            <w:r/>
            <w:r>
              <w:rPr>
                <w:rFonts w:ascii="Aptos" w:hAnsi="Aptos"/>
                <w:b w:val="0"/>
                <w:sz w:val="18"/>
              </w:rPr>
              <w:t>DataShardingIR, DispatchReduceIR, collective intent</w:t>
            </w:r>
          </w:p>
        </w:tc>
        <w:tc>
          <w:tcPr>
            <w:tcW w:type="dxa" w:w="3096"/>
            <w:vAlign w:val="center"/>
          </w:tcPr>
          <w:p>
            <w:r/>
            <w:r>
              <w:rPr>
                <w:rFonts w:ascii="Aptos" w:hAnsi="Aptos"/>
                <w:b w:val="0"/>
                <w:sz w:val="18"/>
              </w:rPr>
              <w:t>tensor/head/context/expert sharding</w:t>
            </w:r>
          </w:p>
        </w:tc>
        <w:tc>
          <w:tcPr>
            <w:tcW w:type="dxa" w:w="3096"/>
            <w:vAlign w:val="center"/>
          </w:tcPr>
          <w:p>
            <w:r/>
            <w:r>
              <w:rPr>
                <w:rFonts w:ascii="Aptos" w:hAnsi="Aptos"/>
                <w:b w:val="0"/>
                <w:sz w:val="18"/>
              </w:rPr>
              <w:t>batch/channel/spatial sharding, halo exchange</w:t>
            </w:r>
          </w:p>
        </w:tc>
      </w:tr>
      <w:tr>
        <w:trPr>
          <w:cantSplit/>
          <w:cantSplit/>
        </w:trPr>
        <w:tc>
          <w:tcPr>
            <w:tcW w:type="dxa" w:w="1800"/>
            <w:vAlign w:val="center"/>
          </w:tcPr>
          <w:p>
            <w:r/>
            <w:r>
              <w:rPr>
                <w:rFonts w:ascii="Aptos" w:hAnsi="Aptos"/>
                <w:b w:val="0"/>
                <w:sz w:val="18"/>
              </w:rPr>
              <w:t>Gatekeeper</w:t>
            </w:r>
          </w:p>
        </w:tc>
        <w:tc>
          <w:tcPr>
            <w:tcW w:type="dxa" w:w="3240"/>
            <w:vAlign w:val="center"/>
          </w:tcPr>
          <w:p>
            <w:r/>
            <w:r>
              <w:rPr>
                <w:rFonts w:ascii="Aptos" w:hAnsi="Aptos"/>
                <w:b w:val="0"/>
                <w:sz w:val="18"/>
              </w:rPr>
              <w:t>Contract registration, diagnostics, conformance tests</w:t>
            </w:r>
          </w:p>
        </w:tc>
        <w:tc>
          <w:tcPr>
            <w:tcW w:type="dxa" w:w="3096"/>
            <w:vAlign w:val="center"/>
          </w:tcPr>
          <w:p>
            <w:r/>
            <w:r>
              <w:rPr>
                <w:rFonts w:ascii="Aptos" w:hAnsi="Aptos"/>
                <w:b w:val="0"/>
                <w:sz w:val="18"/>
              </w:rPr>
              <w:t>tokenizer, attention/state, rollout-inference equivalence</w:t>
            </w:r>
          </w:p>
        </w:tc>
        <w:tc>
          <w:tcPr>
            <w:tcW w:type="dxa" w:w="3096"/>
            <w:vAlign w:val="center"/>
          </w:tcPr>
          <w:p>
            <w:r/>
            <w:r>
              <w:rPr>
                <w:rFonts w:ascii="Aptos" w:hAnsi="Aptos"/>
                <w:b w:val="0"/>
                <w:sz w:val="18"/>
              </w:rPr>
              <w:t>preprocessing, layout, padding, residual shape, classifier head</w:t>
            </w:r>
          </w:p>
        </w:tc>
      </w:tr>
    </w:tbl>
    <w:p>
      <w:pPr/>
      <w:r>
        <w:t>The Common Compiler Substrate defines reusable tensor, shape, layout, numeric, sharding, memory, runtime-guard, and dispatch/reduce concepts. Domain IRs such as Transformer and CNN define semantic wrappers and contracts above this substrate. This separation keeps reusable computation and lowering infrastructure out of individual domains while preserving domain-specific ABI and gatekeeper semantics.</w:t>
      </w:r>
    </w:p>
    <w:p>
      <w:pPr/>
      <w:r>
        <w:t>The architectural hierarchy therefore has three levels: the Common Compiler Substrate, which owns domain-neutral IR constructs; domain namespaces, which own domain-specific semantic contracts; and backend/hardware target namespaces, which own target capability and lowering constraints.</w:t>
      </w:r>
    </w:p>
    <w:p>
      <w:pPr>
        <w:spacing w:before="40" w:after="100"/>
        <w:ind w:left="360"/>
      </w:pPr>
      <w:r>
        <w:rPr>
          <w:rFonts w:ascii="Courier New" w:hAnsi="Courier New" w:eastAsia="Courier New"/>
          <w:sz w:val="16"/>
        </w:rPr>
        <w:t>ant::compiler::common</w:t>
        <w:br/>
        <w:t xml:space="preserve">  tensor | shape | layout | numeric | reduction | linalg | quantization</w:t>
        <w:br/>
        <w:t xml:space="preserve">  sharding | dispatch_reduce | memory | runtime_guard</w:t>
        <w:br/>
        <w:br/>
        <w:t>ant::domain::transformer</w:t>
        <w:br/>
        <w:t xml:space="preserve">  attention | runtime_state | moe | generation | tokenizer_abi | checkpoint_abi</w:t>
        <w:br/>
        <w:br/>
        <w:t>ant::domain::cnn</w:t>
        <w:br/>
        <w:t xml:space="preserve">  convolution | pooling | image_layout | preprocessing | residual_blocks | halo_exchange</w:t>
      </w:r>
    </w:p>
    <w:p>
      <w:pPr/>
      <w:r>
        <w:t>Chapter 6 formalizes the opcode structure and promotion policy that determines when a domain operation remains domain-specific, lowers into common operations, or is promoted into the Common Compiler Substrate. Chapter 7 defines how a Python DSL frontend emits very-high-level binary WHIRL with first-class domain and common operators for Open64 ingestion.</w:t>
      </w:r>
    </w:p>
    <w:p>
      <w:pPr>
        <w:pStyle w:val="Heading1"/>
        <w:pageBreakBefore/>
      </w:pPr>
      <w:r>
        <w:t>Chapter 3. Namespace-Based Hierarchical Domain and Sub-Domain Mechanism</w:t>
      </w:r>
    </w:p>
    <w:p>
      <w:pPr>
        <w:pStyle w:val="Heading2"/>
      </w:pPr>
      <w:r>
        <w:t>3.1 Motivation</w:t>
      </w:r>
    </w:p>
    <w:p>
      <w:r>
        <w:t>The domain-specific compiler IR needs an extensible way to organize domain knowledge, operations, runtime states, verification rules, and system-specific optimizations. A simple namespace mechanism provides a natural foundation. It allows domain capabilities to be extended without forcing every new concept into a centralized monolithic IR definition. It also allows different technical partners to contribute specialized domain knowledge while preserving a common semantic structure.</w:t>
      </w:r>
    </w:p>
    <w:p>
      <w:r>
        <w:t>However, namespace alone is not sufficient. A namespace can name a domain or sub-domain, but it does not define the semantic contract, verifier rules, legal operations, required state objects, pass pipeline, or compatibility boundary. Therefore, namespace should be used as the hierarchical identity mechanism, paired with a domain registry and explicit contract system.</w:t>
      </w:r>
    </w:p>
    <w:p>
      <w:pPr>
        <w:pStyle w:val="CodeBlock"/>
      </w:pPr>
      <w:r>
        <w:rPr>
          <w:rFonts w:ascii="Consolas" w:hAnsi="Consolas" w:eastAsia="Consolas"/>
          <w:sz w:val="17"/>
        </w:rPr>
        <w:t>Namespace names the domain.</w:t>
        <w:br/>
        <w:t>Registry describes the domain.</w:t>
        <w:br/>
        <w:t>Contracts verify the domain.</w:t>
        <w:br/>
        <w:t>Passes implement the domain.</w:t>
        <w:br/>
        <w:t>Diagnostics enforce the domain boundary.</w:t>
      </w:r>
    </w:p>
    <w:p>
      <w:pPr>
        <w:pStyle w:val="Heading2"/>
      </w:pPr>
      <w:r>
        <w:t>3.2 Namespace as the Domain Identity System</w:t>
      </w:r>
    </w:p>
    <w:p>
      <w:r>
        <w:t>The namespace mechanism provides the naming structure for domains and sub-domains. For the Transformer domain, the namespace hierarchy may look like this:</w:t>
      </w:r>
    </w:p>
    <w:p>
      <w:pPr>
        <w:pStyle w:val="CodeBlock"/>
      </w:pPr>
      <w:r>
        <w:rPr>
          <w:rFonts w:ascii="Consolas" w:hAnsi="Consolas" w:eastAsia="Consolas"/>
          <w:sz w:val="17"/>
        </w:rPr>
        <w:t>namespace ant::domain::transformer {}</w:t>
        <w:br/>
        <w:t>namespace ant::domain::transformer::semantic {}</w:t>
        <w:br/>
        <w:t>namespace ant::domain::transformer::pretraining {}</w:t>
        <w:br/>
        <w:t>namespace ant::domain::transformer::rl_posttraining {}</w:t>
        <w:br/>
        <w:t>namespace ant::domain::transformer::rl_posttraining::rollout {}</w:t>
        <w:br/>
        <w:t>namespace ant::domain::transformer::rl_posttraining::policy_update {}</w:t>
        <w:br/>
        <w:t>namespace ant::domain::transformer::inference {}</w:t>
        <w:br/>
        <w:t>namespace ant::domain::transformer::checkpoint_abi {}</w:t>
        <w:br/>
        <w:t>namespace ant::domain::transformer::runtime_state {}</w:t>
        <w:br/>
        <w:t>namespace ant::domain::transformer::runtime_state::kv_cache {}</w:t>
        <w:br/>
        <w:t>namespace ant::domain::transformer::runtime_state::linear_attention {}</w:t>
        <w:br/>
        <w:t>namespace ant::domain::transformer::moe {}</w:t>
        <w:br/>
        <w:t>namespace ant::domain::transformer::moe::router {}</w:t>
        <w:br/>
        <w:t>namespace ant::domain::transformer::moe::experts {}</w:t>
        <w:br/>
        <w:t>namespace ant::domain::transformer::moe::expert_parallel {}</w:t>
        <w:br/>
        <w:t>namespace ant::domain::transformer::moe::dispatch {}</w:t>
      </w:r>
    </w:p>
    <w:p>
      <w:r>
        <w:t>This hierarchy expresses logical ownership. The top-level Transformer namespace represents shared model semantics. Sub-namespaces represent specialized execution phases, model ABI concerns, runtime state concerns, and model-structure sub-domains such as MoE.</w:t>
      </w:r>
    </w:p>
    <w:p>
      <w:pPr>
        <w:pStyle w:val="Heading2"/>
      </w:pPr>
      <w:r>
        <w:t>3.3 What Namespace Handles Well</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tblHeader/>
          <w:cantSplit/>
          <w:tblHeader w:val="true"/>
        </w:trPr>
        <w:tc>
          <w:tcPr>
            <w:tcW w:type="dxa" w:w="2592"/>
            <w:vAlign w:val="top"/>
            <w:shd w:fill="D9EAF7"/>
          </w:tcPr>
          <w:p>
            <w:pPr>
              <w:spacing w:after="0"/>
            </w:pPr>
            <w:r/>
            <w:r>
              <w:rPr>
                <w:b/>
                <w:sz w:val="18"/>
              </w:rPr>
              <w:t>Need</w:t>
            </w:r>
          </w:p>
        </w:tc>
        <w:tc>
          <w:tcPr>
            <w:tcW w:type="dxa" w:w="2592"/>
            <w:vAlign w:val="top"/>
            <w:shd w:fill="D9EAF7"/>
          </w:tcPr>
          <w:p>
            <w:pPr>
              <w:spacing w:after="0"/>
            </w:pPr>
            <w:r/>
            <w:r>
              <w:rPr>
                <w:b/>
                <w:sz w:val="18"/>
              </w:rPr>
              <w:t>Namespace support</w:t>
            </w:r>
          </w:p>
        </w:tc>
        <w:tc>
          <w:tcPr>
            <w:tcW w:type="dxa" w:w="5760"/>
            <w:vAlign w:val="top"/>
            <w:shd w:fill="D9EAF7"/>
          </w:tcPr>
          <w:p>
            <w:pPr>
              <w:spacing w:after="0"/>
            </w:pPr>
            <w:r/>
            <w:r>
              <w:rPr>
                <w:b/>
                <w:sz w:val="18"/>
              </w:rPr>
              <w:t>Example</w:t>
            </w:r>
          </w:p>
        </w:tc>
      </w:tr>
      <w:tr>
        <w:trPr>
          <w:cantSplit/>
          <w:cantSplit/>
        </w:trPr>
        <w:tc>
          <w:tcPr>
            <w:tcW w:type="dxa" w:w="2592"/>
            <w:vAlign w:val="top"/>
          </w:tcPr>
          <w:p>
            <w:pPr>
              <w:spacing w:after="0"/>
            </w:pPr>
            <w:r/>
            <w:r>
              <w:rPr>
                <w:b w:val="0"/>
                <w:sz w:val="18"/>
              </w:rPr>
              <w:t>Hierarchical naming</w:t>
            </w:r>
          </w:p>
        </w:tc>
        <w:tc>
          <w:tcPr>
            <w:tcW w:type="dxa" w:w="2592"/>
            <w:vAlign w:val="top"/>
          </w:tcPr>
          <w:p>
            <w:pPr>
              <w:spacing w:after="0"/>
            </w:pPr>
            <w:r/>
            <w:r>
              <w:rPr>
                <w:b w:val="0"/>
                <w:sz w:val="18"/>
              </w:rPr>
              <w:t>Strong</w:t>
            </w:r>
          </w:p>
        </w:tc>
        <w:tc>
          <w:tcPr>
            <w:tcW w:type="dxa" w:w="5760"/>
            <w:vAlign w:val="top"/>
          </w:tcPr>
          <w:p>
            <w:pPr>
              <w:spacing w:after="0"/>
            </w:pPr>
            <w:r/>
            <w:r>
              <w:rPr>
                <w:b w:val="0"/>
                <w:sz w:val="18"/>
              </w:rPr>
              <w:t>ant::domain::transformer::inference</w:t>
            </w:r>
          </w:p>
        </w:tc>
      </w:tr>
      <w:tr>
        <w:trPr>
          <w:cantSplit/>
          <w:cantSplit/>
        </w:trPr>
        <w:tc>
          <w:tcPr>
            <w:tcW w:type="dxa" w:w="2592"/>
            <w:vAlign w:val="top"/>
          </w:tcPr>
          <w:p>
            <w:pPr>
              <w:spacing w:after="0"/>
            </w:pPr>
            <w:r/>
            <w:r>
              <w:rPr>
                <w:b w:val="0"/>
                <w:sz w:val="18"/>
              </w:rPr>
              <w:t>Ownership boundary</w:t>
            </w:r>
          </w:p>
        </w:tc>
        <w:tc>
          <w:tcPr>
            <w:tcW w:type="dxa" w:w="2592"/>
            <w:vAlign w:val="top"/>
          </w:tcPr>
          <w:p>
            <w:pPr>
              <w:spacing w:after="0"/>
            </w:pPr>
            <w:r/>
            <w:r>
              <w:rPr>
                <w:b w:val="0"/>
                <w:sz w:val="18"/>
              </w:rPr>
              <w:t>Strong</w:t>
            </w:r>
          </w:p>
        </w:tc>
        <w:tc>
          <w:tcPr>
            <w:tcW w:type="dxa" w:w="5760"/>
            <w:vAlign w:val="top"/>
          </w:tcPr>
          <w:p>
            <w:pPr>
              <w:spacing w:after="0"/>
            </w:pPr>
            <w:r/>
            <w:r>
              <w:rPr>
                <w:b w:val="0"/>
                <w:sz w:val="18"/>
              </w:rPr>
              <w:t>Group C owns transformer::inference</w:t>
            </w:r>
          </w:p>
        </w:tc>
      </w:tr>
      <w:tr>
        <w:trPr>
          <w:cantSplit/>
          <w:cantSplit/>
        </w:trPr>
        <w:tc>
          <w:tcPr>
            <w:tcW w:type="dxa" w:w="2592"/>
            <w:vAlign w:val="top"/>
          </w:tcPr>
          <w:p>
            <w:pPr>
              <w:spacing w:after="0"/>
            </w:pPr>
            <w:r/>
            <w:r>
              <w:rPr>
                <w:b w:val="0"/>
                <w:sz w:val="18"/>
              </w:rPr>
              <w:t>Plugin loading</w:t>
            </w:r>
          </w:p>
        </w:tc>
        <w:tc>
          <w:tcPr>
            <w:tcW w:type="dxa" w:w="2592"/>
            <w:vAlign w:val="top"/>
          </w:tcPr>
          <w:p>
            <w:pPr>
              <w:spacing w:after="0"/>
            </w:pPr>
            <w:r/>
            <w:r>
              <w:rPr>
                <w:b w:val="0"/>
                <w:sz w:val="18"/>
              </w:rPr>
              <w:t>Strong</w:t>
            </w:r>
          </w:p>
        </w:tc>
        <w:tc>
          <w:tcPr>
            <w:tcW w:type="dxa" w:w="5760"/>
            <w:vAlign w:val="top"/>
          </w:tcPr>
          <w:p>
            <w:pPr>
              <w:spacing w:after="0"/>
            </w:pPr>
            <w:r/>
            <w:r>
              <w:rPr>
                <w:b w:val="0"/>
                <w:sz w:val="18"/>
              </w:rPr>
              <w:t>Load all registered extensions under transformer::*</w:t>
            </w:r>
          </w:p>
        </w:tc>
      </w:tr>
      <w:tr>
        <w:trPr>
          <w:cantSplit/>
          <w:cantSplit/>
        </w:trPr>
        <w:tc>
          <w:tcPr>
            <w:tcW w:type="dxa" w:w="2592"/>
            <w:vAlign w:val="top"/>
          </w:tcPr>
          <w:p>
            <w:pPr>
              <w:spacing w:after="0"/>
            </w:pPr>
            <w:r/>
            <w:r>
              <w:rPr>
                <w:b w:val="0"/>
                <w:sz w:val="18"/>
              </w:rPr>
              <w:t>Name collision avoidance</w:t>
            </w:r>
          </w:p>
        </w:tc>
        <w:tc>
          <w:tcPr>
            <w:tcW w:type="dxa" w:w="2592"/>
            <w:vAlign w:val="top"/>
          </w:tcPr>
          <w:p>
            <w:pPr>
              <w:spacing w:after="0"/>
            </w:pPr>
            <w:r/>
            <w:r>
              <w:rPr>
                <w:b w:val="0"/>
                <w:sz w:val="18"/>
              </w:rPr>
              <w:t>Strong</w:t>
            </w:r>
          </w:p>
        </w:tc>
        <w:tc>
          <w:tcPr>
            <w:tcW w:type="dxa" w:w="5760"/>
            <w:vAlign w:val="top"/>
          </w:tcPr>
          <w:p>
            <w:pPr>
              <w:spacing w:after="0"/>
            </w:pPr>
            <w:r/>
            <w:r>
              <w:rPr>
                <w:b w:val="0"/>
                <w:sz w:val="18"/>
              </w:rPr>
              <w:t>rollout::Generate vs inference::Generate</w:t>
            </w:r>
          </w:p>
        </w:tc>
      </w:tr>
      <w:tr>
        <w:trPr>
          <w:cantSplit/>
          <w:cantSplit/>
        </w:trPr>
        <w:tc>
          <w:tcPr>
            <w:tcW w:type="dxa" w:w="2592"/>
            <w:vAlign w:val="top"/>
          </w:tcPr>
          <w:p>
            <w:pPr>
              <w:spacing w:after="0"/>
            </w:pPr>
            <w:r/>
            <w:r>
              <w:rPr>
                <w:b w:val="0"/>
                <w:sz w:val="18"/>
              </w:rPr>
              <w:t>Pass grouping</w:t>
            </w:r>
          </w:p>
        </w:tc>
        <w:tc>
          <w:tcPr>
            <w:tcW w:type="dxa" w:w="2592"/>
            <w:vAlign w:val="top"/>
          </w:tcPr>
          <w:p>
            <w:pPr>
              <w:spacing w:after="0"/>
            </w:pPr>
            <w:r/>
            <w:r>
              <w:rPr>
                <w:b w:val="0"/>
                <w:sz w:val="18"/>
              </w:rPr>
              <w:t>Strong</w:t>
            </w:r>
          </w:p>
        </w:tc>
        <w:tc>
          <w:tcPr>
            <w:tcW w:type="dxa" w:w="5760"/>
            <w:vAlign w:val="top"/>
          </w:tcPr>
          <w:p>
            <w:pPr>
              <w:spacing w:after="0"/>
            </w:pPr>
            <w:r/>
            <w:r>
              <w:rPr>
                <w:b w:val="0"/>
                <w:sz w:val="18"/>
              </w:rPr>
              <w:t>Passes registered under transformer::runtime_state</w:t>
            </w:r>
          </w:p>
        </w:tc>
      </w:tr>
      <w:tr>
        <w:trPr>
          <w:cantSplit/>
          <w:cantSplit/>
        </w:trPr>
        <w:tc>
          <w:tcPr>
            <w:tcW w:type="dxa" w:w="2592"/>
            <w:vAlign w:val="top"/>
          </w:tcPr>
          <w:p>
            <w:pPr>
              <w:spacing w:after="0"/>
            </w:pPr>
            <w:r/>
            <w:r>
              <w:rPr>
                <w:b w:val="0"/>
                <w:sz w:val="18"/>
              </w:rPr>
              <w:t>Partner extension</w:t>
            </w:r>
          </w:p>
        </w:tc>
        <w:tc>
          <w:tcPr>
            <w:tcW w:type="dxa" w:w="2592"/>
            <w:vAlign w:val="top"/>
          </w:tcPr>
          <w:p>
            <w:pPr>
              <w:spacing w:after="0"/>
            </w:pPr>
            <w:r/>
            <w:r>
              <w:rPr>
                <w:b w:val="0"/>
                <w:sz w:val="18"/>
              </w:rPr>
              <w:t>Strong</w:t>
            </w:r>
          </w:p>
        </w:tc>
        <w:tc>
          <w:tcPr>
            <w:tcW w:type="dxa" w:w="5760"/>
            <w:vAlign w:val="top"/>
          </w:tcPr>
          <w:p>
            <w:pPr>
              <w:spacing w:after="0"/>
            </w:pPr>
            <w:r/>
            <w:r>
              <w:rPr>
                <w:b w:val="0"/>
                <w:sz w:val="18"/>
              </w:rPr>
              <w:t>partner_x::transformer::inference</w:t>
            </w:r>
          </w:p>
        </w:tc>
      </w:tr>
      <w:tr>
        <w:trPr>
          <w:cantSplit/>
          <w:cantSplit/>
        </w:trPr>
        <w:tc>
          <w:tcPr>
            <w:tcW w:type="dxa" w:w="2592"/>
            <w:vAlign w:val="top"/>
          </w:tcPr>
          <w:p>
            <w:pPr>
              <w:spacing w:after="0"/>
            </w:pPr>
            <w:r/>
            <w:r>
              <w:rPr>
                <w:b w:val="0"/>
                <w:sz w:val="18"/>
              </w:rPr>
              <w:t>Semantic enforcement</w:t>
            </w:r>
          </w:p>
        </w:tc>
        <w:tc>
          <w:tcPr>
            <w:tcW w:type="dxa" w:w="2592"/>
            <w:vAlign w:val="top"/>
          </w:tcPr>
          <w:p>
            <w:pPr>
              <w:spacing w:after="0"/>
            </w:pPr>
            <w:r/>
            <w:r>
              <w:rPr>
                <w:b w:val="0"/>
                <w:sz w:val="18"/>
              </w:rPr>
              <w:t>Insufficient by itself</w:t>
            </w:r>
          </w:p>
        </w:tc>
        <w:tc>
          <w:tcPr>
            <w:tcW w:type="dxa" w:w="5760"/>
            <w:vAlign w:val="top"/>
          </w:tcPr>
          <w:p>
            <w:pPr>
              <w:spacing w:after="0"/>
            </w:pPr>
            <w:r/>
            <w:r>
              <w:rPr>
                <w:b w:val="0"/>
                <w:sz w:val="18"/>
              </w:rPr>
              <w:t>Requires registry and contracts</w:t>
            </w:r>
          </w:p>
        </w:tc>
      </w:tr>
    </w:tbl>
    <w:p/>
    <w:p>
      <w:pPr>
        <w:pStyle w:val="Heading2"/>
      </w:pPr>
      <w:r>
        <w:t>3.4 What Namespace Alone Cannot Do</w:t>
      </w:r>
    </w:p>
    <w:p>
      <w:r>
        <w:t>Namespace alone cannot answer whether one sub-domain inherits another sub-domain contract, whether a runtime state update rule is compatible with rollout, which verifier should run at a boundary, or whether an operation is legal in inference but illegal in pre-training. These questions require explicit domain descriptors, contract declarations, verifier hooks, pass pipelines, and diagnostics.</w:t>
      </w:r>
    </w:p>
    <w:p>
      <w:pPr>
        <w:pStyle w:val="CodeBlock"/>
      </w:pPr>
      <w:r>
        <w:rPr>
          <w:rFonts w:ascii="Consolas" w:hAnsi="Consolas" w:eastAsia="Consolas"/>
          <w:sz w:val="17"/>
        </w:rPr>
        <w:t>Questions namespace alone cannot answer:</w:t>
        <w:br/>
        <w:t xml:space="preserve">  - Does rollout inherit generation semantics?</w:t>
        <w:br/>
        <w:t xml:space="preserve">  - Does inference use the same linear-attention state update as rollout?</w:t>
        <w:br/>
        <w:t xml:space="preserve">  - Is this checkpoint ABI compatible with this runtime backend?</w:t>
        <w:br/>
        <w:t xml:space="preserve">  - Which verifier runs at the RL-to-inference boundary?</w:t>
        <w:br/>
        <w:t xml:space="preserve">  - Does this sub-domain require logprob replay?</w:t>
        <w:br/>
        <w:t xml:space="preserve">  - Does this MoE layer use the same router, top-k rule, expert ID mapping, and dispatch/combine semantics across pre-training, RL rollout, and inference?</w:t>
      </w:r>
    </w:p>
    <w:p>
      <w:pPr>
        <w:pStyle w:val="Heading2"/>
      </w:pPr>
      <w:r>
        <w:t>3.5 Domain and Sub-Domain Registry</w:t>
      </w:r>
    </w:p>
    <w:p>
      <w:r>
        <w:t>Each domain namespace should register a descriptor. The descriptor declares the parent domain, inherited contracts, owned operations, owned types, owned runtime states, verifier hooks, pass hooks, backend requirements, diagnostic codes, and version information.</w:t>
      </w:r>
    </w:p>
    <w:p>
      <w:pPr>
        <w:pStyle w:val="CodeBlock"/>
      </w:pPr>
      <w:r>
        <w:rPr>
          <w:rFonts w:ascii="Consolas" w:hAnsi="Consolas" w:eastAsia="Consolas"/>
          <w:sz w:val="17"/>
        </w:rPr>
        <w:t>ANT_REGISTER_SUBDOMAIN({</w:t>
        <w:br/>
        <w:t xml:space="preserve">    .name = "ant.domain.transformer.rl_posttraining.rollout",</w:t>
        <w:br/>
        <w:t xml:space="preserve">    .parent = "ant.domain.transformer",</w:t>
        <w:br/>
        <w:t xml:space="preserve">    .phase = Phase::RL_ROLLOUT,</w:t>
        <w:br/>
        <w:t xml:space="preserve">    .inherits = {</w:t>
        <w:br/>
        <w:t xml:space="preserve">        "ant.domain.transformer.semantic",</w:t>
        <w:br/>
        <w:t xml:space="preserve">        "ant.domain.transformer.generation"</w:t>
        <w:br/>
        <w:t xml:space="preserve">    },</w:t>
        <w:br/>
        <w:t xml:space="preserve">    .requires = {</w:t>
        <w:br/>
        <w:t xml:space="preserve">        Contract::TokenizerABI,</w:t>
        <w:br/>
        <w:t xml:space="preserve">        Contract::ChatTemplateABI,</w:t>
        <w:br/>
        <w:t xml:space="preserve">        Contract::GenerationPolicy,</w:t>
        <w:br/>
        <w:t xml:space="preserve">        Contract::LogprobReplay,</w:t>
        <w:br/>
        <w:t xml:space="preserve">        Contract::LinearAttentionState</w:t>
        <w:br/>
        <w:t xml:space="preserve">    },</w:t>
        <w:br/>
        <w:t xml:space="preserve">    .verifiers = {</w:t>
        <w:br/>
        <w:t xml:space="preserve">        verify_tokenizer_contract,</w:t>
        <w:br/>
        <w:t xml:space="preserve">        verify_generation_contract,</w:t>
        <w:br/>
        <w:t xml:space="preserve">        verify_logprob_contract,</w:t>
        <w:br/>
        <w:t xml:space="preserve">        verify_linear_attention_state_contract</w:t>
        <w:br/>
        <w:t xml:space="preserve">    },</w:t>
        <w:br/>
        <w:t xml:space="preserve">    .passes = {</w:t>
        <w:br/>
        <w:t xml:space="preserve">        lower_rollout_generate,</w:t>
        <w:br/>
        <w:t xml:space="preserve">        attach_old_policy_logprobs,</w:t>
        <w:br/>
        <w:t xml:space="preserve">        emit_rollout_trace</w:t>
        <w:br/>
        <w:t xml:space="preserve">    }</w:t>
        <w:br/>
        <w:t>});</w:t>
      </w:r>
    </w:p>
    <w:p>
      <w:pPr>
        <w:pStyle w:val="Heading2"/>
      </w:pPr>
      <w:r>
        <w:t>3.6 Contract Registration</w:t>
      </w:r>
    </w:p>
    <w:p>
      <w:r>
        <w:t>A contract defines a compatibility rule between domains or sub-domains. For example, the compatibility between RL rollout and inference can be declared explicitly:</w:t>
      </w:r>
    </w:p>
    <w:p>
      <w:pPr>
        <w:pStyle w:val="CodeBlock"/>
      </w:pPr>
      <w:r>
        <w:rPr>
          <w:rFonts w:ascii="Consolas" w:hAnsi="Consolas" w:eastAsia="Consolas"/>
          <w:sz w:val="17"/>
        </w:rPr>
        <w:t>ANT_REGISTER_CONTRACT({</w:t>
        <w:br/>
        <w:t xml:space="preserve">    .name = "RolloutInferenceCompatibility",</w:t>
        <w:br/>
        <w:t xml:space="preserve">    .source = "ant.domain.transformer.rl_posttraining.rollout",</w:t>
        <w:br/>
        <w:t xml:space="preserve">    .target = "ant.domain.transformer.inference",</w:t>
        <w:br/>
        <w:t xml:space="preserve">    .requires = {</w:t>
        <w:br/>
        <w:t xml:space="preserve">        "same_tokenizer",</w:t>
        <w:br/>
        <w:t xml:space="preserve">        "same_chat_template",</w:t>
        <w:br/>
        <w:t xml:space="preserve">        "same_position_encoding",</w:t>
        <w:br/>
        <w:t xml:space="preserve">        "same_linear_attention_state_update",</w:t>
        <w:br/>
        <w:t xml:space="preserve">        "same_stop_policy",</w:t>
        <w:br/>
        <w:t xml:space="preserve">        "logprob_replay_within_tolerance"</w:t>
        <w:br/>
        <w:t xml:space="preserve">    },</w:t>
        <w:br/>
        <w:t xml:space="preserve">    .diagnostics = {</w:t>
        <w:br/>
        <w:t xml:space="preserve">        "CTOK-001",</w:t>
        <w:br/>
        <w:t xml:space="preserve">        "CTOK-004",</w:t>
        <w:br/>
        <w:t xml:space="preserve">        "CLATT-003",</w:t>
        <w:br/>
        <w:t xml:space="preserve">        "CCONF-004"</w:t>
        <w:br/>
        <w:t xml:space="preserve">    }</w:t>
        <w:br/>
        <w:t>});</w:t>
      </w:r>
    </w:p>
    <w:p>
      <w:pPr>
        <w:pStyle w:val="Heading2"/>
      </w:pPr>
      <w:r>
        <w:t>3.7 Sub-Domain Inheritance</w:t>
      </w:r>
    </w:p>
    <w:p>
      <w:r>
        <w:t>Sub-domains should support inheritance-like behavior. Shared facts live in the parent domain; phase-specific facts live in sub-domains. This avoids duplicating semantics and allows phase-specific verification rules to extend the shared model contract.</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tblHeader/>
          <w:cantSplit/>
          <w:tblHeader w:val="true"/>
        </w:trPr>
        <w:tc>
          <w:tcPr>
            <w:tcW w:type="dxa" w:w="3456"/>
            <w:vAlign w:val="top"/>
            <w:shd w:fill="D9EAF7"/>
          </w:tcPr>
          <w:p>
            <w:pPr>
              <w:spacing w:after="0"/>
            </w:pPr>
            <w:r/>
            <w:r>
              <w:rPr>
                <w:b/>
                <w:sz w:val="18"/>
              </w:rPr>
              <w:t>Sub-domain</w:t>
            </w:r>
          </w:p>
        </w:tc>
        <w:tc>
          <w:tcPr>
            <w:tcW w:type="dxa" w:w="2592"/>
            <w:vAlign w:val="top"/>
            <w:shd w:fill="D9EAF7"/>
          </w:tcPr>
          <w:p>
            <w:pPr>
              <w:spacing w:after="0"/>
            </w:pPr>
            <w:r/>
            <w:r>
              <w:rPr>
                <w:b/>
                <w:sz w:val="18"/>
              </w:rPr>
              <w:t>Inherits</w:t>
            </w:r>
          </w:p>
        </w:tc>
        <w:tc>
          <w:tcPr>
            <w:tcW w:type="dxa" w:w="4896"/>
            <w:vAlign w:val="top"/>
            <w:shd w:fill="D9EAF7"/>
          </w:tcPr>
          <w:p>
            <w:pPr>
              <w:spacing w:after="0"/>
            </w:pPr>
            <w:r/>
            <w:r>
              <w:rPr>
                <w:b/>
                <w:sz w:val="18"/>
              </w:rPr>
              <w:t>Adds</w:t>
            </w:r>
          </w:p>
        </w:tc>
      </w:tr>
      <w:tr>
        <w:trPr>
          <w:cantSplit/>
          <w:cantSplit/>
        </w:trPr>
        <w:tc>
          <w:tcPr>
            <w:tcW w:type="dxa" w:w="3456"/>
            <w:vAlign w:val="top"/>
          </w:tcPr>
          <w:p>
            <w:pPr>
              <w:spacing w:after="0"/>
            </w:pPr>
            <w:r/>
            <w:r>
              <w:rPr>
                <w:b w:val="0"/>
                <w:sz w:val="18"/>
              </w:rPr>
              <w:t>transformer::semantic</w:t>
            </w:r>
          </w:p>
        </w:tc>
        <w:tc>
          <w:tcPr>
            <w:tcW w:type="dxa" w:w="2592"/>
            <w:vAlign w:val="top"/>
          </w:tcPr>
          <w:p>
            <w:pPr>
              <w:spacing w:after="0"/>
            </w:pPr>
            <w:r/>
            <w:r>
              <w:rPr>
                <w:b w:val="0"/>
                <w:sz w:val="18"/>
              </w:rPr>
              <w:t>None</w:t>
            </w:r>
          </w:p>
        </w:tc>
        <w:tc>
          <w:tcPr>
            <w:tcW w:type="dxa" w:w="4896"/>
            <w:vAlign w:val="top"/>
          </w:tcPr>
          <w:p>
            <w:pPr>
              <w:spacing w:after="0"/>
            </w:pPr>
            <w:r/>
            <w:r>
              <w:rPr>
                <w:b w:val="0"/>
                <w:sz w:val="18"/>
              </w:rPr>
              <w:t>Architecture, tokenizer ABI, position encoding, attention semantics, checkpoint ABI, logits semantics.</w:t>
            </w:r>
          </w:p>
        </w:tc>
      </w:tr>
      <w:tr>
        <w:trPr>
          <w:cantSplit/>
          <w:cantSplit/>
        </w:trPr>
        <w:tc>
          <w:tcPr>
            <w:tcW w:type="dxa" w:w="3456"/>
            <w:vAlign w:val="top"/>
          </w:tcPr>
          <w:p>
            <w:pPr>
              <w:spacing w:after="0"/>
            </w:pPr>
            <w:r/>
            <w:r>
              <w:rPr>
                <w:b w:val="0"/>
                <w:sz w:val="18"/>
              </w:rPr>
              <w:t>transformer::generation</w:t>
            </w:r>
          </w:p>
        </w:tc>
        <w:tc>
          <w:tcPr>
            <w:tcW w:type="dxa" w:w="2592"/>
            <w:vAlign w:val="top"/>
          </w:tcPr>
          <w:p>
            <w:pPr>
              <w:spacing w:after="0"/>
            </w:pPr>
            <w:r/>
            <w:r>
              <w:rPr>
                <w:b w:val="0"/>
                <w:sz w:val="18"/>
              </w:rPr>
              <w:t>semantic</w:t>
            </w:r>
          </w:p>
        </w:tc>
        <w:tc>
          <w:tcPr>
            <w:tcW w:type="dxa" w:w="4896"/>
            <w:vAlign w:val="top"/>
          </w:tcPr>
          <w:p>
            <w:pPr>
              <w:spacing w:after="0"/>
            </w:pPr>
            <w:r/>
            <w:r>
              <w:rPr>
                <w:b w:val="0"/>
                <w:sz w:val="18"/>
              </w:rPr>
              <w:t>Sampling policy, stop-token behavior, EOS behavior, logprob semantics, generation configuration.</w:t>
            </w:r>
          </w:p>
        </w:tc>
      </w:tr>
      <w:tr>
        <w:trPr>
          <w:cantSplit/>
          <w:cantSplit/>
        </w:trPr>
        <w:tc>
          <w:tcPr>
            <w:tcW w:type="dxa" w:w="3456"/>
            <w:vAlign w:val="top"/>
          </w:tcPr>
          <w:p>
            <w:pPr>
              <w:spacing w:after="0"/>
            </w:pPr>
            <w:r/>
            <w:r>
              <w:rPr>
                <w:b w:val="0"/>
                <w:sz w:val="18"/>
              </w:rPr>
              <w:t>transformer::rl_posttraining::rollout</w:t>
            </w:r>
          </w:p>
        </w:tc>
        <w:tc>
          <w:tcPr>
            <w:tcW w:type="dxa" w:w="2592"/>
            <w:vAlign w:val="top"/>
          </w:tcPr>
          <w:p>
            <w:pPr>
              <w:spacing w:after="0"/>
            </w:pPr>
            <w:r/>
            <w:r>
              <w:rPr>
                <w:b w:val="0"/>
                <w:sz w:val="18"/>
              </w:rPr>
              <w:t>semantic + generation</w:t>
            </w:r>
          </w:p>
        </w:tc>
        <w:tc>
          <w:tcPr>
            <w:tcW w:type="dxa" w:w="4896"/>
            <w:vAlign w:val="top"/>
          </w:tcPr>
          <w:p>
            <w:pPr>
              <w:spacing w:after="0"/>
            </w:pPr>
            <w:r/>
            <w:r>
              <w:rPr>
                <w:b w:val="0"/>
                <w:sz w:val="18"/>
              </w:rPr>
              <w:t>Rollout traces, old-policy logprobs, reward input, loss masks, actor weight version.</w:t>
            </w:r>
          </w:p>
        </w:tc>
      </w:tr>
      <w:tr>
        <w:trPr>
          <w:cantSplit/>
          <w:cantSplit/>
        </w:trPr>
        <w:tc>
          <w:tcPr>
            <w:tcW w:type="dxa" w:w="3456"/>
            <w:vAlign w:val="top"/>
          </w:tcPr>
          <w:p>
            <w:pPr>
              <w:spacing w:after="0"/>
            </w:pPr>
            <w:r/>
            <w:r>
              <w:rPr>
                <w:b w:val="0"/>
                <w:sz w:val="18"/>
              </w:rPr>
              <w:t>transformer::inference</w:t>
            </w:r>
          </w:p>
        </w:tc>
        <w:tc>
          <w:tcPr>
            <w:tcW w:type="dxa" w:w="2592"/>
            <w:vAlign w:val="top"/>
          </w:tcPr>
          <w:p>
            <w:pPr>
              <w:spacing w:after="0"/>
            </w:pPr>
            <w:r/>
            <w:r>
              <w:rPr>
                <w:b w:val="0"/>
                <w:sz w:val="18"/>
              </w:rPr>
              <w:t>semantic + generation</w:t>
            </w:r>
          </w:p>
        </w:tc>
        <w:tc>
          <w:tcPr>
            <w:tcW w:type="dxa" w:w="4896"/>
            <w:vAlign w:val="top"/>
          </w:tcPr>
          <w:p>
            <w:pPr>
              <w:spacing w:after="0"/>
            </w:pPr>
            <w:r/>
            <w:r>
              <w:rPr>
                <w:b w:val="0"/>
                <w:sz w:val="18"/>
              </w:rPr>
              <w:t>Serving scheduler, request batching, prefix cache/state cache, backend capability, latency constraints.</w:t>
            </w:r>
          </w:p>
        </w:tc>
      </w:tr>
    </w:tbl>
    <w:p/>
    <w:p>
      <w:pPr>
        <w:pStyle w:val="Heading2"/>
      </w:pPr>
      <w:r>
        <w:t>3.8 Namespace and Configuration Separation</w:t>
      </w:r>
    </w:p>
    <w:p>
      <w:r>
        <w:t>Namespace should describe semantic location, not every runtime configuration. Runtime details belong in metadata. This avoids unmanageable namespace names that mix semantics with deployment flags.</w:t>
      </w:r>
    </w:p>
    <w:p>
      <w:pPr>
        <w:pStyle w:val="CodeBlock"/>
      </w:pPr>
      <w:r>
        <w:rPr>
          <w:rFonts w:ascii="Consolas" w:hAnsi="Consolas" w:eastAsia="Consolas"/>
          <w:sz w:val="17"/>
        </w:rPr>
        <w:t>Bad:</w:t>
        <w:br/>
        <w:t xml:space="preserve">  transformer::rollout::linear_attention::bf16::sglang::tp4::maxseq32768</w:t>
        <w:br/>
        <w:br/>
        <w:t>Better namespace:</w:t>
        <w:br/>
        <w:t xml:space="preserve">  transformer::rl_posttraining::rollout</w:t>
        <w:br/>
        <w:br/>
        <w:t>Metadata:</w:t>
        <w:br/>
        <w:t xml:space="preserve">  backend: sglang</w:t>
        <w:br/>
        <w:t xml:space="preserve">  attention: linear_attention</w:t>
        <w:br/>
        <w:t xml:space="preserve">  dtype: bf16</w:t>
        <w:br/>
        <w:t xml:space="preserve">  tensor_parallel: 4</w:t>
        <w:br/>
        <w:t xml:space="preserve">  max_sequence_length: 32768</w:t>
        <w:br/>
        <w:t xml:space="preserve">  requires_logprobs: true</w:t>
      </w:r>
    </w:p>
    <w:p>
      <w:pPr>
        <w:pStyle w:val="Heading2"/>
      </w:pPr>
      <w:r>
        <w:t>3.9 Application to Linear Attention</w:t>
      </w:r>
    </w:p>
    <w:p>
      <w:r>
        <w:t>The namespace mechanism is especially useful when introducing new runtime state models such as linear attention. Standard multi-head attention uses KV cache as the primary inference state. Linear attention uses recurrent state instead. Therefore, the runtime-state sub-domain should support both KV cache and linear-attention state.</w:t>
      </w:r>
    </w:p>
    <w:p>
      <w:pPr>
        <w:pStyle w:val="CodeBlock"/>
      </w:pPr>
      <w:r>
        <w:rPr>
          <w:rFonts w:ascii="Consolas" w:hAnsi="Consolas" w:eastAsia="Consolas"/>
          <w:sz w:val="17"/>
        </w:rPr>
        <w:t>namespace ant::domain::transformer::runtime_state::kv_cache {}</w:t>
        <w:br/>
        <w:t>namespace ant::domain::transformer::runtime_state::linear_attention {}</w:t>
      </w:r>
    </w:p>
    <w:p>
      <w:r>
        <w:t>The linear-attention state sub-domain should register state shape, state dtype, initialization rule, update rule, chunked-prefill rule, recurrent-decode rule, prefix-state reuse rule, state-transfer rule, quantization rule, and equivalence tests. This illustrates the larger principle: a Transformer domain should have first-class sub-domains for runtime states and model-structure mechanisms that affect execution semantics.</w:t>
      </w:r>
    </w:p>
    <w:p>
      <w:pPr>
        <w:pStyle w:val="Heading2"/>
      </w:pPr>
      <w:r>
        <w:t>3.10 Attention Semantics as a First-Class Transformer Contract</w:t>
      </w:r>
    </w:p>
    <w:p>
      <w:pPr/>
      <w:r>
        <w:t>Attention semantics should be represented as a first-class part of the Transformer semantic domain. The attention mechanism is not merely a kernel choice or runtime implementation detail. It defines how the model scores context, applies masks and position encoding, updates runtime state, and preserves behavior across pre-training, RL post-training, and inference.</w:t>
      </w:r>
    </w:p>
    <w:p>
      <w:pPr/>
      <w:r>
        <w:t>The compiler should therefore treat attention semantics as part of the model ABI. A model trained with softmax MHA, GQA, or MQA must not be silently served or post-trained as a linear-attention model, MLA model, or other attention variant. Such a change is a model-conversion event that requires an explicit conversion contract and certification report.</w:t>
      </w:r>
    </w:p>
    <w:p>
      <w:pPr>
        <w:pStyle w:val="CodeBlock"/>
      </w:pPr>
      <w:r>
        <w:rPr>
          <w:rFonts w:ascii="Consolas" w:hAnsi="Consolas" w:eastAsia="Consolas"/>
          <w:sz w:val="17"/>
        </w:rPr>
        <w:t>namespace ant::domain::transformer::attention {}</w:t>
        <w:br/>
        <w:t>namespace ant::domain::transformer::attention::softmax_mha {}</w:t>
        <w:br/>
        <w:t>namespace ant::domain::transformer::attention::gqa {}</w:t>
        <w:br/>
        <w:t>namespace ant::domain::transformer::attention::mqa {}</w:t>
        <w:br/>
        <w:t>namespace ant::domain::transformer::attention::mla {}</w:t>
        <w:br/>
        <w:t>namespace ant::domain::transformer::attention::linear_attention {}</w:t>
      </w:r>
    </w:p>
    <w:p>
      <w:pPr/>
      <w:r>
        <w:t>The attention semantic contract should register the attention type, head configuration, Q/K/V projection rules, score rule, normalization rule, causal and sliding-window mask semantics, position-encoding interaction, prefill rule, decode rule, runtime-state type, prefix-reuse semantics, and legal conversion policy.</w:t>
      </w:r>
    </w:p>
    <w:p>
      <w:pPr>
        <w:pStyle w:val="CodeBlock"/>
      </w:pPr>
      <w:r>
        <w:rPr>
          <w:rFonts w:ascii="Consolas" w:hAnsi="Consolas" w:eastAsia="Consolas"/>
          <w:sz w:val="17"/>
        </w:rPr>
        <w:t>AttentionSemanticContract {</w:t>
        <w:br/>
        <w:t xml:space="preserve">  attention_type: softmax_mha | gqa | mqa | mla | linear_attention | hybrid</w:t>
        <w:br/>
        <w:t xml:space="preserve">  heads: { num_query_heads, num_kv_heads, head_dim }</w:t>
        <w:br/>
        <w:t xml:space="preserve">  projections: { q_proj, k_proj, v_proj, output_proj }</w:t>
        <w:br/>
        <w:t xml:space="preserve">  score_rule: softmax_qk | kernel_feature_map | latent_projection | custom</w:t>
        <w:br/>
        <w:t xml:space="preserve">  mask_semantics: causal | sliding_window | block_sparse | hybrid</w:t>
        <w:br/>
        <w:t xml:space="preserve">  position_encoding: rope | alibi | absolute | none | custom</w:t>
        <w:br/>
        <w:t xml:space="preserve">  runtime_state: KVCacheState | LinearAttentionState | CompressedKVState</w:t>
        <w:br/>
        <w:t xml:space="preserve">  prefill_rule: declared</w:t>
        <w:br/>
        <w:t xml:space="preserve">  decode_rule: declared</w:t>
        <w:br/>
        <w:t xml:space="preserve">  prefix_reuse_rule: declared</w:t>
        <w:br/>
        <w:t xml:space="preserve">  conversion_policy: unchanged | conversion_required</w:t>
        <w:br/>
        <w:t>}</w:t>
      </w:r>
    </w:p>
    <w:p>
      <w:pPr/>
      <w:r>
        <w:t>This separates the semantic attention operator from the physical runtime state. Softmax MHA/GQA/MQA typically uses KVCacheState. Linear attention uses LinearAttentionState. MLA or compressed-attention variants may use compressed or latent KV state. The runtime-state sub-domain owns the physical state object; the attention sub-domain owns the semantics that make that state meaningful.</w:t>
      </w:r>
    </w:p>
    <w:p>
      <w:pPr>
        <w:pStyle w:val="Heading2"/>
      </w:pPr>
      <w:r>
        <w:t>3.11 Application to MoE as a First-Class Transformer Sub-Domain</w:t>
      </w:r>
    </w:p>
    <w:p>
      <w:pPr/>
      <w:r>
        <w:t>MoE should be represented as a first-class Transformer sub-domain because sparse expert routing changes the executable semantics of the model. In a dense MLP layer, every token flows through the same feed-forward weights. In an MoE layer, each token is routed by a router or gate to a selected subset of experts, and the expert outputs are combined according to routing probabilities or weights. Therefore, router behavior, expert identity, expert ordering, token dispatch, expert output combine, expert-parallel placement, capacity policy, load-balancing policy, and quantization policy are part of the model ABI, not optional runtime details.</w:t>
      </w:r>
    </w:p>
    <w:p>
      <w:pPr/>
      <w:r>
        <w:t>This matters because modern large-scale sparse models use MoE to increase total parameters while activating only a subset per token. Mixtral 8x7B routes each token to two of eight feed-forward experts, while DeepSeek-V3 reports 671B total parameters with 37B activated per token. These examples show why the compiler IR must distinguish total parameters, activated parameters, expert identity, and routing semantics. [12][13]</w:t>
      </w:r>
    </w:p>
    <w:p>
      <w:pPr>
        <w:pStyle w:val="CodeBlock"/>
      </w:pPr>
      <w:r>
        <w:rPr>
          <w:rFonts w:ascii="Consolas" w:hAnsi="Consolas" w:eastAsia="Consolas"/>
          <w:sz w:val="17"/>
        </w:rPr>
        <w:t>namespace ant::domain::transformer::moe {}</w:t>
        <w:br/>
        <w:t>namespace ant::domain::transformer::moe::router {}</w:t>
        <w:br/>
        <w:t>namespace ant::domain::transformer::moe::experts {}</w:t>
        <w:br/>
        <w:t>namespace ant::domain::transformer::moe::expert_parallel {}</w:t>
        <w:br/>
        <w:t>namespace ant::domain::transformer::moe::dispatch {}</w:t>
        <w:br/>
        <w:t>namespace ant::domain::transformer::moe::load_balance {}</w:t>
      </w:r>
    </w:p>
    <w:p>
      <w:pPr/>
      <w:r>
        <w:t>The MoE sub-domain should register the router type, top-k or top-p expert selection rule, number of experts, experts per token, shared expert configuration, expert MLP type, expert ID mapping, expert-parallel topology, dispatch algorithm, combine algorithm, capacity factor, token-drop or token-dropless policy, load-balancing loss policy, grouped-GEMM requirements, all-to-all communication requirements, and expert quantization rules.</w:t>
      </w:r>
    </w:p>
    <w:p>
      <w:pPr>
        <w:pStyle w:val="CodeBlock"/>
      </w:pPr>
      <w:r>
        <w:rPr>
          <w:rFonts w:ascii="Consolas" w:hAnsi="Consolas" w:eastAsia="Consolas"/>
          <w:sz w:val="17"/>
        </w:rPr>
        <w:t>ANT_REGISTER_SUBDOMAIN({</w:t>
        <w:br/>
        <w:t xml:space="preserve">    .name = "ant.domain.transformer.moe",</w:t>
        <w:br/>
        <w:t xml:space="preserve">    .parent = "ant.domain.transformer",</w:t>
        <w:br/>
        <w:t xml:space="preserve">    .inherits = {</w:t>
        <w:br/>
        <w:t xml:space="preserve">        "ant.domain.transformer.semantic"</w:t>
        <w:br/>
        <w:t xml:space="preserve">    },</w:t>
        <w:br/>
        <w:t xml:space="preserve">    .requires = {</w:t>
        <w:br/>
        <w:t xml:space="preserve">        Contract::MoERouter,</w:t>
        <w:br/>
        <w:t xml:space="preserve">        Contract::ExpertIdentity,</w:t>
        <w:br/>
        <w:t xml:space="preserve">        Contract::ExpertPlacement,</w:t>
        <w:br/>
        <w:t xml:space="preserve">        Contract::TokenDispatch,</w:t>
        <w:br/>
        <w:t xml:space="preserve">        Contract::ExpertCombine,</w:t>
        <w:br/>
        <w:t xml:space="preserve">        Contract::ExpertParallelism,</w:t>
        <w:br/>
        <w:t xml:space="preserve">        Contract::LoadBalancePolicy</w:t>
        <w:br/>
        <w:t xml:space="preserve">    },</w:t>
        <w:br/>
        <w:t xml:space="preserve">    .verifiers = {</w:t>
        <w:br/>
        <w:t xml:space="preserve">        verify_moe_router_contract,</w:t>
        <w:br/>
        <w:t xml:space="preserve">        verify_expert_id_mapping,</w:t>
        <w:br/>
        <w:t xml:space="preserve">        verify_expert_parallel_mapping,</w:t>
        <w:br/>
        <w:t xml:space="preserve">        verify_dispatch_combine_contract,</w:t>
        <w:br/>
        <w:t xml:space="preserve">        verify_moe_conformance_tests</w:t>
        <w:br/>
        <w:t xml:space="preserve">    }</w:t>
        <w:br/>
        <w:t>});</w:t>
      </w:r>
    </w:p>
    <w:p>
      <w:pPr/>
      <w:r>
        <w:t>MoE should therefore sit beside attention and runtime-state mechanisms as a first-class Transformer sub-domain. The dense Transformer semantic core defines the residual stream and layer structure; the MoE sub-domain defines how sparse experts are selected, executed, communicated across devices, and recombined into that residual stream.</w:t>
      </w:r>
    </w:p>
    <w:p>
      <w:pPr>
        <w:pStyle w:val="Heading2"/>
      </w:pPr>
      <w:r>
        <w:t>3.12 Role in Multi-Organization Collaboration</w:t>
      </w:r>
    </w:p>
    <w:p>
      <w:r>
        <w:t>This design supports multi-organization development. Group A may own Megatron pre-training under transformer::pretraining, including MoE router and expert training. Group B may own PyTorch/SGLang RL post-training under transformer::rl_posttraining, including rollout-time route replay and old-policy logprobs. Group C may own SGLang inference under transformer::inference, including expert-parallel placement and dispatch/combine implementation. The shared Transformer semantic domain and MoE sub-domain define the common model contract, and the compiler verifies boundary contracts.</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tblHeader/>
          <w:cantSplit/>
          <w:tblHeader w:val="true"/>
        </w:trPr>
        <w:tc>
          <w:tcPr>
            <w:tcW w:type="dxa" w:w="1728"/>
            <w:vAlign w:val="top"/>
            <w:shd w:fill="D9EAF7"/>
          </w:tcPr>
          <w:p>
            <w:pPr>
              <w:spacing w:after="0"/>
            </w:pPr>
            <w:r/>
            <w:r>
              <w:rPr>
                <w:b/>
                <w:sz w:val="18"/>
              </w:rPr>
              <w:t>Group</w:t>
            </w:r>
          </w:p>
        </w:tc>
        <w:tc>
          <w:tcPr>
            <w:tcW w:type="dxa" w:w="3312"/>
            <w:vAlign w:val="top"/>
            <w:shd w:fill="D9EAF7"/>
          </w:tcPr>
          <w:p>
            <w:pPr>
              <w:spacing w:after="0"/>
            </w:pPr>
            <w:r/>
            <w:r>
              <w:rPr>
                <w:b/>
                <w:sz w:val="18"/>
              </w:rPr>
              <w:t>Owned sub-domain</w:t>
            </w:r>
          </w:p>
        </w:tc>
        <w:tc>
          <w:tcPr>
            <w:tcW w:type="dxa" w:w="5904"/>
            <w:vAlign w:val="top"/>
            <w:shd w:fill="D9EAF7"/>
          </w:tcPr>
          <w:p>
            <w:pPr>
              <w:spacing w:after="0"/>
            </w:pPr>
            <w:r/>
            <w:r>
              <w:rPr>
                <w:b/>
                <w:sz w:val="18"/>
              </w:rPr>
              <w:t>Gatekeeper responsibility</w:t>
            </w:r>
          </w:p>
        </w:tc>
      </w:tr>
      <w:tr>
        <w:trPr>
          <w:cantSplit/>
          <w:cantSplit/>
        </w:trPr>
        <w:tc>
          <w:tcPr>
            <w:tcW w:type="dxa" w:w="1728"/>
            <w:vAlign w:val="top"/>
          </w:tcPr>
          <w:p>
            <w:pPr>
              <w:spacing w:after="0"/>
            </w:pPr>
            <w:r/>
            <w:r>
              <w:rPr>
                <w:b w:val="0"/>
                <w:sz w:val="18"/>
              </w:rPr>
              <w:t>Group A</w:t>
            </w:r>
          </w:p>
        </w:tc>
        <w:tc>
          <w:tcPr>
            <w:tcW w:type="dxa" w:w="3312"/>
            <w:vAlign w:val="top"/>
          </w:tcPr>
          <w:p>
            <w:pPr>
              <w:spacing w:after="0"/>
            </w:pPr>
            <w:r/>
            <w:r>
              <w:rPr>
                <w:b w:val="0"/>
                <w:sz w:val="18"/>
              </w:rPr>
              <w:t>transformer::pretraining</w:t>
            </w:r>
          </w:p>
        </w:tc>
        <w:tc>
          <w:tcPr>
            <w:tcW w:type="dxa" w:w="5904"/>
            <w:vAlign w:val="top"/>
          </w:tcPr>
          <w:p>
            <w:pPr>
              <w:spacing w:after="0"/>
            </w:pPr>
            <w:r/>
            <w:r>
              <w:rPr>
                <w:b w:val="0"/>
                <w:sz w:val="18"/>
              </w:rPr>
              <w:t>Export architecture, tokenizer, checkpoint ABI, and linear-attention semantics.</w:t>
            </w:r>
          </w:p>
        </w:tc>
      </w:tr>
      <w:tr>
        <w:trPr>
          <w:cantSplit/>
          <w:cantSplit/>
        </w:trPr>
        <w:tc>
          <w:tcPr>
            <w:tcW w:type="dxa" w:w="1728"/>
            <w:vAlign w:val="top"/>
          </w:tcPr>
          <w:p>
            <w:pPr>
              <w:spacing w:after="0"/>
            </w:pPr>
            <w:r/>
            <w:r>
              <w:rPr>
                <w:b w:val="0"/>
                <w:sz w:val="18"/>
              </w:rPr>
              <w:t>Group B</w:t>
            </w:r>
          </w:p>
        </w:tc>
        <w:tc>
          <w:tcPr>
            <w:tcW w:type="dxa" w:w="3312"/>
            <w:vAlign w:val="top"/>
          </w:tcPr>
          <w:p>
            <w:pPr>
              <w:spacing w:after="0"/>
            </w:pPr>
            <w:r/>
            <w:r>
              <w:rPr>
                <w:b w:val="0"/>
                <w:sz w:val="18"/>
              </w:rPr>
              <w:t>transformer::rl_posttraining</w:t>
            </w:r>
          </w:p>
        </w:tc>
        <w:tc>
          <w:tcPr>
            <w:tcW w:type="dxa" w:w="5904"/>
            <w:vAlign w:val="top"/>
          </w:tcPr>
          <w:p>
            <w:pPr>
              <w:spacing w:after="0"/>
            </w:pPr>
            <w:r/>
            <w:r>
              <w:rPr>
                <w:b w:val="0"/>
                <w:sz w:val="18"/>
              </w:rPr>
              <w:t>Preserve model ABI, produce rollout traces, logprobs, reward inputs, and final checkpoint.</w:t>
            </w:r>
          </w:p>
        </w:tc>
      </w:tr>
      <w:tr>
        <w:trPr>
          <w:cantSplit/>
          <w:cantSplit/>
        </w:trPr>
        <w:tc>
          <w:tcPr>
            <w:tcW w:type="dxa" w:w="1728"/>
            <w:vAlign w:val="top"/>
          </w:tcPr>
          <w:p>
            <w:pPr>
              <w:spacing w:after="0"/>
            </w:pPr>
            <w:r/>
            <w:r>
              <w:rPr>
                <w:b w:val="0"/>
                <w:sz w:val="18"/>
              </w:rPr>
              <w:t>Group C</w:t>
            </w:r>
          </w:p>
        </w:tc>
        <w:tc>
          <w:tcPr>
            <w:tcW w:type="dxa" w:w="3312"/>
            <w:vAlign w:val="top"/>
          </w:tcPr>
          <w:p>
            <w:pPr>
              <w:spacing w:after="0"/>
            </w:pPr>
            <w:r/>
            <w:r>
              <w:rPr>
                <w:b w:val="0"/>
                <w:sz w:val="18"/>
              </w:rPr>
              <w:t>transformer::inference</w:t>
            </w:r>
          </w:p>
        </w:tc>
        <w:tc>
          <w:tcPr>
            <w:tcW w:type="dxa" w:w="5904"/>
            <w:vAlign w:val="top"/>
          </w:tcPr>
          <w:p>
            <w:pPr>
              <w:spacing w:after="0"/>
            </w:pPr>
            <w:r/>
            <w:r>
              <w:rPr>
                <w:b w:val="0"/>
                <w:sz w:val="18"/>
              </w:rPr>
              <w:t>Certify deployment behavior against rollout and model contracts.</w:t>
            </w:r>
          </w:p>
        </w:tc>
      </w:tr>
    </w:tbl>
    <w:p/>
    <w:p>
      <w:pPr>
        <w:pStyle w:val="Heading2"/>
      </w:pPr>
      <w:r>
        <w:t>3.13 Summary</w:t>
      </w:r>
    </w:p>
    <w:p>
      <w:r>
        <w:t>The simple namespace mechanism can support hierarchical domain design if it is paired with a registry and contract system. Namespace provides identity, hierarchy, ownership, and extension boundaries. The registry provides parent-child relationships, inheritance, owned operations and types, pass hooks, verifier hooks, and versioning. The contract system provides semantic compatibility, boundary verification, runtime guards, conformance tests, and diagnostics.</w:t>
      </w:r>
    </w:p>
    <w:p>
      <w:pPr>
        <w:pStyle w:val="Heading1"/>
        <w:pageBreakBefore/>
      </w:pPr>
      <w:r>
        <w:t>Chapter 4. Contract-Carrying Compilation and Gatekeeper Verification</w:t>
      </w:r>
    </w:p>
    <w:p>
      <w:pPr>
        <w:pStyle w:val="Heading2"/>
      </w:pPr>
      <w:r>
        <w:t>4.1 Motivation</w:t>
      </w:r>
    </w:p>
    <w:p>
      <w:r>
        <w:t>When pre-training, RL post-training, and inference are owned by different teams or frameworks, compatibility cannot be guaranteed by checkpoint loading alone. A checkpoint may load while the tokenizer, chat template, position encoding, attention state update, sampling policy, stop rule, or logprob semantics are wrong. The compiler should therefore act as a gatekeeper that verifies the cross-sub-domain contracts before a model is accepted for deployment.</w:t>
      </w:r>
    </w:p>
    <w:p>
      <w:pPr>
        <w:pStyle w:val="Heading2"/>
      </w:pPr>
      <w:r>
        <w:t>4.2 What the Compiler Can Check</w:t>
      </w:r>
    </w:p>
    <w:p>
      <w:r>
        <w:t>A compiler-based gatekeeper is strong when a requirement can be expressed as a formal structural, type, shape, layout, state, backend, or numerical-conformance constraint.</w:t>
      </w:r>
    </w:p>
    <w:tbl>
      <w:tblPr>
        <w:tblStyle w:val="TableGrid"/>
        <w:tblW w:type="auto" w:w="0"/>
        <w:jc w:val="center"/>
        <w:tblLayout w:type="autofit"/>
        <w:tblLook w:firstColumn="1" w:firstRow="1" w:lastColumn="0" w:lastRow="0" w:noHBand="0" w:noVBand="1" w:val="04A0"/>
      </w:tblPr>
      <w:tblGrid>
        <w:gridCol w:w="4968"/>
        <w:gridCol w:w="4968"/>
      </w:tblGrid>
      <w:tr>
        <w:trPr>
          <w:cantSplit/>
          <w:tblHeader/>
          <w:cantSplit/>
          <w:tblHeader w:val="true"/>
        </w:trPr>
        <w:tc>
          <w:tcPr>
            <w:tcW w:type="dxa" w:w="2880"/>
            <w:vAlign w:val="top"/>
            <w:shd w:fill="D9EAF7"/>
          </w:tcPr>
          <w:p>
            <w:pPr>
              <w:spacing w:after="0"/>
            </w:pPr>
            <w:r/>
            <w:r>
              <w:rPr>
                <w:b/>
                <w:sz w:val="18"/>
              </w:rPr>
              <w:t>Compatibility area</w:t>
            </w:r>
          </w:p>
        </w:tc>
        <w:tc>
          <w:tcPr>
            <w:tcW w:type="dxa" w:w="8064"/>
            <w:vAlign w:val="top"/>
            <w:shd w:fill="D9EAF7"/>
          </w:tcPr>
          <w:p>
            <w:pPr>
              <w:spacing w:after="0"/>
            </w:pPr>
            <w:r/>
            <w:r>
              <w:rPr>
                <w:b/>
                <w:sz w:val="18"/>
              </w:rPr>
              <w:t>Compiler-checkable examples</w:t>
            </w:r>
          </w:p>
        </w:tc>
      </w:tr>
      <w:tr>
        <w:trPr>
          <w:cantSplit/>
          <w:cantSplit/>
        </w:trPr>
        <w:tc>
          <w:tcPr>
            <w:tcW w:type="dxa" w:w="2880"/>
            <w:vAlign w:val="top"/>
          </w:tcPr>
          <w:p>
            <w:pPr>
              <w:spacing w:after="0"/>
            </w:pPr>
            <w:r/>
            <w:r>
              <w:rPr>
                <w:b w:val="0"/>
                <w:sz w:val="18"/>
              </w:rPr>
              <w:t>Tensor contracts</w:t>
            </w:r>
          </w:p>
        </w:tc>
        <w:tc>
          <w:tcPr>
            <w:tcW w:type="dxa" w:w="8064"/>
            <w:vAlign w:val="top"/>
          </w:tcPr>
          <w:p>
            <w:pPr>
              <w:spacing w:after="0"/>
            </w:pPr>
            <w:r/>
            <w:r>
              <w:rPr>
                <w:b w:val="0"/>
                <w:sz w:val="18"/>
              </w:rPr>
              <w:t>Rank, dtype, shape, symbolic dimension constraints, layout, sharding, quantization metadata.</w:t>
            </w:r>
          </w:p>
        </w:tc>
      </w:tr>
      <w:tr>
        <w:trPr>
          <w:cantSplit/>
          <w:cantSplit/>
        </w:trPr>
        <w:tc>
          <w:tcPr>
            <w:tcW w:type="dxa" w:w="2880"/>
            <w:vAlign w:val="top"/>
          </w:tcPr>
          <w:p>
            <w:pPr>
              <w:spacing w:after="0"/>
            </w:pPr>
            <w:r/>
            <w:r>
              <w:rPr>
                <w:b w:val="0"/>
                <w:sz w:val="18"/>
              </w:rPr>
              <w:t>Architecture</w:t>
            </w:r>
          </w:p>
        </w:tc>
        <w:tc>
          <w:tcPr>
            <w:tcW w:type="dxa" w:w="8064"/>
            <w:vAlign w:val="top"/>
          </w:tcPr>
          <w:p>
            <w:pPr>
              <w:spacing w:after="0"/>
            </w:pPr>
            <w:r/>
            <w:r>
              <w:rPr>
                <w:b w:val="0"/>
                <w:sz w:val="18"/>
              </w:rPr>
              <w:t>Layer count, hidden size, attention variant, head/state dimensions, MLP type, norm type, position encoding.</w:t>
            </w:r>
          </w:p>
        </w:tc>
      </w:tr>
      <w:tr>
        <w:trPr>
          <w:cantSplit/>
          <w:cantSplit/>
        </w:trPr>
        <w:tc>
          <w:tcPr>
            <w:tcW w:type="dxa" w:w="2880"/>
            <w:vAlign w:val="top"/>
          </w:tcPr>
          <w:p>
            <w:pPr>
              <w:spacing w:after="0"/>
            </w:pPr>
            <w:r/>
            <w:r>
              <w:rPr>
                <w:b w:val="0"/>
                <w:sz w:val="18"/>
              </w:rPr>
              <w:t>Checkpoint mapping</w:t>
            </w:r>
          </w:p>
        </w:tc>
        <w:tc>
          <w:tcPr>
            <w:tcW w:type="dxa" w:w="8064"/>
            <w:vAlign w:val="top"/>
          </w:tcPr>
          <w:p>
            <w:pPr>
              <w:spacing w:after="0"/>
            </w:pPr>
            <w:r/>
            <w:r>
              <w:rPr>
                <w:b w:val="0"/>
                <w:sz w:val="18"/>
              </w:rPr>
              <w:t>Missing tensors, unexpected tensors, tensor shape mismatch, shard mismatch, transposition/fusion/split rules.</w:t>
            </w:r>
          </w:p>
        </w:tc>
      </w:tr>
      <w:tr>
        <w:trPr>
          <w:cantSplit/>
          <w:cantSplit/>
        </w:trPr>
        <w:tc>
          <w:tcPr>
            <w:tcW w:type="dxa" w:w="2880"/>
            <w:vAlign w:val="top"/>
          </w:tcPr>
          <w:p>
            <w:pPr>
              <w:spacing w:after="0"/>
            </w:pPr>
            <w:r/>
            <w:r>
              <w:rPr>
                <w:b w:val="0"/>
                <w:sz w:val="18"/>
              </w:rPr>
              <w:t>Runtime state</w:t>
            </w:r>
          </w:p>
        </w:tc>
        <w:tc>
          <w:tcPr>
            <w:tcW w:type="dxa" w:w="8064"/>
            <w:vAlign w:val="top"/>
          </w:tcPr>
          <w:p>
            <w:pPr>
              <w:spacing w:after="0"/>
            </w:pPr>
            <w:r/>
            <w:r>
              <w:rPr>
                <w:b w:val="0"/>
                <w:sz w:val="18"/>
              </w:rPr>
              <w:t>KV-cache or linear-attention state shape, dtype, update rule, reset policy, prefix reuse policy.</w:t>
            </w:r>
          </w:p>
        </w:tc>
      </w:tr>
      <w:tr>
        <w:trPr>
          <w:cantSplit/>
          <w:cantSplit/>
        </w:trPr>
        <w:tc>
          <w:tcPr>
            <w:tcW w:type="dxa" w:w="2880"/>
            <w:vAlign w:val="top"/>
          </w:tcPr>
          <w:p>
            <w:pPr>
              <w:spacing w:after="0"/>
            </w:pPr>
            <w:r/>
            <w:r>
              <w:rPr>
                <w:b w:val="0"/>
                <w:sz w:val="18"/>
              </w:rPr>
              <w:t>Backend capability</w:t>
            </w:r>
          </w:p>
        </w:tc>
        <w:tc>
          <w:tcPr>
            <w:tcW w:type="dxa" w:w="8064"/>
            <w:vAlign w:val="top"/>
          </w:tcPr>
          <w:p>
            <w:pPr>
              <w:spacing w:after="0"/>
            </w:pPr>
            <w:r/>
            <w:r>
              <w:rPr>
                <w:b w:val="0"/>
                <w:sz w:val="18"/>
              </w:rPr>
              <w:t>Whether the selected backend supports model architecture, dtype, attention backend, context length, and tensor parallelism.</w:t>
            </w:r>
          </w:p>
        </w:tc>
      </w:tr>
      <w:tr>
        <w:trPr>
          <w:cantSplit/>
          <w:cantSplit/>
        </w:trPr>
        <w:tc>
          <w:tcPr>
            <w:tcW w:type="dxa" w:w="2880"/>
            <w:vAlign w:val="top"/>
          </w:tcPr>
          <w:p>
            <w:pPr>
              <w:spacing w:after="0"/>
            </w:pPr>
            <w:r/>
            <w:r>
              <w:rPr>
                <w:b w:val="0"/>
                <w:sz w:val="18"/>
              </w:rPr>
              <w:t>Conformance</w:t>
            </w:r>
          </w:p>
        </w:tc>
        <w:tc>
          <w:tcPr>
            <w:tcW w:type="dxa" w:w="8064"/>
            <w:vAlign w:val="top"/>
          </w:tcPr>
          <w:p>
            <w:pPr>
              <w:spacing w:after="0"/>
            </w:pPr>
            <w:r/>
            <w:r>
              <w:rPr>
                <w:b w:val="0"/>
                <w:sz w:val="18"/>
              </w:rPr>
              <w:t>Golden tokenization, golden logits, greedy decode equivalence, logprob replay, chunked-vs-recurrent equivalence.</w:t>
            </w:r>
          </w:p>
        </w:tc>
      </w:tr>
    </w:tbl>
    <w:p/>
    <w:p>
      <w:pPr>
        <w:pStyle w:val="Heading2"/>
      </w:pPr>
      <w:r>
        <w:t>4.3 What the Compiler Cannot Fully Check</w:t>
      </w:r>
    </w:p>
    <w:tbl>
      <w:tblPr>
        <w:tblStyle w:val="TableGrid"/>
        <w:tblW w:type="auto" w:w="0"/>
        <w:jc w:val="center"/>
        <w:tblLayout w:type="autofit"/>
        <w:tblLook w:firstColumn="1" w:firstRow="1" w:lastColumn="0" w:lastRow="0" w:noHBand="0" w:noVBand="1" w:val="04A0"/>
      </w:tblPr>
      <w:tblGrid>
        <w:gridCol w:w="4968"/>
        <w:gridCol w:w="4968"/>
      </w:tblGrid>
      <w:tr>
        <w:trPr>
          <w:cantSplit/>
          <w:tblHeader/>
          <w:cantSplit/>
          <w:tblHeader w:val="true"/>
        </w:trPr>
        <w:tc>
          <w:tcPr>
            <w:tcW w:type="dxa" w:w="2880"/>
            <w:vAlign w:val="top"/>
            <w:shd w:fill="D9EAF7"/>
          </w:tcPr>
          <w:p>
            <w:pPr>
              <w:spacing w:after="0"/>
            </w:pPr>
            <w:r/>
            <w:r>
              <w:rPr>
                <w:b/>
                <w:sz w:val="18"/>
              </w:rPr>
              <w:t>Area</w:t>
            </w:r>
          </w:p>
        </w:tc>
        <w:tc>
          <w:tcPr>
            <w:tcW w:type="dxa" w:w="8064"/>
            <w:vAlign w:val="top"/>
            <w:shd w:fill="D9EAF7"/>
          </w:tcPr>
          <w:p>
            <w:pPr>
              <w:spacing w:after="0"/>
            </w:pPr>
            <w:r/>
            <w:r>
              <w:rPr>
                <w:b/>
                <w:sz w:val="18"/>
              </w:rPr>
              <w:t>Why it cannot be fully solved by compiler verification</w:t>
            </w:r>
          </w:p>
        </w:tc>
      </w:tr>
      <w:tr>
        <w:trPr>
          <w:cantSplit/>
          <w:cantSplit/>
        </w:trPr>
        <w:tc>
          <w:tcPr>
            <w:tcW w:type="dxa" w:w="2880"/>
            <w:vAlign w:val="top"/>
          </w:tcPr>
          <w:p>
            <w:pPr>
              <w:spacing w:after="0"/>
            </w:pPr>
            <w:r/>
            <w:r>
              <w:rPr>
                <w:b w:val="0"/>
                <w:sz w:val="18"/>
              </w:rPr>
              <w:t>Model quality</w:t>
            </w:r>
          </w:p>
        </w:tc>
        <w:tc>
          <w:tcPr>
            <w:tcW w:type="dxa" w:w="8064"/>
            <w:vAlign w:val="top"/>
          </w:tcPr>
          <w:p>
            <w:pPr>
              <w:spacing w:after="0"/>
            </w:pPr>
            <w:r/>
            <w:r>
              <w:rPr>
                <w:b w:val="0"/>
                <w:sz w:val="18"/>
              </w:rPr>
              <w:t>The compiler can verify compatibility but cannot prove that the model is useful, aligned, safe, or reward-correct.</w:t>
            </w:r>
          </w:p>
        </w:tc>
      </w:tr>
      <w:tr>
        <w:trPr>
          <w:cantSplit/>
          <w:cantSplit/>
        </w:trPr>
        <w:tc>
          <w:tcPr>
            <w:tcW w:type="dxa" w:w="2880"/>
            <w:vAlign w:val="top"/>
          </w:tcPr>
          <w:p>
            <w:pPr>
              <w:spacing w:after="0"/>
            </w:pPr>
            <w:r/>
            <w:r>
              <w:rPr>
                <w:b w:val="0"/>
                <w:sz w:val="18"/>
              </w:rPr>
              <w:t>All floating-point behavior</w:t>
            </w:r>
          </w:p>
        </w:tc>
        <w:tc>
          <w:tcPr>
            <w:tcW w:type="dxa" w:w="8064"/>
            <w:vAlign w:val="top"/>
          </w:tcPr>
          <w:p>
            <w:pPr>
              <w:spacing w:after="0"/>
            </w:pPr>
            <w:r/>
            <w:r>
              <w:rPr>
                <w:b w:val="0"/>
                <w:sz w:val="18"/>
              </w:rPr>
              <w:t>Different kernels, precision formats, accumulation orders, and GPU scheduling may cause bounded numerical differences.</w:t>
            </w:r>
          </w:p>
        </w:tc>
      </w:tr>
      <w:tr>
        <w:trPr>
          <w:cantSplit/>
          <w:cantSplit/>
        </w:trPr>
        <w:tc>
          <w:tcPr>
            <w:tcW w:type="dxa" w:w="2880"/>
            <w:vAlign w:val="top"/>
          </w:tcPr>
          <w:p>
            <w:pPr>
              <w:spacing w:after="0"/>
            </w:pPr>
            <w:r/>
            <w:r>
              <w:rPr>
                <w:b w:val="0"/>
                <w:sz w:val="18"/>
              </w:rPr>
              <w:t>Business intent</w:t>
            </w:r>
          </w:p>
        </w:tc>
        <w:tc>
          <w:tcPr>
            <w:tcW w:type="dxa" w:w="8064"/>
            <w:vAlign w:val="top"/>
          </w:tcPr>
          <w:p>
            <w:pPr>
              <w:spacing w:after="0"/>
            </w:pPr>
            <w:r/>
            <w:r>
              <w:rPr>
                <w:b w:val="0"/>
                <w:sz w:val="18"/>
              </w:rPr>
              <w:t>The compiler can detect that rollout and inference sampling differ, but it needs policy metadata to know whether the difference is intended.</w:t>
            </w:r>
          </w:p>
        </w:tc>
      </w:tr>
      <w:tr>
        <w:trPr>
          <w:cantSplit/>
          <w:cantSplit/>
        </w:trPr>
        <w:tc>
          <w:tcPr>
            <w:tcW w:type="dxa" w:w="2880"/>
            <w:vAlign w:val="top"/>
          </w:tcPr>
          <w:p>
            <w:pPr>
              <w:spacing w:after="0"/>
            </w:pPr>
            <w:r/>
            <w:r>
              <w:rPr>
                <w:b w:val="0"/>
                <w:sz w:val="18"/>
              </w:rPr>
              <w:t>Tokenizer meaning</w:t>
            </w:r>
          </w:p>
        </w:tc>
        <w:tc>
          <w:tcPr>
            <w:tcW w:type="dxa" w:w="8064"/>
            <w:vAlign w:val="top"/>
          </w:tcPr>
          <w:p>
            <w:pPr>
              <w:spacing w:after="0"/>
            </w:pPr>
            <w:r/>
            <w:r>
              <w:rPr>
                <w:b w:val="0"/>
                <w:sz w:val="18"/>
              </w:rPr>
              <w:t>The compiler can hash and test tokenization, but cannot infer the intended conversational meaning without golden prompts and templates.</w:t>
            </w:r>
          </w:p>
        </w:tc>
      </w:tr>
      <w:tr>
        <w:trPr>
          <w:cantSplit/>
          <w:cantSplit/>
        </w:trPr>
        <w:tc>
          <w:tcPr>
            <w:tcW w:type="dxa" w:w="2880"/>
            <w:vAlign w:val="top"/>
          </w:tcPr>
          <w:p>
            <w:pPr>
              <w:spacing w:after="0"/>
            </w:pPr>
            <w:r/>
            <w:r>
              <w:rPr>
                <w:b w:val="0"/>
                <w:sz w:val="18"/>
              </w:rPr>
              <w:t>Architecture replacement validity</w:t>
            </w:r>
          </w:p>
        </w:tc>
        <w:tc>
          <w:tcPr>
            <w:tcW w:type="dxa" w:w="8064"/>
            <w:vAlign w:val="top"/>
          </w:tcPr>
          <w:p>
            <w:pPr>
              <w:spacing w:after="0"/>
            </w:pPr>
            <w:r/>
            <w:r>
              <w:rPr>
                <w:b w:val="0"/>
                <w:sz w:val="18"/>
              </w:rPr>
              <w:t>If MHA is replaced by linear attention after pre-training, the compiler can detect the mismatch but cannot make it semantically valid.</w:t>
            </w:r>
          </w:p>
        </w:tc>
      </w:tr>
    </w:tbl>
    <w:p/>
    <w:p>
      <w:pPr>
        <w:pStyle w:val="Heading2"/>
      </w:pPr>
      <w:r>
        <w:t>4.4 Gatekeeper Pipeline</w:t>
      </w:r>
    </w:p>
    <w:p>
      <w:r>
        <w:t>The gatekeeper pipeline should run before production deployment and also during CI/CD for model artifacts. It imports artifacts, validates structural contracts, generates runtime guards, runs conformance tests, and emits a certification report.</w:t>
      </w:r>
    </w:p>
    <w:p>
      <w:pPr>
        <w:pStyle w:val="CodeBlock"/>
      </w:pPr>
      <w:r>
        <w:rPr>
          <w:rFonts w:ascii="Consolas" w:hAnsi="Consolas" w:eastAsia="Consolas"/>
          <w:sz w:val="17"/>
        </w:rPr>
        <w:t>Model package + checkpoint + tokenizer + rollout traces</w:t>
        <w:br/>
        <w:t xml:space="preserve">    -&gt; Artifact validator</w:t>
        <w:br/>
        <w:t xml:space="preserve">    -&gt; Architecture and config validator</w:t>
        <w:br/>
        <w:t xml:space="preserve">    -&gt; Attention semantic compatibility validator</w:t>
        <w:br/>
        <w:t xml:space="preserve">    -&gt; Checkpoint tensor validator</w:t>
        <w:br/>
        <w:t xml:space="preserve">    -&gt; Tokenizer and chat-template validator</w:t>
        <w:br/>
        <w:t xml:space="preserve">    -&gt; Backend capability validator</w:t>
        <w:br/>
        <w:t xml:space="preserve">    -&gt; Runtime-state validator</w:t>
        <w:br/>
        <w:t xml:space="preserve">    -&gt; Logit / logprob conformance validator</w:t>
        <w:br/>
        <w:t xml:space="preserve">    -&gt; Certification report</w:t>
      </w:r>
    </w:p>
    <w:p>
      <w:pPr>
        <w:pStyle w:val="Heading2"/>
      </w:pPr>
      <w:r>
        <w:t>4.5 Example: Group A, B, and C with Linear Attention</w:t>
      </w:r>
    </w:p>
    <w:p>
      <w:r>
        <w:t>Assume Group A performs Megatron pre-training with linear attention, Group B performs PyTorch RL post-training with SGLang rollout and linear attention, and Group C performs SGLang inference. Group C becomes the compatibility gatekeeper.</w:t>
      </w:r>
    </w:p>
    <w:tbl>
      <w:tblPr>
        <w:tblStyle w:val="TableGrid"/>
        <w:tblW w:type="auto" w:w="0"/>
        <w:jc w:val="center"/>
        <w:tblLayout w:type="autofit"/>
        <w:tblLook w:firstColumn="1" w:firstRow="1" w:lastColumn="0" w:lastRow="0" w:noHBand="0" w:noVBand="1" w:val="04A0"/>
      </w:tblPr>
      <w:tblGrid>
        <w:gridCol w:w="4968"/>
        <w:gridCol w:w="4968"/>
      </w:tblGrid>
      <w:tr>
        <w:trPr>
          <w:cantSplit/>
          <w:tblHeader/>
          <w:cantSplit/>
          <w:tblHeader w:val="true"/>
        </w:trPr>
        <w:tc>
          <w:tcPr>
            <w:tcW w:type="dxa" w:w="2880"/>
            <w:vAlign w:val="top"/>
            <w:shd w:fill="D9EAF7"/>
          </w:tcPr>
          <w:p>
            <w:pPr>
              <w:spacing w:after="0"/>
            </w:pPr>
            <w:r/>
            <w:r>
              <w:rPr>
                <w:b/>
                <w:sz w:val="18"/>
              </w:rPr>
              <w:t>Boundary</w:t>
            </w:r>
          </w:p>
        </w:tc>
        <w:tc>
          <w:tcPr>
            <w:tcW w:type="dxa" w:w="8064"/>
            <w:vAlign w:val="top"/>
            <w:shd w:fill="D9EAF7"/>
          </w:tcPr>
          <w:p>
            <w:pPr>
              <w:spacing w:after="0"/>
            </w:pPr>
            <w:r/>
            <w:r>
              <w:rPr>
                <w:b/>
                <w:sz w:val="18"/>
              </w:rPr>
              <w:t>Must be verified</w:t>
            </w:r>
          </w:p>
        </w:tc>
      </w:tr>
      <w:tr>
        <w:trPr>
          <w:cantSplit/>
          <w:cantSplit/>
        </w:trPr>
        <w:tc>
          <w:tcPr>
            <w:tcW w:type="dxa" w:w="2880"/>
            <w:vAlign w:val="top"/>
          </w:tcPr>
          <w:p>
            <w:pPr>
              <w:spacing w:after="0"/>
            </w:pPr>
            <w:r/>
            <w:r>
              <w:rPr>
                <w:b w:val="0"/>
                <w:sz w:val="18"/>
              </w:rPr>
              <w:t>Group A -&gt; Group B</w:t>
            </w:r>
          </w:p>
        </w:tc>
        <w:tc>
          <w:tcPr>
            <w:tcW w:type="dxa" w:w="8064"/>
            <w:vAlign w:val="top"/>
          </w:tcPr>
          <w:p>
            <w:pPr>
              <w:spacing w:after="0"/>
            </w:pPr>
            <w:r/>
            <w:r>
              <w:rPr>
                <w:b w:val="0"/>
                <w:sz w:val="18"/>
              </w:rPr>
              <w:t>Architecture, tokenizer, checkpoint ABI, position encoding, linear-attention variant, tensor-parallel/sharding conversion.</w:t>
            </w:r>
          </w:p>
        </w:tc>
      </w:tr>
      <w:tr>
        <w:trPr>
          <w:cantSplit/>
          <w:cantSplit/>
        </w:trPr>
        <w:tc>
          <w:tcPr>
            <w:tcW w:type="dxa" w:w="2880"/>
            <w:vAlign w:val="top"/>
          </w:tcPr>
          <w:p>
            <w:pPr>
              <w:spacing w:after="0"/>
            </w:pPr>
            <w:r/>
            <w:r>
              <w:rPr>
                <w:b w:val="0"/>
                <w:sz w:val="18"/>
              </w:rPr>
              <w:t>Group B -&gt; Group C</w:t>
            </w:r>
          </w:p>
        </w:tc>
        <w:tc>
          <w:tcPr>
            <w:tcW w:type="dxa" w:w="8064"/>
            <w:vAlign w:val="top"/>
          </w:tcPr>
          <w:p>
            <w:pPr>
              <w:spacing w:after="0"/>
            </w:pPr>
            <w:r/>
            <w:r>
              <w:rPr>
                <w:b w:val="0"/>
                <w:sz w:val="18"/>
              </w:rPr>
              <w:t>Rollout generation semantics, sampling config, stop/EOS policy, old-policy logprobs, rollout trace replay, linear-attention state equivalence.</w:t>
            </w:r>
          </w:p>
        </w:tc>
      </w:tr>
      <w:tr>
        <w:trPr>
          <w:cantSplit/>
          <w:cantSplit/>
        </w:trPr>
        <w:tc>
          <w:tcPr>
            <w:tcW w:type="dxa" w:w="2880"/>
            <w:vAlign w:val="top"/>
          </w:tcPr>
          <w:p>
            <w:pPr>
              <w:spacing w:after="0"/>
            </w:pPr>
            <w:r/>
            <w:r>
              <w:rPr>
                <w:b w:val="0"/>
                <w:sz w:val="18"/>
              </w:rPr>
              <w:t>Shared core -&gt; all groups</w:t>
            </w:r>
          </w:p>
        </w:tc>
        <w:tc>
          <w:tcPr>
            <w:tcW w:type="dxa" w:w="8064"/>
            <w:vAlign w:val="top"/>
          </w:tcPr>
          <w:p>
            <w:pPr>
              <w:spacing w:after="0"/>
            </w:pPr>
            <w:r/>
            <w:r>
              <w:rPr>
                <w:b w:val="0"/>
                <w:sz w:val="18"/>
              </w:rPr>
              <w:t>Model ABI, tensor shapes, dtype/quantization, vocabulary size, attention semantics, numerical tolerance.</w:t>
            </w:r>
          </w:p>
        </w:tc>
      </w:tr>
    </w:tbl>
    <w:p/>
    <w:p>
      <w:r>
        <w:t>Megatron Core documents experimental attention variant support including linear attention. SGLang documents that attention backends differ by model, hardware, and architecture and that backend selection matters. These facts make attention semantics and backend capability part of the compatibility contract, not merely runtime tuning. [4][5]</w:t>
      </w:r>
    </w:p>
    <w:p>
      <w:pPr>
        <w:pStyle w:val="Heading2"/>
      </w:pPr>
      <w:r>
        <w:t>4.6 Linear-Attention State Contract</w:t>
      </w:r>
    </w:p>
    <w:p>
      <w:r>
        <w:t>With standard MHA, inference correctness often centers on KV-cache correctness. With linear attention, the runtime state changes. The compiler must verify the recurrent state object and its update semantics. The cached object becomes a prefix-state snapshot rather than a per-token KV span.</w:t>
      </w:r>
    </w:p>
    <w:tbl>
      <w:tblPr>
        <w:tblStyle w:val="TableGrid"/>
        <w:tblW w:type="auto" w:w="0"/>
        <w:jc w:val="center"/>
        <w:tblLayout w:type="autofit"/>
        <w:tblLook w:firstColumn="1" w:firstRow="1" w:lastColumn="0" w:lastRow="0" w:noHBand="0" w:noVBand="1" w:val="04A0"/>
      </w:tblPr>
      <w:tblGrid>
        <w:gridCol w:w="4968"/>
        <w:gridCol w:w="4968"/>
      </w:tblGrid>
      <w:tr>
        <w:trPr>
          <w:cantSplit/>
          <w:tblHeader/>
          <w:cantSplit/>
          <w:tblHeader w:val="true"/>
        </w:trPr>
        <w:tc>
          <w:tcPr>
            <w:tcW w:type="dxa" w:w="5472"/>
            <w:vAlign w:val="top"/>
            <w:shd w:fill="D9EAF7"/>
          </w:tcPr>
          <w:p>
            <w:pPr>
              <w:spacing w:after="0"/>
            </w:pPr>
            <w:r/>
            <w:r>
              <w:rPr>
                <w:b/>
                <w:sz w:val="18"/>
              </w:rPr>
              <w:t>Standard MHA contract</w:t>
            </w:r>
          </w:p>
        </w:tc>
        <w:tc>
          <w:tcPr>
            <w:tcW w:type="dxa" w:w="5472"/>
            <w:vAlign w:val="top"/>
            <w:shd w:fill="D9EAF7"/>
          </w:tcPr>
          <w:p>
            <w:pPr>
              <w:spacing w:after="0"/>
            </w:pPr>
            <w:r/>
            <w:r>
              <w:rPr>
                <w:b/>
                <w:sz w:val="18"/>
              </w:rPr>
              <w:t>Linear-attention contract</w:t>
            </w:r>
          </w:p>
        </w:tc>
      </w:tr>
      <w:tr>
        <w:trPr>
          <w:cantSplit/>
          <w:cantSplit/>
        </w:trPr>
        <w:tc>
          <w:tcPr>
            <w:tcW w:type="dxa" w:w="5472"/>
            <w:vAlign w:val="top"/>
          </w:tcPr>
          <w:p>
            <w:pPr>
              <w:spacing w:after="0"/>
            </w:pPr>
            <w:r/>
            <w:r>
              <w:rPr>
                <w:b w:val="0"/>
                <w:sz w:val="18"/>
              </w:rPr>
              <w:t>KV cache stores K/V per token</w:t>
            </w:r>
          </w:p>
        </w:tc>
        <w:tc>
          <w:tcPr>
            <w:tcW w:type="dxa" w:w="5472"/>
            <w:vAlign w:val="top"/>
          </w:tcPr>
          <w:p>
            <w:pPr>
              <w:spacing w:after="0"/>
            </w:pPr>
            <w:r/>
            <w:r>
              <w:rPr>
                <w:b w:val="0"/>
                <w:sz w:val="18"/>
              </w:rPr>
              <w:t>Recurrent state stores accumulated attention memory.</w:t>
            </w:r>
          </w:p>
        </w:tc>
      </w:tr>
      <w:tr>
        <w:trPr>
          <w:cantSplit/>
          <w:cantSplit/>
        </w:trPr>
        <w:tc>
          <w:tcPr>
            <w:tcW w:type="dxa" w:w="5472"/>
            <w:vAlign w:val="top"/>
          </w:tcPr>
          <w:p>
            <w:pPr>
              <w:spacing w:after="0"/>
            </w:pPr>
            <w:r/>
            <w:r>
              <w:rPr>
                <w:b w:val="0"/>
                <w:sz w:val="18"/>
              </w:rPr>
              <w:t>Cache grows with sequence length</w:t>
            </w:r>
          </w:p>
        </w:tc>
        <w:tc>
          <w:tcPr>
            <w:tcW w:type="dxa" w:w="5472"/>
            <w:vAlign w:val="top"/>
          </w:tcPr>
          <w:p>
            <w:pPr>
              <w:spacing w:after="0"/>
            </w:pPr>
            <w:r/>
            <w:r>
              <w:rPr>
                <w:b w:val="0"/>
                <w:sz w:val="18"/>
              </w:rPr>
              <w:t>State may be bounded or grow much more slowly.</w:t>
            </w:r>
          </w:p>
        </w:tc>
      </w:tr>
      <w:tr>
        <w:trPr>
          <w:cantSplit/>
          <w:cantSplit/>
        </w:trPr>
        <w:tc>
          <w:tcPr>
            <w:tcW w:type="dxa" w:w="5472"/>
            <w:vAlign w:val="top"/>
          </w:tcPr>
          <w:p>
            <w:pPr>
              <w:spacing w:after="0"/>
            </w:pPr>
            <w:r/>
            <w:r>
              <w:rPr>
                <w:b w:val="0"/>
                <w:sz w:val="18"/>
              </w:rPr>
              <w:t>Prefix reuse stores KV spans</w:t>
            </w:r>
          </w:p>
        </w:tc>
        <w:tc>
          <w:tcPr>
            <w:tcW w:type="dxa" w:w="5472"/>
            <w:vAlign w:val="top"/>
          </w:tcPr>
          <w:p>
            <w:pPr>
              <w:spacing w:after="0"/>
            </w:pPr>
            <w:r/>
            <w:r>
              <w:rPr>
                <w:b w:val="0"/>
                <w:sz w:val="18"/>
              </w:rPr>
              <w:t>Prefix reuse stores state snapshots.</w:t>
            </w:r>
          </w:p>
        </w:tc>
      </w:tr>
      <w:tr>
        <w:trPr>
          <w:cantSplit/>
          <w:cantSplit/>
        </w:trPr>
        <w:tc>
          <w:tcPr>
            <w:tcW w:type="dxa" w:w="5472"/>
            <w:vAlign w:val="top"/>
          </w:tcPr>
          <w:p>
            <w:pPr>
              <w:spacing w:after="0"/>
            </w:pPr>
            <w:r/>
            <w:r>
              <w:rPr>
                <w:b w:val="0"/>
                <w:sz w:val="18"/>
              </w:rPr>
              <w:t>FlashAttention/paged KV focus</w:t>
            </w:r>
          </w:p>
        </w:tc>
        <w:tc>
          <w:tcPr>
            <w:tcW w:type="dxa" w:w="5472"/>
            <w:vAlign w:val="top"/>
          </w:tcPr>
          <w:p>
            <w:pPr>
              <w:spacing w:after="0"/>
            </w:pPr>
            <w:r/>
            <w:r>
              <w:rPr>
                <w:b w:val="0"/>
                <w:sz w:val="18"/>
              </w:rPr>
              <w:t>State update, scan, and recurrent decode focus.</w:t>
            </w:r>
          </w:p>
        </w:tc>
      </w:tr>
      <w:tr>
        <w:trPr>
          <w:cantSplit/>
          <w:cantSplit/>
        </w:trPr>
        <w:tc>
          <w:tcPr>
            <w:tcW w:type="dxa" w:w="5472"/>
            <w:vAlign w:val="top"/>
          </w:tcPr>
          <w:p>
            <w:pPr>
              <w:spacing w:after="0"/>
            </w:pPr>
            <w:r/>
            <w:r>
              <w:rPr>
                <w:b w:val="0"/>
                <w:sz w:val="18"/>
              </w:rPr>
              <w:t>KV-cache quantization</w:t>
            </w:r>
          </w:p>
        </w:tc>
        <w:tc>
          <w:tcPr>
            <w:tcW w:type="dxa" w:w="5472"/>
            <w:vAlign w:val="top"/>
          </w:tcPr>
          <w:p>
            <w:pPr>
              <w:spacing w:after="0"/>
            </w:pPr>
            <w:r/>
            <w:r>
              <w:rPr>
                <w:b w:val="0"/>
                <w:sz w:val="18"/>
              </w:rPr>
              <w:t>State quantization and accumulation precision.</w:t>
            </w:r>
          </w:p>
        </w:tc>
      </w:tr>
    </w:tbl>
    <w:p/>
    <w:p>
      <w:pPr>
        <w:pStyle w:val="CodeBlock"/>
      </w:pPr>
      <w:r>
        <w:rPr>
          <w:rFonts w:ascii="Consolas" w:hAnsi="Consolas" w:eastAsia="Consolas"/>
          <w:sz w:val="17"/>
        </w:rPr>
        <w:t>Required equivalence tests:</w:t>
        <w:br/>
        <w:t xml:space="preserve">  full prefill(tokens[0:T])</w:t>
        <w:br/>
        <w:t xml:space="preserve">    ~= prefix_state(tokens[0:P]) + continue(tokens[P:T])</w:t>
        <w:br/>
        <w:br/>
        <w:t xml:space="preserve">  chunked_parallel_linear_attention(tokens)</w:t>
        <w:br/>
        <w:t xml:space="preserve">    ~= token_by_token_recurrent_decode(tokens)</w:t>
      </w:r>
    </w:p>
    <w:p>
      <w:r>
        <w:t>SGLang’s public work is already moving toward state-aware serving beyond ordinary full-attention KV cache. The SGLang paper introduced RadixAttention for KV-cache reuse, while later hybrid-model discussion describes state-transfer channels for model-specific states beyond paged KV cache. [6][7]</w:t>
      </w:r>
    </w:p>
    <w:p>
      <w:pPr>
        <w:pStyle w:val="Heading2"/>
      </w:pPr>
      <w:r>
        <w:t>4.7 Attention Semantic Compatibility and Conversion Contract</w:t>
      </w:r>
    </w:p>
    <w:p>
      <w:pPr/>
      <w:r>
        <w:t>The gatekeeper must verify that attention semantics are compatible across pre-training, RL rollout, RL loss recomputation, reference-policy evaluation, old-policy logprob replay, and inference deployment. This check should run before RL startup and again before inference deployment.</w:t>
      </w:r>
    </w:p>
    <w:p>
      <w:pPr/>
      <w:r>
        <w:t>The default rule is strict: pre-training attention, RL rollout attention, RL recomputation attention, and inference attention must match. If they do not match, the compiler must require an AttentionConversionContract, a converted checkpoint, a runtime-state contract, and validation evidence.</w:t>
      </w:r>
    </w:p>
    <w:p>
      <w:pPr>
        <w:pStyle w:val="CodeBlock"/>
      </w:pPr>
      <w:r>
        <w:rPr>
          <w:rFonts w:ascii="Consolas" w:hAnsi="Consolas" w:eastAsia="Consolas"/>
          <w:sz w:val="17"/>
        </w:rPr>
        <w:t>if pretraining.attention_type != rl_rollout.attention_type:</w:t>
        <w:br/>
        <w:t xml:space="preserve">    require AttentionConversionContract</w:t>
        <w:br/>
        <w:t xml:space="preserve">    require converted_checkpoint</w:t>
        <w:br/>
        <w:t xml:space="preserve">    require runtime_state_contract</w:t>
        <w:br/>
        <w:t xml:space="preserve">    require validation_report</w:t>
        <w:br/>
        <w:t xml:space="preserve">    else fail("CATTN-001 AttentionSemanticMismatch")</w:t>
        <w:br/>
        <w:br/>
        <w:t>if rl_rollout.attention_type != inference.attention_type:</w:t>
        <w:br/>
        <w:t xml:space="preserve">    require certified_equivalence_or_fail("CATTN-002 RolloutInferenceAttentionMismatch")</w:t>
      </w:r>
    </w:p>
    <w:p>
      <w:pPr/>
      <w:r>
        <w:t>The most important example is replacing MHA with linear attention during RL post-training. That is not an ordinary implementation switch. It changes the executable model architecture, the runtime-state ABI, the rollout distribution, old-policy logprobs, KL reference behavior, and long-context behavior. The gatekeeper should reject this path unless a certified conversion phase has produced a new linear-attention base model.</w:t>
      </w:r>
    </w:p>
    <w:p>
      <w:pPr>
        <w:pStyle w:val="CodeBlock"/>
      </w:pPr>
      <w:r>
        <w:rPr>
          <w:rFonts w:ascii="Consolas" w:hAnsi="Consolas" w:eastAsia="Consolas"/>
          <w:sz w:val="17"/>
        </w:rPr>
        <w:t>AttentionConversionContract {</w:t>
        <w:br/>
        <w:t xml:space="preserve">  source_attention: softmax_mha | gqa | mqa | mla | linear_attention</w:t>
        <w:br/>
        <w:t xml:space="preserve">  target_attention: softmax_mha | gqa | mqa | mla | linear_attention</w:t>
        <w:br/>
        <w:t xml:space="preserve">  conversion_method: distillation | continued_pretraining | approximation | architecture_search</w:t>
        <w:br/>
        <w:t xml:space="preserve">  teacher_checkpoint: original_model</w:t>
        <w:br/>
        <w:t xml:space="preserve">  student_checkpoint: converted_model</w:t>
        <w:br/>
        <w:t xml:space="preserve">  validation_required: [</w:t>
        <w:br/>
        <w:t xml:space="preserve">    golden_logits,</w:t>
        <w:br/>
        <w:t xml:space="preserve">    topk_logit_overlap,</w:t>
        <w:br/>
        <w:t xml:space="preserve">    perplexity_regression,</w:t>
        <w:br/>
        <w:t xml:space="preserve">    long_context_eval,</w:t>
        <w:br/>
        <w:t xml:space="preserve">    rollout_trace_replay,</w:t>
        <w:br/>
        <w:t xml:space="preserve">    inference_equivalence</w:t>
        <w:br/>
        <w:t xml:space="preserve">  ]</w:t>
        <w:br/>
        <w:t xml:space="preserve">  certification_status: pass | fail</w:t>
        <w:br/>
        <w:t>}</w:t>
      </w:r>
    </w:p>
    <w:p>
      <w:pPr/>
      <w:r>
        <w:t>The compiler should add a dedicated CATTN-* diagnostic family for attention-semantic failures. Examples include CATTN-001 AttentionSemanticMismatch, CATTN-002 RolloutInferenceAttentionMismatch, CATTN-003 MissingAttentionConversionContract, CATTN-004 RuntimeStateTypeMismatch, CATTN-005 PrefillDecodeRuleMismatch, CATTN-006 PrefixReuseSemanticsMismatch, CATTN-007 ChunkedVsRecurrentMismatch, CATTN-008 AttentionConversionValidationFailed, CATTN-009 ReferencePolicyAttentionMismatch, and CATTN-010 OldPolicyLogprobAttentionMismatch.</w:t>
      </w:r>
    </w:p>
    <w:p>
      <w:pPr>
        <w:pStyle w:val="Heading2"/>
      </w:pPr>
      <w:r>
        <w:t>4.8 MoE Contract and Gatekeeper Verification</w:t>
      </w:r>
    </w:p>
    <w:p>
      <w:pPr/>
      <w:r>
        <w:t>MoE introduces additional compatibility risks beyond dense Transformer layers. The compiler must verify that pre-training, RL rollout, and inference agree on router semantics, expert identity, expert placement, token dispatch, expert output combine, capacity policy, load-balancing policy, and expert-parallel communication. These facts are part of the executable model contract because the selected experts and their combine weights affect logits and logprobs.</w:t>
      </w:r>
    </w:p>
    <w:p>
      <w:pPr/>
      <w:r>
        <w:t>Megatron Core MoE provides large-scale MoE training support and integrates expert parallelism with tensor, data, sequence, and pipeline parallelism. SGLang expert parallelism distributes expert weights across devices for MoE serving and routes tokens dynamically to experts across GPUs. This creates a cross-framework boundary: Group A and Group B may train and post-train experts under one expert-parallel mapping, while Group C may serve them under another mapping. The gatekeeper must prove that the mapping change preserves expert identity and dispatch/combine semantics. [14][15]</w:t>
      </w:r>
    </w:p>
    <w:p>
      <w:pPr>
        <w:pStyle w:val="CodeBlock"/>
      </w:pPr>
      <w:r>
        <w:rPr>
          <w:rFonts w:ascii="Consolas" w:hAnsi="Consolas" w:eastAsia="Consolas"/>
          <w:sz w:val="17"/>
        </w:rPr>
        <w:t>Required MoE compatibility checks:</w:t>
        <w:br/>
        <w:t xml:space="preserve">  - router tensor presence, shape, dtype, and scoring rule</w:t>
        <w:br/>
        <w:t xml:space="preserve">  - top-k / experts-per-token configuration</w:t>
        <w:br/>
        <w:t xml:space="preserve">  - expert ID and expert ordering</w:t>
        <w:br/>
        <w:t xml:space="preserve">  - expert weight tensor names, shapes, dtypes, and shard mappings</w:t>
        <w:br/>
        <w:t xml:space="preserve">  - expert-parallel rank-to-expert placement</w:t>
        <w:br/>
        <w:t xml:space="preserve">  - token dispatch permutation and combine-weight semantics</w:t>
        <w:br/>
        <w:t xml:space="preserve">  - capacity factor, token-drop policy, padding policy, and load-balancing policy</w:t>
        <w:br/>
        <w:t xml:space="preserve">  - rollout-vs-inference route replay</w:t>
        <w:br/>
        <w:t xml:space="preserve">  - quantized-router and quantized-expert drift checks</w:t>
        <w:br/>
        <w:t xml:space="preserve">  - all-to-all communication group compatibility</w:t>
      </w:r>
    </w:p>
    <w:p>
      <w:pPr/>
      <w:r>
        <w:t>The most important MoE conformance test is route replay. Given the same prompt, same weights, same router, and same runtime configuration, the rollout engine and inference engine should select the same experts and produce logits/logprobs within the certified tolerance. If the router is quantized or executed with a different precision, the compiler must either verify that expert selection remains stable or mark the deployment as numerically divergent.</w:t>
      </w:r>
    </w:p>
    <w:p>
      <w:pPr/>
      <w:r>
        <w:t>MoE therefore extends the gatekeeper from tensor compatibility to route compatibility. A checkpoint may load successfully while expert IDs are permuted, dispatch indices are wrong, or expert-parallel placement is inconsistent. These are semantic failures, not merely runtime configuration errors.</w:t>
      </w:r>
    </w:p>
    <w:p>
      <w:pPr>
        <w:pStyle w:val="Heading2"/>
      </w:pPr>
      <w:r>
        <w:t>4.9 Error and Diagnostic Model</w:t>
      </w:r>
    </w:p>
    <w:p>
      <w:r>
        <w:t>The gatekeeper should not rely only on framework exceptions such as RuntimeError, ValueError, CUDA errors, or server startup failures. It should provide stable diagnostic codes that identify the failed compatibility contract.</w:t>
      </w:r>
    </w:p>
    <w:tbl>
      <w:tblPr>
        <w:tblStyle w:val="TableGrid"/>
        <w:tblW w:type="auto" w:w="0"/>
        <w:jc w:val="center"/>
        <w:tblLayout w:type="autofit"/>
        <w:tblLook w:firstColumn="1" w:firstRow="1" w:lastColumn="0" w:lastRow="0" w:noHBand="0" w:noVBand="1" w:val="04A0"/>
      </w:tblPr>
      <w:tblGrid>
        <w:gridCol w:w="3312"/>
        <w:gridCol w:w="3312"/>
        <w:gridCol w:w="3312"/>
      </w:tblGrid>
      <w:tr>
        <w:trPr>
          <w:cantSplit/>
          <w:tblHeader/>
          <w:cantSplit/>
          <w:tblHeader w:val="true"/>
        </w:trPr>
        <w:tc>
          <w:tcPr>
            <w:tcW w:type="dxa" w:w="1728"/>
            <w:vAlign w:val="top"/>
            <w:shd w:fill="D9EAF7"/>
          </w:tcPr>
          <w:p>
            <w:pPr>
              <w:spacing w:after="0"/>
            </w:pPr>
            <w:r/>
            <w:r>
              <w:rPr>
                <w:b/>
                <w:sz w:val="18"/>
              </w:rPr>
              <w:t>Namespace</w:t>
            </w:r>
          </w:p>
        </w:tc>
        <w:tc>
          <w:tcPr>
            <w:tcW w:type="dxa" w:w="3744"/>
            <w:vAlign w:val="top"/>
            <w:shd w:fill="D9EAF7"/>
          </w:tcPr>
          <w:p>
            <w:pPr>
              <w:spacing w:after="0"/>
            </w:pPr>
            <w:r/>
            <w:r>
              <w:rPr>
                <w:b/>
                <w:sz w:val="18"/>
              </w:rPr>
              <w:t>Meaning</w:t>
            </w:r>
          </w:p>
        </w:tc>
        <w:tc>
          <w:tcPr>
            <w:tcW w:type="dxa" w:w="5472"/>
            <w:vAlign w:val="top"/>
            <w:shd w:fill="D9EAF7"/>
          </w:tcPr>
          <w:p>
            <w:pPr>
              <w:spacing w:after="0"/>
            </w:pPr>
            <w:r/>
            <w:r>
              <w:rPr>
                <w:b/>
                <w:sz w:val="18"/>
              </w:rPr>
              <w:t>Example diagnostic</w:t>
            </w:r>
          </w:p>
        </w:tc>
      </w:tr>
      <w:tr>
        <w:trPr>
          <w:cantSplit/>
          <w:cantSplit/>
        </w:trPr>
        <w:tc>
          <w:tcPr>
            <w:tcW w:type="dxa" w:w="1728"/>
            <w:vAlign w:val="top"/>
          </w:tcPr>
          <w:p>
            <w:pPr>
              <w:spacing w:after="0"/>
            </w:pPr>
            <w:r/>
            <w:r>
              <w:rPr>
                <w:b w:val="0"/>
                <w:sz w:val="18"/>
              </w:rPr>
              <w:t>CART-*</w:t>
            </w:r>
          </w:p>
        </w:tc>
        <w:tc>
          <w:tcPr>
            <w:tcW w:type="dxa" w:w="3744"/>
            <w:vAlign w:val="top"/>
          </w:tcPr>
          <w:p>
            <w:pPr>
              <w:spacing w:after="0"/>
            </w:pPr>
            <w:r/>
            <w:r>
              <w:rPr>
                <w:b w:val="0"/>
                <w:sz w:val="18"/>
              </w:rPr>
              <w:t>Artifact/package errors</w:t>
            </w:r>
          </w:p>
        </w:tc>
        <w:tc>
          <w:tcPr>
            <w:tcW w:type="dxa" w:w="5472"/>
            <w:vAlign w:val="top"/>
          </w:tcPr>
          <w:p>
            <w:pPr>
              <w:spacing w:after="0"/>
            </w:pPr>
            <w:r/>
            <w:r>
              <w:rPr>
                <w:b w:val="0"/>
                <w:sz w:val="18"/>
              </w:rPr>
              <w:t>CART-001 MissingRequiredArtifact</w:t>
            </w:r>
          </w:p>
        </w:tc>
      </w:tr>
      <w:tr>
        <w:trPr>
          <w:cantSplit/>
          <w:cantSplit/>
        </w:trPr>
        <w:tc>
          <w:tcPr>
            <w:tcW w:type="dxa" w:w="1728"/>
            <w:vAlign w:val="top"/>
          </w:tcPr>
          <w:p>
            <w:pPr>
              <w:spacing w:after="0"/>
            </w:pPr>
            <w:r/>
            <w:r>
              <w:rPr>
                <w:b w:val="0"/>
                <w:sz w:val="18"/>
              </w:rPr>
              <w:t>CARCH-*</w:t>
            </w:r>
          </w:p>
        </w:tc>
        <w:tc>
          <w:tcPr>
            <w:tcW w:type="dxa" w:w="3744"/>
            <w:vAlign w:val="top"/>
          </w:tcPr>
          <w:p>
            <w:pPr>
              <w:spacing w:after="0"/>
            </w:pPr>
            <w:r/>
            <w:r>
              <w:rPr>
                <w:b w:val="0"/>
                <w:sz w:val="18"/>
              </w:rPr>
              <w:t>Architecture/config errors</w:t>
            </w:r>
          </w:p>
        </w:tc>
        <w:tc>
          <w:tcPr>
            <w:tcW w:type="dxa" w:w="5472"/>
            <w:vAlign w:val="top"/>
          </w:tcPr>
          <w:p>
            <w:pPr>
              <w:spacing w:after="0"/>
            </w:pPr>
            <w:r/>
            <w:r>
              <w:rPr>
                <w:b w:val="0"/>
                <w:sz w:val="18"/>
              </w:rPr>
              <w:t>CARCH-002 UnsupportedLinearAttentionVariant</w:t>
            </w:r>
          </w:p>
        </w:tc>
      </w:tr>
      <w:tr>
        <w:trPr>
          <w:cantSplit/>
          <w:cantSplit/>
        </w:trPr>
        <w:tc>
          <w:tcPr>
            <w:tcW w:type="dxa" w:w="1728"/>
            <w:vAlign w:val="top"/>
          </w:tcPr>
          <w:p>
            <w:pPr>
              <w:spacing w:after="0"/>
            </w:pPr>
            <w:r/>
            <w:r>
              <w:rPr>
                <w:b w:val="0"/>
                <w:sz w:val="18"/>
              </w:rPr>
              <w:t>CCKPT-*</w:t>
            </w:r>
          </w:p>
        </w:tc>
        <w:tc>
          <w:tcPr>
            <w:tcW w:type="dxa" w:w="3744"/>
            <w:vAlign w:val="top"/>
          </w:tcPr>
          <w:p>
            <w:pPr>
              <w:spacing w:after="0"/>
            </w:pPr>
            <w:r/>
            <w:r>
              <w:rPr>
                <w:b w:val="0"/>
                <w:sz w:val="18"/>
              </w:rPr>
              <w:t>Checkpoint/tensor errors</w:t>
            </w:r>
          </w:p>
        </w:tc>
        <w:tc>
          <w:tcPr>
            <w:tcW w:type="dxa" w:w="5472"/>
            <w:vAlign w:val="top"/>
          </w:tcPr>
          <w:p>
            <w:pPr>
              <w:spacing w:after="0"/>
            </w:pPr>
            <w:r/>
            <w:r>
              <w:rPr>
                <w:b w:val="0"/>
                <w:sz w:val="18"/>
              </w:rPr>
              <w:t>CCKPT-003 TensorShapeMismatch</w:t>
            </w:r>
          </w:p>
        </w:tc>
      </w:tr>
      <w:tr>
        <w:trPr>
          <w:cantSplit/>
          <w:cantSplit/>
        </w:trPr>
        <w:tc>
          <w:tcPr>
            <w:tcW w:type="dxa" w:w="1728"/>
            <w:vAlign w:val="top"/>
          </w:tcPr>
          <w:p>
            <w:pPr>
              <w:spacing w:after="0"/>
            </w:pPr>
            <w:r/>
            <w:r>
              <w:rPr>
                <w:b w:val="0"/>
                <w:sz w:val="18"/>
              </w:rPr>
              <w:t>CTOK-*</w:t>
            </w:r>
          </w:p>
        </w:tc>
        <w:tc>
          <w:tcPr>
            <w:tcW w:type="dxa" w:w="3744"/>
            <w:vAlign w:val="top"/>
          </w:tcPr>
          <w:p>
            <w:pPr>
              <w:spacing w:after="0"/>
            </w:pPr>
            <w:r/>
            <w:r>
              <w:rPr>
                <w:b w:val="0"/>
                <w:sz w:val="18"/>
              </w:rPr>
              <w:t>Tokenizer/template errors</w:t>
            </w:r>
          </w:p>
        </w:tc>
        <w:tc>
          <w:tcPr>
            <w:tcW w:type="dxa" w:w="5472"/>
            <w:vAlign w:val="top"/>
          </w:tcPr>
          <w:p>
            <w:pPr>
              <w:spacing w:after="0"/>
            </w:pPr>
            <w:r/>
            <w:r>
              <w:rPr>
                <w:b w:val="0"/>
                <w:sz w:val="18"/>
              </w:rPr>
              <w:t>CTOK-004 ChatTemplateMismatch</w:t>
            </w:r>
          </w:p>
        </w:tc>
      </w:tr>
      <w:tr>
        <w:trPr>
          <w:cantSplit/>
          <w:cantSplit/>
        </w:trPr>
        <w:tc>
          <w:tcPr>
            <w:tcW w:type="dxa" w:w="1728"/>
            <w:vAlign w:val="top"/>
          </w:tcPr>
          <w:p>
            <w:pPr>
              <w:spacing w:after="0"/>
            </w:pPr>
            <w:r/>
            <w:r>
              <w:rPr>
                <w:b w:val="0"/>
                <w:sz w:val="18"/>
              </w:rPr>
              <w:t>CSGL-*</w:t>
            </w:r>
          </w:p>
        </w:tc>
        <w:tc>
          <w:tcPr>
            <w:tcW w:type="dxa" w:w="3744"/>
            <w:vAlign w:val="top"/>
          </w:tcPr>
          <w:p>
            <w:pPr>
              <w:spacing w:after="0"/>
            </w:pPr>
            <w:r/>
            <w:r>
              <w:rPr>
                <w:b w:val="0"/>
                <w:sz w:val="18"/>
              </w:rPr>
              <w:t>SGLang/backend errors</w:t>
            </w:r>
          </w:p>
        </w:tc>
        <w:tc>
          <w:tcPr>
            <w:tcW w:type="dxa" w:w="5472"/>
            <w:vAlign w:val="top"/>
          </w:tcPr>
          <w:p>
            <w:pPr>
              <w:spacing w:after="0"/>
            </w:pPr>
            <w:r/>
            <w:r>
              <w:rPr>
                <w:b w:val="0"/>
                <w:sz w:val="18"/>
              </w:rPr>
              <w:t>CSGL-002 UnsupportedAttentionBackend</w:t>
            </w:r>
          </w:p>
        </w:tc>
      </w:tr>
      <w:tr>
        <w:trPr>
          <w:cantSplit/>
          <w:cantSplit/>
        </w:trPr>
        <w:tc>
          <w:tcPr>
            <w:tcW w:type="dxa" w:w="1728"/>
            <w:vAlign w:val="top"/>
          </w:tcPr>
          <w:p>
            <w:pPr>
              <w:spacing w:after="0"/>
            </w:pPr>
            <w:r/>
            <w:r>
              <w:rPr>
                <w:b w:val="0"/>
                <w:sz w:val="18"/>
              </w:rPr>
              <w:t>CLATT-*</w:t>
            </w:r>
          </w:p>
        </w:tc>
        <w:tc>
          <w:tcPr>
            <w:tcW w:type="dxa" w:w="3744"/>
            <w:vAlign w:val="top"/>
          </w:tcPr>
          <w:p>
            <w:pPr>
              <w:spacing w:after="0"/>
            </w:pPr>
            <w:r/>
            <w:r>
              <w:rPr>
                <w:b w:val="0"/>
                <w:sz w:val="18"/>
              </w:rPr>
              <w:t>Linear-attention state errors</w:t>
            </w:r>
          </w:p>
        </w:tc>
        <w:tc>
          <w:tcPr>
            <w:tcW w:type="dxa" w:w="5472"/>
            <w:vAlign w:val="top"/>
          </w:tcPr>
          <w:p>
            <w:pPr>
              <w:spacing w:after="0"/>
            </w:pPr>
            <w:r/>
            <w:r>
              <w:rPr>
                <w:b w:val="0"/>
                <w:sz w:val="18"/>
              </w:rPr>
              <w:t>CLATT-004 ChunkedVsRecurrentMismatch</w:t>
            </w:r>
          </w:p>
        </w:tc>
      </w:tr>
      <w:tr>
        <w:trPr>
          <w:cantSplit/>
          <w:cantSplit/>
        </w:trPr>
        <w:tc>
          <w:tcPr>
            <w:tcW w:type="dxa" w:w="1728"/>
            <w:vAlign w:val="top"/>
          </w:tcPr>
          <w:p>
            <w:pPr>
              <w:spacing w:after="0"/>
            </w:pPr>
            <w:r/>
            <w:r>
              <w:rPr>
                <w:b w:val="0"/>
                <w:sz w:val="18"/>
              </w:rPr>
              <w:t>CCONF-*</w:t>
            </w:r>
          </w:p>
        </w:tc>
        <w:tc>
          <w:tcPr>
            <w:tcW w:type="dxa" w:w="3744"/>
            <w:vAlign w:val="top"/>
          </w:tcPr>
          <w:p>
            <w:pPr>
              <w:spacing w:after="0"/>
            </w:pPr>
            <w:r/>
            <w:r>
              <w:rPr>
                <w:b w:val="0"/>
                <w:sz w:val="18"/>
              </w:rPr>
              <w:t>Conformance-test errors</w:t>
            </w:r>
          </w:p>
        </w:tc>
        <w:tc>
          <w:tcPr>
            <w:tcW w:type="dxa" w:w="5472"/>
            <w:vAlign w:val="top"/>
          </w:tcPr>
          <w:p>
            <w:pPr>
              <w:spacing w:after="0"/>
            </w:pPr>
            <w:r/>
            <w:r>
              <w:rPr>
                <w:b w:val="0"/>
                <w:sz w:val="18"/>
              </w:rPr>
              <w:t>CCONF-004 LogprobMismatch</w:t>
            </w:r>
          </w:p>
        </w:tc>
      </w:tr>
      <w:tr>
        <w:trPr>
          <w:cantSplit/>
          <w:cantSplit/>
        </w:trPr>
        <w:tc>
          <w:tcPr>
            <w:tcW w:type="dxa" w:w="1728"/>
            <w:vAlign w:val="top"/>
          </w:tcPr>
          <w:p>
            <w:pPr>
              <w:spacing w:after="0"/>
            </w:pPr>
            <w:r/>
            <w:r>
              <w:rPr>
                <w:b w:val="0"/>
                <w:sz w:val="18"/>
              </w:rPr>
              <w:t>CRUN-*</w:t>
            </w:r>
          </w:p>
        </w:tc>
        <w:tc>
          <w:tcPr>
            <w:tcW w:type="dxa" w:w="3744"/>
            <w:vAlign w:val="top"/>
          </w:tcPr>
          <w:p>
            <w:pPr>
              <w:spacing w:after="0"/>
            </w:pPr>
            <w:r/>
            <w:r>
              <w:rPr>
                <w:b w:val="0"/>
                <w:sz w:val="18"/>
              </w:rPr>
              <w:t>Runtime/stress errors</w:t>
            </w:r>
          </w:p>
        </w:tc>
        <w:tc>
          <w:tcPr>
            <w:tcW w:type="dxa" w:w="5472"/>
            <w:vAlign w:val="top"/>
          </w:tcPr>
          <w:p>
            <w:pPr>
              <w:spacing w:after="0"/>
            </w:pPr>
            <w:r/>
            <w:r>
              <w:rPr>
                <w:b w:val="0"/>
                <w:sz w:val="18"/>
              </w:rPr>
              <w:t>CRUN-004 NumericalInstability</w:t>
            </w:r>
          </w:p>
        </w:tc>
      </w:tr>
      <w:tr>
        <w:trPr>
          <w:cantSplit/>
          <w:cantSplit/>
        </w:trPr>
        <w:tc>
          <w:tcPr>
            <w:tcW w:type="dxa" w:w="3312"/>
          </w:tcPr>
          <w:p>
            <w:r>
              <w:t>CATTN-*</w:t>
            </w:r>
          </w:p>
        </w:tc>
        <w:tc>
          <w:tcPr>
            <w:tcW w:type="dxa" w:w="3312"/>
          </w:tcPr>
          <w:p>
            <w:r>
              <w:t>Attention semantic compatibility errors</w:t>
            </w:r>
          </w:p>
        </w:tc>
        <w:tc>
          <w:tcPr>
            <w:tcW w:type="dxa" w:w="3312"/>
          </w:tcPr>
          <w:p>
            <w:r>
              <w:t>AttentionSemanticMismatch, MissingAttentionConversionContract, RolloutInferenceAttentionMismatch</w:t>
            </w:r>
          </w:p>
        </w:tc>
      </w:tr>
    </w:tbl>
    <w:p/>
    <w:p>
      <w:pPr/>
      <w:r>
        <w:t>MoE diagnostic families should include CMOE-* codes for router, expert, expert-parallel, dispatch, capacity, and route-replay failures. Examples include CMOE-003 RouterTopKMismatch, CMOE-010 ExpertIDMismatch, CMOE-020 ExpertPlacementMismatch, CMOE-030 DispatchIndexMismatch, CMOE-040 CapacityPolicyMismatch, and CMOE-052 RolloutInferenceRouteMismatch.</w:t>
      </w:r>
    </w:p>
    <w:p>
      <w:pPr>
        <w:pStyle w:val="Heading2"/>
      </w:pPr>
      <w:r>
        <w:t>4.10 Compiler-Generated Certification Tests</w:t>
      </w:r>
    </w:p>
    <w:p>
      <w:r>
        <w:t>The compiler should lower contracts into executable tests. These tests should be run against the candidate deployment environment, not only against abstract IR.</w:t>
      </w:r>
    </w:p>
    <w:tbl>
      <w:tblPr>
        <w:tblStyle w:val="TableGrid"/>
        <w:tblW w:type="auto" w:w="0"/>
        <w:jc w:val="center"/>
        <w:tblLayout w:type="autofit"/>
        <w:tblLook w:firstColumn="1" w:firstRow="1" w:lastColumn="0" w:lastRow="0" w:noHBand="0" w:noVBand="1" w:val="04A0"/>
      </w:tblPr>
      <w:tblGrid>
        <w:gridCol w:w="4968"/>
        <w:gridCol w:w="4968"/>
      </w:tblGrid>
      <w:tr>
        <w:trPr>
          <w:cantSplit/>
          <w:tblHeader/>
          <w:cantSplit/>
          <w:tblHeader w:val="true"/>
        </w:trPr>
        <w:tc>
          <w:tcPr>
            <w:tcW w:type="dxa" w:w="3312"/>
            <w:vAlign w:val="top"/>
            <w:shd w:fill="D9EAF7"/>
          </w:tcPr>
          <w:p>
            <w:pPr>
              <w:spacing w:after="0"/>
            </w:pPr>
            <w:r/>
            <w:r>
              <w:rPr>
                <w:b/>
                <w:sz w:val="18"/>
              </w:rPr>
              <w:t>Test</w:t>
            </w:r>
          </w:p>
        </w:tc>
        <w:tc>
          <w:tcPr>
            <w:tcW w:type="dxa" w:w="7632"/>
            <w:vAlign w:val="top"/>
            <w:shd w:fill="D9EAF7"/>
          </w:tcPr>
          <w:p>
            <w:pPr>
              <w:spacing w:after="0"/>
            </w:pPr>
            <w:r/>
            <w:r>
              <w:rPr>
                <w:b/>
                <w:sz w:val="18"/>
              </w:rPr>
              <w:t>Purpose</w:t>
            </w:r>
          </w:p>
        </w:tc>
      </w:tr>
      <w:tr>
        <w:trPr>
          <w:cantSplit/>
          <w:cantSplit/>
        </w:trPr>
        <w:tc>
          <w:tcPr>
            <w:tcW w:type="dxa" w:w="3312"/>
            <w:vAlign w:val="top"/>
          </w:tcPr>
          <w:p>
            <w:pPr>
              <w:spacing w:after="0"/>
            </w:pPr>
            <w:r/>
            <w:r>
              <w:rPr>
                <w:b w:val="0"/>
                <w:sz w:val="18"/>
              </w:rPr>
              <w:t>Golden tokenization test</w:t>
            </w:r>
          </w:p>
        </w:tc>
        <w:tc>
          <w:tcPr>
            <w:tcW w:type="dxa" w:w="7632"/>
            <w:vAlign w:val="top"/>
          </w:tcPr>
          <w:p>
            <w:pPr>
              <w:spacing w:after="0"/>
            </w:pPr>
            <w:r/>
            <w:r>
              <w:rPr>
                <w:b w:val="0"/>
                <w:sz w:val="18"/>
              </w:rPr>
              <w:t>Verify raw prompts, chat templates, token IDs, attention masks, and special tokens.</w:t>
            </w:r>
          </w:p>
        </w:tc>
      </w:tr>
      <w:tr>
        <w:trPr>
          <w:cantSplit/>
          <w:cantSplit/>
        </w:trPr>
        <w:tc>
          <w:tcPr>
            <w:tcW w:type="dxa" w:w="3312"/>
            <w:vAlign w:val="top"/>
          </w:tcPr>
          <w:p>
            <w:pPr>
              <w:spacing w:after="0"/>
            </w:pPr>
            <w:r/>
            <w:r>
              <w:rPr>
                <w:b w:val="0"/>
                <w:sz w:val="18"/>
              </w:rPr>
              <w:t>Single-step logits test</w:t>
            </w:r>
          </w:p>
        </w:tc>
        <w:tc>
          <w:tcPr>
            <w:tcW w:type="dxa" w:w="7632"/>
            <w:vAlign w:val="top"/>
          </w:tcPr>
          <w:p>
            <w:pPr>
              <w:spacing w:after="0"/>
            </w:pPr>
            <w:r/>
            <w:r>
              <w:rPr>
                <w:b w:val="0"/>
                <w:sz w:val="18"/>
              </w:rPr>
              <w:t>Verify logits for fixed token IDs within tolerance.</w:t>
            </w:r>
          </w:p>
        </w:tc>
      </w:tr>
      <w:tr>
        <w:trPr>
          <w:cantSplit/>
          <w:cantSplit/>
        </w:trPr>
        <w:tc>
          <w:tcPr>
            <w:tcW w:type="dxa" w:w="3312"/>
            <w:vAlign w:val="top"/>
          </w:tcPr>
          <w:p>
            <w:pPr>
              <w:spacing w:after="0"/>
            </w:pPr>
            <w:r/>
            <w:r>
              <w:rPr>
                <w:b w:val="0"/>
                <w:sz w:val="18"/>
              </w:rPr>
              <w:t>Greedy decode test</w:t>
            </w:r>
          </w:p>
        </w:tc>
        <w:tc>
          <w:tcPr>
            <w:tcW w:type="dxa" w:w="7632"/>
            <w:vAlign w:val="top"/>
          </w:tcPr>
          <w:p>
            <w:pPr>
              <w:spacing w:after="0"/>
            </w:pPr>
            <w:r/>
            <w:r>
              <w:rPr>
                <w:b w:val="0"/>
                <w:sz w:val="18"/>
              </w:rPr>
              <w:t>Verify deterministic generation under temperature=0.</w:t>
            </w:r>
          </w:p>
        </w:tc>
      </w:tr>
      <w:tr>
        <w:trPr>
          <w:cantSplit/>
          <w:cantSplit/>
        </w:trPr>
        <w:tc>
          <w:tcPr>
            <w:tcW w:type="dxa" w:w="3312"/>
            <w:vAlign w:val="top"/>
          </w:tcPr>
          <w:p>
            <w:pPr>
              <w:spacing w:after="0"/>
            </w:pPr>
            <w:r/>
            <w:r>
              <w:rPr>
                <w:b w:val="0"/>
                <w:sz w:val="18"/>
              </w:rPr>
              <w:t>Logprob replay test</w:t>
            </w:r>
          </w:p>
        </w:tc>
        <w:tc>
          <w:tcPr>
            <w:tcW w:type="dxa" w:w="7632"/>
            <w:vAlign w:val="top"/>
          </w:tcPr>
          <w:p>
            <w:pPr>
              <w:spacing w:after="0"/>
            </w:pPr>
            <w:r/>
            <w:r>
              <w:rPr>
                <w:b w:val="0"/>
                <w:sz w:val="18"/>
              </w:rPr>
              <w:t>Verify Group C can reproduce Group B rollout logprobs for fixed prompt/response tokens.</w:t>
            </w:r>
          </w:p>
        </w:tc>
      </w:tr>
      <w:tr>
        <w:trPr>
          <w:cantSplit/>
          <w:cantSplit/>
        </w:trPr>
        <w:tc>
          <w:tcPr>
            <w:tcW w:type="dxa" w:w="3312"/>
            <w:vAlign w:val="top"/>
          </w:tcPr>
          <w:p>
            <w:pPr>
              <w:spacing w:after="0"/>
            </w:pPr>
            <w:r/>
            <w:r>
              <w:rPr>
                <w:b w:val="0"/>
                <w:sz w:val="18"/>
              </w:rPr>
              <w:t>State reuse test</w:t>
            </w:r>
          </w:p>
        </w:tc>
        <w:tc>
          <w:tcPr>
            <w:tcW w:type="dxa" w:w="7632"/>
            <w:vAlign w:val="top"/>
          </w:tcPr>
          <w:p>
            <w:pPr>
              <w:spacing w:after="0"/>
            </w:pPr>
            <w:r/>
            <w:r>
              <w:rPr>
                <w:b w:val="0"/>
                <w:sz w:val="18"/>
              </w:rPr>
              <w:t>Verify prefix-state reuse equals full recomputation within tolerance.</w:t>
            </w:r>
          </w:p>
        </w:tc>
      </w:tr>
      <w:tr>
        <w:trPr>
          <w:cantSplit/>
          <w:cantSplit/>
        </w:trPr>
        <w:tc>
          <w:tcPr>
            <w:tcW w:type="dxa" w:w="3312"/>
            <w:vAlign w:val="top"/>
          </w:tcPr>
          <w:p>
            <w:pPr>
              <w:spacing w:after="0"/>
            </w:pPr>
            <w:r/>
            <w:r>
              <w:rPr>
                <w:b w:val="0"/>
                <w:sz w:val="18"/>
              </w:rPr>
              <w:t>Chunked-vs-recurrent test</w:t>
            </w:r>
          </w:p>
        </w:tc>
        <w:tc>
          <w:tcPr>
            <w:tcW w:type="dxa" w:w="7632"/>
            <w:vAlign w:val="top"/>
          </w:tcPr>
          <w:p>
            <w:pPr>
              <w:spacing w:after="0"/>
            </w:pPr>
            <w:r/>
            <w:r>
              <w:rPr>
                <w:b w:val="0"/>
                <w:sz w:val="18"/>
              </w:rPr>
              <w:t>Verify training-style chunked linear attention equals inference-style recurrent decoding.</w:t>
            </w:r>
          </w:p>
        </w:tc>
      </w:tr>
      <w:tr>
        <w:trPr>
          <w:cantSplit/>
          <w:cantSplit/>
        </w:trPr>
        <w:tc>
          <w:tcPr>
            <w:tcW w:type="dxa" w:w="3312"/>
            <w:vAlign w:val="top"/>
          </w:tcPr>
          <w:p>
            <w:pPr>
              <w:spacing w:after="0"/>
            </w:pPr>
            <w:r/>
            <w:r>
              <w:rPr>
                <w:b w:val="0"/>
                <w:sz w:val="18"/>
              </w:rPr>
              <w:t>Long-context drift test</w:t>
            </w:r>
          </w:p>
        </w:tc>
        <w:tc>
          <w:tcPr>
            <w:tcW w:type="dxa" w:w="7632"/>
            <w:vAlign w:val="top"/>
          </w:tcPr>
          <w:p>
            <w:pPr>
              <w:spacing w:after="0"/>
            </w:pPr>
            <w:r/>
            <w:r>
              <w:rPr>
                <w:b w:val="0"/>
                <w:sz w:val="18"/>
              </w:rPr>
              <w:t>Verify numerical stability and state correctness over long sequences.</w:t>
            </w:r>
          </w:p>
        </w:tc>
      </w:tr>
    </w:tbl>
    <w:p/>
    <w:p>
      <w:pPr>
        <w:pStyle w:val="Heading2"/>
      </w:pPr>
      <w:r>
        <w:t>4.11 Existing Building Blocks and Gap</w:t>
      </w:r>
    </w:p>
    <w:p>
      <w:r>
        <w:t>Existing ecosystems provide partial mechanisms. ONNX and StableHLO provide graph validation, shape/type inference, and portability concepts. MLIR provides extensible IR, dialects, verifier hooks, and shape inference infrastructure. NeMo Megatron Bridge provides checkpoint conversion and verification mechanisms between Megatron and Hugging Face-style model formats. SGLang and verl support SGLang as an RL rollout engine. Safetensors exposes tensor metadata such as tensor names, types, and shapes. Hugging Face documents tokenizer and chat-template behavior, and its chat-template documentation emphasizes that different models may require different chat serialization formats. [1][2][8][9][10][11]</w:t>
      </w:r>
    </w:p>
    <w:p>
      <w:r>
        <w:t>The missing integrated system is a compiler-centered gatekeeper that combines these ideas into one contract-carrying IR for model architecture, checkpoint mapping, tokenizer/chat ABI, generation policy, linear-attention state semantics, MoE router/expert/dispatch semantics, rollout trace replay, backend capability, and deployment conformance.</w:t>
      </w:r>
    </w:p>
    <w:p>
      <w:pPr>
        <w:pStyle w:val="Heading2"/>
      </w:pPr>
      <w:r>
        <w:t>4.12 Required IR Additions for Efficient Checking</w:t>
      </w:r>
    </w:p>
    <w:tbl>
      <w:tblPr>
        <w:tblStyle w:val="TableGrid"/>
        <w:tblW w:type="auto" w:w="0"/>
        <w:jc w:val="center"/>
        <w:tblLayout w:type="autofit"/>
        <w:tblLook w:firstColumn="1" w:firstRow="1" w:lastColumn="0" w:lastRow="0" w:noHBand="0" w:noVBand="1" w:val="04A0"/>
      </w:tblPr>
      <w:tblGrid>
        <w:gridCol w:w="4968"/>
        <w:gridCol w:w="4968"/>
      </w:tblGrid>
      <w:tr>
        <w:trPr>
          <w:cantSplit/>
          <w:tblHeader/>
          <w:cantSplit/>
          <w:tblHeader w:val="true"/>
        </w:trPr>
        <w:tc>
          <w:tcPr>
            <w:tcW w:type="dxa" w:w="3024"/>
            <w:vAlign w:val="top"/>
            <w:shd w:fill="D9EAF7"/>
          </w:tcPr>
          <w:p>
            <w:pPr>
              <w:spacing w:after="0"/>
            </w:pPr>
            <w:r/>
            <w:r>
              <w:rPr>
                <w:b/>
                <w:sz w:val="18"/>
              </w:rPr>
              <w:t>IR addition</w:t>
            </w:r>
          </w:p>
        </w:tc>
        <w:tc>
          <w:tcPr>
            <w:tcW w:type="dxa" w:w="7920"/>
            <w:vAlign w:val="top"/>
            <w:shd w:fill="D9EAF7"/>
          </w:tcPr>
          <w:p>
            <w:pPr>
              <w:spacing w:after="0"/>
            </w:pPr>
            <w:r/>
            <w:r>
              <w:rPr>
                <w:b/>
                <w:sz w:val="18"/>
              </w:rPr>
              <w:t>Purpose</w:t>
            </w:r>
          </w:p>
        </w:tc>
      </w:tr>
      <w:tr>
        <w:trPr>
          <w:cantSplit/>
          <w:cantSplit/>
        </w:trPr>
        <w:tc>
          <w:tcPr>
            <w:tcW w:type="dxa" w:w="3024"/>
            <w:vAlign w:val="top"/>
          </w:tcPr>
          <w:p>
            <w:pPr>
              <w:spacing w:after="0"/>
            </w:pPr>
            <w:r/>
            <w:r>
              <w:rPr>
                <w:b w:val="0"/>
                <w:sz w:val="18"/>
              </w:rPr>
              <w:t>ModelContractIR</w:t>
            </w:r>
          </w:p>
        </w:tc>
        <w:tc>
          <w:tcPr>
            <w:tcW w:type="dxa" w:w="7920"/>
            <w:vAlign w:val="top"/>
          </w:tcPr>
          <w:p>
            <w:pPr>
              <w:spacing w:after="0"/>
            </w:pPr>
            <w:r/>
            <w:r>
              <w:rPr>
                <w:b w:val="0"/>
                <w:sz w:val="18"/>
              </w:rPr>
              <w:t>Represents architecture, tokenizer ABI, checkpoint ABI, and shared model semantics.</w:t>
            </w:r>
          </w:p>
        </w:tc>
      </w:tr>
      <w:tr>
        <w:trPr>
          <w:cantSplit/>
          <w:cantSplit/>
        </w:trPr>
        <w:tc>
          <w:tcPr>
            <w:tcW w:type="dxa" w:w="3024"/>
            <w:vAlign w:val="top"/>
          </w:tcPr>
          <w:p>
            <w:pPr>
              <w:spacing w:after="0"/>
            </w:pPr>
            <w:r/>
            <w:r>
              <w:rPr>
                <w:b w:val="0"/>
                <w:sz w:val="18"/>
              </w:rPr>
              <w:t>SubDomainIR</w:t>
            </w:r>
          </w:p>
        </w:tc>
        <w:tc>
          <w:tcPr>
            <w:tcW w:type="dxa" w:w="7920"/>
            <w:vAlign w:val="top"/>
          </w:tcPr>
          <w:p>
            <w:pPr>
              <w:spacing w:after="0"/>
            </w:pPr>
            <w:r/>
            <w:r>
              <w:rPr>
                <w:b w:val="0"/>
                <w:sz w:val="18"/>
              </w:rPr>
              <w:t>Represents phase-specific execution contracts for pre-training, RL rollout/update, and inference.</w:t>
            </w:r>
          </w:p>
        </w:tc>
      </w:tr>
      <w:tr>
        <w:trPr>
          <w:cantSplit/>
          <w:cantSplit/>
        </w:trPr>
        <w:tc>
          <w:tcPr>
            <w:tcW w:type="dxa" w:w="3024"/>
            <w:vAlign w:val="top"/>
          </w:tcPr>
          <w:p>
            <w:pPr>
              <w:spacing w:after="0"/>
            </w:pPr>
            <w:r/>
            <w:r>
              <w:rPr>
                <w:b w:val="0"/>
                <w:sz w:val="18"/>
              </w:rPr>
              <w:t>TensorContractIR</w:t>
            </w:r>
          </w:p>
        </w:tc>
        <w:tc>
          <w:tcPr>
            <w:tcW w:type="dxa" w:w="7920"/>
            <w:vAlign w:val="top"/>
          </w:tcPr>
          <w:p>
            <w:pPr>
              <w:spacing w:after="0"/>
            </w:pPr>
            <w:r/>
            <w:r>
              <w:rPr>
                <w:b w:val="0"/>
                <w:sz w:val="18"/>
              </w:rPr>
              <w:t>Represents shape, dtype, layout, sharding, quantization, memory space, and semantic role.</w:t>
            </w:r>
          </w:p>
        </w:tc>
      </w:tr>
      <w:tr>
        <w:trPr>
          <w:cantSplit/>
          <w:cantSplit/>
        </w:trPr>
        <w:tc>
          <w:tcPr>
            <w:tcW w:type="dxa" w:w="3024"/>
            <w:vAlign w:val="top"/>
          </w:tcPr>
          <w:p>
            <w:pPr>
              <w:spacing w:after="0"/>
            </w:pPr>
            <w:r/>
            <w:r>
              <w:rPr>
                <w:b w:val="0"/>
                <w:sz w:val="18"/>
              </w:rPr>
              <w:t>AttentionStateIR</w:t>
            </w:r>
          </w:p>
        </w:tc>
        <w:tc>
          <w:tcPr>
            <w:tcW w:type="dxa" w:w="7920"/>
            <w:vAlign w:val="top"/>
          </w:tcPr>
          <w:p>
            <w:pPr>
              <w:spacing w:after="0"/>
            </w:pPr>
            <w:r/>
            <w:r>
              <w:rPr>
                <w:b w:val="0"/>
                <w:sz w:val="18"/>
              </w:rPr>
              <w:t>Represents KV cache or linear-attention recurrent state, update rules, and state-cache policies.</w:t>
            </w:r>
          </w:p>
        </w:tc>
      </w:tr>
      <w:tr>
        <w:trPr>
          <w:cantSplit/>
          <w:cantSplit/>
        </w:trPr>
        <w:tc>
          <w:tcPr>
            <w:tcW w:type="dxa" w:w="3024"/>
            <w:vAlign w:val="top"/>
          </w:tcPr>
          <w:p>
            <w:pPr>
              <w:spacing w:after="0"/>
            </w:pPr>
            <w:r/>
            <w:r>
              <w:rPr>
                <w:b w:val="0"/>
                <w:sz w:val="18"/>
              </w:rPr>
              <w:t>GenerationContractIR</w:t>
            </w:r>
          </w:p>
        </w:tc>
        <w:tc>
          <w:tcPr>
            <w:tcW w:type="dxa" w:w="7920"/>
            <w:vAlign w:val="top"/>
          </w:tcPr>
          <w:p>
            <w:pPr>
              <w:spacing w:after="0"/>
            </w:pPr>
            <w:r/>
            <w:r>
              <w:rPr>
                <w:b w:val="0"/>
                <w:sz w:val="18"/>
              </w:rPr>
              <w:t>Represents sampling, stop policy, EOS handling, logprob requirements, and deterministic replay mode.</w:t>
            </w:r>
          </w:p>
        </w:tc>
      </w:tr>
      <w:tr>
        <w:trPr>
          <w:cantSplit/>
          <w:cantSplit/>
        </w:trPr>
        <w:tc>
          <w:tcPr>
            <w:tcW w:type="dxa" w:w="3024"/>
            <w:vAlign w:val="top"/>
          </w:tcPr>
          <w:p>
            <w:pPr>
              <w:spacing w:after="0"/>
            </w:pPr>
            <w:r/>
            <w:r>
              <w:rPr>
                <w:b w:val="0"/>
                <w:sz w:val="18"/>
              </w:rPr>
              <w:t>CheckpointMappingIR</w:t>
            </w:r>
          </w:p>
        </w:tc>
        <w:tc>
          <w:tcPr>
            <w:tcW w:type="dxa" w:w="7920"/>
            <w:vAlign w:val="top"/>
          </w:tcPr>
          <w:p>
            <w:pPr>
              <w:spacing w:after="0"/>
            </w:pPr>
            <w:r/>
            <w:r>
              <w:rPr>
                <w:b w:val="0"/>
                <w:sz w:val="18"/>
              </w:rPr>
              <w:t>Represents tensor name mapping, sharding, fusion/split, transpose, and dtype conversion.</w:t>
            </w:r>
          </w:p>
        </w:tc>
      </w:tr>
      <w:tr>
        <w:trPr>
          <w:cantSplit/>
          <w:cantSplit/>
        </w:trPr>
        <w:tc>
          <w:tcPr>
            <w:tcW w:type="dxa" w:w="3024"/>
            <w:vAlign w:val="top"/>
          </w:tcPr>
          <w:p>
            <w:pPr>
              <w:spacing w:after="0"/>
            </w:pPr>
            <w:r/>
            <w:r>
              <w:rPr>
                <w:b w:val="0"/>
                <w:sz w:val="18"/>
              </w:rPr>
              <w:t>ConformanceTestIR</w:t>
            </w:r>
          </w:p>
        </w:tc>
        <w:tc>
          <w:tcPr>
            <w:tcW w:type="dxa" w:w="7920"/>
            <w:vAlign w:val="top"/>
          </w:tcPr>
          <w:p>
            <w:pPr>
              <w:spacing w:after="0"/>
            </w:pPr>
            <w:r/>
            <w:r>
              <w:rPr>
                <w:b w:val="0"/>
                <w:sz w:val="18"/>
              </w:rPr>
              <w:t>Represents golden tests and tolerance rules that the compiler lowers into executable test harnesses.</w:t>
            </w:r>
          </w:p>
        </w:tc>
      </w:tr>
    </w:tbl>
    <w:p/>
    <w:p>
      <w:pPr>
        <w:pStyle w:val="Heading2"/>
      </w:pPr>
      <w:r>
        <w:t>4.13 Certification Command Example</w:t>
      </w:r>
    </w:p>
    <w:p>
      <w:pPr>
        <w:pStyle w:val="CodeBlock"/>
      </w:pPr>
      <w:r>
        <w:rPr>
          <w:rFonts w:ascii="Consolas" w:hAnsi="Consolas" w:eastAsia="Consolas"/>
          <w:sz w:val="17"/>
        </w:rPr>
        <w:t>ant-certify-transformer \</w:t>
        <w:br/>
        <w:t xml:space="preserve">  --model-package final_rl_checkpoint/ \</w:t>
        <w:br/>
        <w:t xml:space="preserve">  --contract compatibility_contract.yaml \</w:t>
        <w:br/>
        <w:t xml:space="preserve">  --reference-rollout-traces group_b_rollouts.jsonl \</w:t>
        <w:br/>
        <w:t xml:space="preserve">  --reference-logits group_b_logits/ \</w:t>
        <w:br/>
        <w:t xml:space="preserve">  --backend sglang \</w:t>
        <w:br/>
        <w:t xml:space="preserve">  --attention linear_attention \</w:t>
        <w:br/>
        <w:t xml:space="preserve">  --moe enabled \</w:t>
        <w:br/>
        <w:t xml:space="preserve">  --expert-parallel-config expert_parallel.yaml \</w:t>
        <w:br/>
        <w:t xml:space="preserve">  --fail-on-warning</w:t>
      </w:r>
    </w:p>
    <w:p>
      <w:pPr>
        <w:pStyle w:val="Heading2"/>
      </w:pPr>
      <w:r>
        <w:t>4.14 Final Architectural Position</w:t>
      </w:r>
    </w:p>
    <w:p>
      <w:r>
        <w:t>The compiler should be the semantic compatibility authority across domain-specific application intent and domain-specific system execution. The namespace mechanism provides extension and ownership. The domain registry provides hierarchy and inheritance. The contract system provides verification. The pass pipeline implements transformation and testing. Diagnostics enforce boundaries.</w:t>
      </w:r>
    </w:p>
    <w:p>
      <w:pPr>
        <w:pStyle w:val="CodeBlock"/>
      </w:pPr>
      <w:r>
        <w:rPr>
          <w:rFonts w:ascii="Consolas" w:hAnsi="Consolas" w:eastAsia="Consolas"/>
          <w:sz w:val="17"/>
        </w:rPr>
        <w:t>Domain-specific application</w:t>
        <w:br/>
        <w:t xml:space="preserve">  -&gt; Domain-specific IR</w:t>
        <w:br/>
        <w:t xml:space="preserve">  -&gt; Hierarchical domain/sub-domain registry</w:t>
        <w:br/>
        <w:t xml:space="preserve">  -&gt; Contract-carrying compilation</w:t>
        <w:br/>
        <w:t xml:space="preserve">  -&gt; Gatekeeper verification</w:t>
        <w:br/>
        <w:t xml:space="preserve">  -&gt; Certified domain-specific system execution</w:t>
      </w:r>
    </w:p>
    <w:p>
      <w:r>
        <w:br w:type="page"/>
      </w:r>
    </w:p>
    <w:p>
      <w:pPr>
        <w:pStyle w:val="Heading1"/>
        <w:pageBreakBefore/>
      </w:pPr>
      <w:r>
        <w:t>Chapter 5. Performance Portability Through Compiler-Selected Parallelization</w:t>
      </w:r>
    </w:p>
    <w:p>
      <w:pPr>
        <w:pStyle w:val="Heading2"/>
      </w:pPr>
      <w:r>
        <w:t>5.1 Why Performance Portability Belongs in the Main Architecture</w:t>
      </w:r>
    </w:p>
    <w:p>
      <w:r>
        <w:t>Performance portability should be elevated to a main chapter rather than left only in an appendix. The architecture is no longer only a semantic gatekeeper; it is also a compiler control plane that chooses how a model is parallelized, how tensors are sharded, how communication is inserted, and how runtime backends execute those decisions on NVIDIA, TPU-like, edge, and cloud systems. The appendix should continue to hold the detailed IR taxonomy and examples, while this chapter states the architectural blueprint and design commitments.</w:t>
      </w:r>
    </w:p>
    <w:p>
      <w:pPr>
        <w:pStyle w:val="CodeBlock"/>
      </w:pPr>
      <w:r>
        <w:rPr>
          <w:rFonts w:ascii="Consolas" w:hAnsi="Consolas" w:eastAsia="Consolas"/>
          <w:sz w:val="17"/>
        </w:rPr>
        <w:t>Design position:</w:t>
        <w:br/>
        <w:t xml:space="preserve">  Semantic portability preserves model meaning.</w:t>
        <w:br/>
        <w:t xml:space="preserve">  Runtime portability maps the model to different serving and training systems.</w:t>
        <w:br/>
        <w:t xml:space="preserve">  Performance portability chooses sharding, placement, scheduling, and communication so the same model can run efficiently across target systems.</w:t>
      </w:r>
    </w:p>
    <w:p>
      <w:r>
        <w:t>The compiler should hide vendor-specific mechanisms from model authors, but it must explicitly model performance-relevant resources: compute engines, memory hierarchy, bandwidth, latency, topology, runtime capability, tensor traits, data sharding, and collective communication. This is how the compiler can make one model portable without reducing all targets to the lowest common denominator.</w:t>
      </w:r>
    </w:p>
    <w:p>
      <w:pPr>
        <w:pStyle w:val="Heading3"/>
      </w:pPr>
      <w:r>
        <w:t>5.1.1 Shared Open64 Optimization-Level Contract</w:t>
      </w:r>
    </w:p>
    <w:p>
      <w:pPr/>
      <w:r>
        <w:t>The main DSC architecture owns one optimization-level contract for both openpy and opencc. The driver basename selects the source frontend, but it does not change optimization semantics. Both drivers propagate the same Open64 umbrella levels through the compiler pipeline; each phase consumes its applicable controls and silently ignores the rest.</w:t>
      </w:r>
    </w:p>
    <w:p>
      <w:pPr>
        <w:pStyle w:val="CodeBlock"/>
      </w:pPr>
      <w:r>
        <w:t>-O0: mandatory legality, verification, and executable baseline.</w:t>
        <w:br/>
        <w:t>-O1: local, low-risk optimization.</w:t>
        <w:br/>
        <w:t>-O2: advanced semantic, graph, and profitability optimization; this includes domain algorithms such as ReSBM and future extended ReSBM variants, even when they consume target architecture descriptions.</w:t>
        <w:br/>
        <w:t>-O3: shared Open64 umbrella for compiler-selected parallelization and memory-hierarchy optimization. It inherits the finalized -O2 semantic plan and does not redefine it.</w:t>
      </w:r>
    </w:p>
    <w:p>
      <w:pPr/>
      <w:r>
        <w:t>The -O3 memory scope extends the traditional Open64 CPU data-cache role across the complete AI memory path: tensor layout and movement, host caches and NUMA memory, pinned and unified memory, accelerator registers and software-managed scratchpads, device HBM, host/device transfer and overlap, peer memory, and scale-up or scale-out distributed memory and communication. Target and domain descriptions supply capabilities and costs, while the main pipeline retains ownership of the -O3 ordering and umbrella policy. Every parallelization and memory activity must remain independently controllable for debugging, staged certification, and performance comparison.</w:t>
      </w:r>
    </w:p>
    <w:p>
      <w:pPr>
        <w:pStyle w:val="Heading2"/>
      </w:pPr>
      <w:r>
        <w:t>5.2 Common Factoring: Sharding First, Communication Derived, Target Runtime Last</w:t>
      </w:r>
    </w:p>
    <w:p>
      <w:r>
        <w:t>The central factoring rule is that parallelization should be represented first as target-independent data sharding and placement intent. Dispatch, gather, scatter, reduce, all-reduce, reduce-scatter, all-gather, and all-to-all operations should be derived from shard ownership and consumer requirements. Only after this common lowering should the compiler specialize the communication to NCCL, CUDA, TensorRT-LLM, Dynamo, SGLang, XLA, GSPMD, Pallas, or a target-specific runtime adapter.</w:t>
      </w:r>
    </w:p>
    <w:p>
      <w:pPr>
        <w:pStyle w:val="CodeBlock"/>
      </w:pPr>
      <w:r>
        <w:rPr>
          <w:rFonts w:ascii="Consolas" w:hAnsi="Consolas" w:eastAsia="Consolas"/>
          <w:sz w:val="17"/>
        </w:rPr>
        <w:t>DataShardingIR</w:t>
        <w:br/>
        <w:t xml:space="preserve">  -&gt; ParallelizationChoiceIR</w:t>
        <w:br/>
        <w:t xml:space="preserve">  -&gt; ShardTransitionIR</w:t>
        <w:br/>
        <w:t xml:space="preserve">  -&gt; CommunicationIntentIR</w:t>
        <w:br/>
        <w:t xml:space="preserve">  -&gt; DispatchReduceIR</w:t>
        <w:br/>
        <w:t xml:space="preserve">  -&gt; TargetCollectiveIR</w:t>
        <w:br/>
        <w:t xml:space="preserve">  -&gt; RuntimePlanIR</w:t>
        <w:br/>
        <w:t xml:space="preserve">  -&gt; KernelLoweringIR</w:t>
      </w:r>
    </w:p>
    <w:p>
      <w:r>
        <w:t>This pipeline maximizes common lowering activity. A tensor-parallel matmul, context-parallel KV cache, or expert-parallel MoE layer should be described once at the common IR level, then lowered differently for NVIDIA scale-up domains such as NVLink/NVSwitch and TPU-like scale-up domains such as ICI slices.</w:t>
      </w:r>
    </w:p>
    <w:p>
      <w:pPr>
        <w:pStyle w:val="Heading2"/>
      </w:pPr>
      <w:r>
        <w:t>5.3 ParallelizationChoiceIR</w:t>
      </w:r>
    </w:p>
    <w:p>
      <w:r>
        <w:t>ParallelizationChoiceIR records the compiler-selected parallelization plan. It is not merely a user annotation. The compiler may accept user constraints or hints, but it owns the legality check, cost comparison, and final choice. Each choice records the selected parallelism type, shard axes, group size, placement domain, runtime constraints, and the communication operations that must be generated.</w:t>
      </w:r>
    </w:p>
    <w:p>
      <w:pPr>
        <w:pStyle w:val="CodeBlock"/>
      </w:pPr>
      <w:r>
        <w:rPr>
          <w:rFonts w:ascii="Consolas" w:hAnsi="Consolas" w:eastAsia="Consolas"/>
          <w:sz w:val="17"/>
        </w:rPr>
        <w:t>parallelization_choice:</w:t>
        <w:br/>
        <w:t xml:space="preserve">  id: layer_12_moe_expert_parallel</w:t>
        <w:br/>
        <w:t xml:space="preserve">  selected_by: compiler_cost_model</w:t>
        <w:br/>
        <w:t xml:space="preserve">  type: expert_parallel</w:t>
        <w:br/>
        <w:t xml:space="preserve">  object: transformer.layer.12.moe.experts</w:t>
        <w:br/>
        <w:t xml:space="preserve">  shard_axis: expert_id</w:t>
        <w:br/>
        <w:t xml:space="preserve">  group_size: 8</w:t>
        <w:br/>
        <w:t xml:space="preserve">  placement_domain: scale_up</w:t>
        <w:br/>
        <w:t xml:space="preserve">  generated_ops:</w:t>
        <w:br/>
        <w:t xml:space="preserve">    - route_topk</w:t>
        <w:br/>
        <w:t xml:space="preserve">    - dispatch_tokens_to_expert_owners</w:t>
        <w:br/>
        <w:t xml:space="preserve">    - local_expert_gemm</w:t>
        <w:br/>
        <w:t xml:space="preserve">    - combine_expert_outputs</w:t>
        <w:br/>
        <w:t xml:space="preserve">    - restore_token_order</w:t>
        <w:br/>
        <w:t xml:space="preserve">  legality:</w:t>
        <w:br/>
        <w:t xml:space="preserve">    requires_order_restore: true</w:t>
        <w:br/>
        <w:t xml:space="preserve">    requires_combine_weight_preservation: true</w:t>
        <w:br/>
        <w:t xml:space="preserve">    semantic_preserving: true</w:t>
      </w:r>
    </w:p>
    <w:p>
      <w:r>
        <w:t>The same mechanism applies to tensor parallelism, data parallelism, sequence/context parallelism, expert parallelism, pipeline parallelism, optimizer-state sharding, checkpoint sharding, and runtime-state sharding.</w:t>
      </w:r>
    </w:p>
    <w:p>
      <w:pPr>
        <w:pStyle w:val="Heading2"/>
      </w:pPr>
      <w:r>
        <w:t>5.4 DispatchReduceIR</w:t>
      </w:r>
    </w:p>
    <w:p>
      <w:r>
        <w:t>DispatchReduceIR represents the target-independent communication and recomposition operations introduced by parallelization. It should be expressive enough to represent dense tensor collectives, MoE token dispatch, KV/state movement, context-window exchange, and resharding between producer and consumer layouts.</w:t>
      </w:r>
    </w:p>
    <w:p>
      <w:pPr>
        <w:pStyle w:val="CodeBlock"/>
      </w:pPr>
      <w:r>
        <w:rPr>
          <w:rFonts w:ascii="Consolas" w:hAnsi="Consolas" w:eastAsia="Consolas"/>
          <w:sz w:val="17"/>
        </w:rPr>
        <w:t>dispatch_reduce_ir:</w:t>
        <w:br/>
        <w:t xml:space="preserve">  dispatch:</w:t>
        <w:br/>
        <w:t xml:space="preserve">    source: token_owner_shards</w:t>
        <w:br/>
        <w:t xml:space="preserve">    destination: expert_owner_shards</w:t>
        <w:br/>
        <w:t xml:space="preserve">    routing_key: expert_id</w:t>
        <w:br/>
        <w:t xml:space="preserve">    operation: all_to_all_or_grouped_send_recv</w:t>
        <w:br/>
        <w:t xml:space="preserve">  compute:</w:t>
        <w:br/>
        <w:t xml:space="preserve">    operation: local_grouped_expert_gemm</w:t>
        <w:br/>
        <w:t xml:space="preserve">    local_to: expert_owner</w:t>
        <w:br/>
        <w:t xml:space="preserve">  reduce_or_combine:</w:t>
        <w:br/>
        <w:t xml:space="preserve">    source: expert_output_shards</w:t>
        <w:br/>
        <w:t xml:space="preserve">    destination: original_token_owner</w:t>
        <w:br/>
        <w:t xml:space="preserve">    operation: weighted_combine_and_order_restore</w:t>
      </w:r>
    </w:p>
    <w:p>
      <w:r>
        <w:t>The IR should remain common at this level. NVIDIA lowering may map the dispatch and combine to NCCL collectives, CUDA kernels, TensorRT-LLM plugins, Dynamo orchestration, or SGLang runtime mechanisms. TPU-like lowering may map them to XLA/GSPMD collectives, collective-permute, Pallas kernels, or SGLang-JAX mechanisms.</w:t>
      </w:r>
    </w:p>
    <w:p>
      <w:pPr>
        <w:pStyle w:val="Heading2"/>
      </w:pPr>
      <w:r>
        <w:t>5.5 Compiler Decision Engine</w:t>
      </w:r>
    </w:p>
    <w:p>
      <w:r>
        <w:t>The compiler should enumerate legal parallelization candidates and select the lowest-cost candidate that preserves semantic contracts and satisfies runtime capability constraints. The decision engine should consider HBM capacity, memory bandwidth, scale-up bandwidth, scale-out latency, collective support, kernel availability, attention-state compatibility, MoE routing contracts, quantization support, context length, batch size, rollout/inference equivalence, and service-level objectives.</w:t>
      </w:r>
    </w:p>
    <w:p>
      <w:pPr>
        <w:pStyle w:val="CodeBlock"/>
      </w:pPr>
      <w:r>
        <w:rPr>
          <w:rFonts w:ascii="Consolas" w:hAnsi="Consolas" w:eastAsia="Consolas"/>
          <w:sz w:val="17"/>
        </w:rPr>
        <w:t>for candidate in parallelization_candidates(model, target, runtime):</w:t>
        <w:br/>
        <w:t xml:space="preserve">  if not preserves_semantics(candidate, model_contract):</w:t>
        <w:br/>
        <w:t xml:space="preserve">    reject(candidate)</w:t>
        <w:br/>
        <w:t xml:space="preserve">  if not supported_by_runtime(candidate, runtime_capability):</w:t>
        <w:br/>
        <w:t xml:space="preserve">    reject(candidate)</w:t>
        <w:br/>
        <w:t xml:space="preserve">  cost = compute_cost(candidate)</w:t>
        <w:br/>
        <w:t xml:space="preserve">       + memory_cost(candidate)</w:t>
        <w:br/>
        <w:t xml:space="preserve">       + collective_cost(candidate)</w:t>
        <w:br/>
        <w:t xml:space="preserve">       + resharding_cost(candidate)</w:t>
        <w:br/>
        <w:t xml:space="preserve">       + runtime_overhead(candidate)</w:t>
        <w:br/>
        <w:t xml:space="preserve">  keep(candidate, cost)</w:t>
        <w:br/>
        <w:br/>
        <w:t>choose lowest_cost_legal_candidate</w:t>
        <w:br/>
        <w:t>generate ShardTransitionIR, CommunicationIntentIR, and DispatchReduceIR</w:t>
      </w:r>
    </w:p>
    <w:p>
      <w:pPr>
        <w:pStyle w:val="Heading2"/>
      </w:pPr>
      <w:r>
        <w:t>5.6 Static Plans and Runtime-Adaptive Policies</w:t>
      </w:r>
    </w:p>
    <w:p>
      <w:r>
        <w:t>Some decisions should be fixed at compile time, while others should become runtime-adaptive policies. Tensor-parallel degree, pipeline partitioning, checkpoint sharding, physical layout, and kernel family are often static. Serving batch shape, request length distribution, KV cache pressure, hot expert imbalance, prefix reuse, network congestion, and decode latency pressure often require runtime adaptation.</w:t>
      </w:r>
    </w:p>
    <w:p>
      <w:pPr>
        <w:pStyle w:val="CodeBlock"/>
      </w:pPr>
      <w:r>
        <w:rPr>
          <w:rFonts w:ascii="Consolas" w:hAnsi="Consolas" w:eastAsia="Consolas"/>
          <w:sz w:val="17"/>
        </w:rPr>
        <w:t>runtime_parallel_policy:</w:t>
        <w:br/>
        <w:t xml:space="preserve">  default:</w:t>
        <w:br/>
        <w:t xml:space="preserve">    expert_dispatch: scale_up_all_to_all</w:t>
        <w:br/>
        <w:t xml:space="preserve">    kv_state_placement: scale_up_decode_domain</w:t>
        <w:br/>
        <w:t xml:space="preserve">  adaptive_rules:</w:t>
        <w:br/>
        <w:t xml:space="preserve">    - if hot_expert_load &gt; threshold:</w:t>
        <w:br/>
        <w:t xml:space="preserve">        rebalance_expert_groups</w:t>
        <w:br/>
        <w:t xml:space="preserve">    - if kv_cache_pressure &gt; threshold:</w:t>
        <w:br/>
        <w:t xml:space="preserve">        evict_or_migrate_prefix_blocks</w:t>
        <w:br/>
        <w:t xml:space="preserve">    - if decode_latency_slo_at_risk:</w:t>
        <w:br/>
        <w:t xml:space="preserve">        avoid_scale_out_resharding</w:t>
      </w:r>
    </w:p>
    <w:p>
      <w:pPr>
        <w:pStyle w:val="Heading2"/>
      </w:pPr>
      <w:r>
        <w:t>5.7 Hybrid Static-Dynamic Compilation and Execution Coordination</w:t>
      </w:r>
    </w:p>
    <w:p>
      <w:pPr/>
      <w:r>
        <w:t>Decode-phase sequence length, active batch membership, KV/state block count, prefix reuse, request completion, and runtime memory pressure are not fully known at static compile time. A purely static compiler therefore cannot produce a single globally optimal decode program. At the same time, an unconstrained runtime JIT would weaken gatekeeping, reproducibility, rollout/inference equivalence, and performance portability. The architecture should therefore coordinate static compilation, guarded dynamic specialization, and runtime scheduling as one compiler/execution system.</w:t>
      </w:r>
    </w:p>
    <w:p>
      <w:pPr>
        <w:pStyle w:val="CodeBlock"/>
      </w:pPr>
      <w:r>
        <w:t>Design rule:</w:t>
        <w:br/>
        <w:t xml:space="preserve">  Static compilation defines what is legal and prepares optimized variants.</w:t>
        <w:br/>
        <w:t xml:space="preserve">  Dynamic execution selects among those variants using runtime facts.</w:t>
        <w:br/>
        <w:t xml:space="preserve">  Online specialization is allowed only inside compiler-certified guards.</w:t>
      </w:r>
    </w:p>
    <w:p>
      <w:pPr/>
      <w:r>
        <w:t>The static compiler remains the semantic authority. It verifies tokenizer, checkpoint, attention semantics, MoE contracts, runtime-state ABI, tensor traits, and rollout/inference equivalence. It then defines dynamic-shape bounds, sequence-length profiles, KV/state page limits, sharding choices, communication intent, kernel families, runtime guards, and fallback behavior. The static compiler does not need to know the exact future decode length of every request; it must define the certified execution envelope within which runtime choices are legal.</w:t>
      </w:r>
    </w:p>
    <w:p>
      <w:pPr/>
      <w:r>
        <w:t>The runtime system acts as a policy executor and variant selector. At each prefill or decode step, it observes active requests, current sequence lengths, KV/state block counts, prefix-cache hits, memory pressure, hot-expert imbalance, communication congestion, and latency budget. It selects a compiler-approved shape bucket, kernel variant, dispatch/reduce plan, and runtime-state policy. If a guard fails, the runtime must select another certified variant or take a compiler-approved fallback path.</w:t>
      </w:r>
    </w:p>
    <w:p>
      <w:pPr>
        <w:pStyle w:val="CodeBlock"/>
      </w:pPr>
      <w:r>
        <w:t>Coordinated flow:</w:t>
        <w:br/>
        <w:t xml:space="preserve">  Model artifacts</w:t>
        <w:br/>
        <w:t xml:space="preserve">    -&gt; static semantic import</w:t>
        <w:br/>
        <w:t xml:space="preserve">    -&gt; gatekeeper verification</w:t>
        <w:br/>
        <w:t xml:space="preserve">    -&gt; dynamic shape contract generation</w:t>
        <w:br/>
        <w:t xml:space="preserve">    -&gt; sharding and parallelization planning</w:t>
        <w:br/>
        <w:t xml:space="preserve">    -&gt; communication intent generation</w:t>
        <w:br/>
        <w:t xml:space="preserve">    -&gt; shape bucket and kernel variant generation</w:t>
        <w:br/>
        <w:t xml:space="preserve">    -&gt; runtime dispatch policy emission</w:t>
        <w:br/>
        <w:t xml:space="preserve">    -&gt; runtime execution</w:t>
        <w:br/>
        <w:t xml:space="preserve">    -&gt; runtime feedback</w:t>
        <w:br/>
        <w:t xml:space="preserve">    -&gt; optional profile-guided recompilation</w:t>
      </w:r>
    </w:p>
    <w:p>
      <w:pPr/>
      <w:r>
        <w:t>This hybrid model is essential for near-optimal performance. A single static shape is brittle. A fully generic dynamic kernel is often slower. The preferred solution is guarded multi-versioning: the compiler prepares a bounded family of optimized variants, the runtime selects the best variant for observed runtime state, and telemetry refines future bucket boundaries, schedule choices, and target cost models.</w:t>
      </w:r>
    </w:p>
    <w:p>
      <w:pPr>
        <w:pStyle w:val="Heading2"/>
      </w:pPr>
      <w:r>
        <w:t>5.8 Dynamic Shape Representation in the Tensor Type System</w:t>
      </w:r>
    </w:p>
    <w:p>
      <w:pPr/>
      <w:r>
        <w:t>Dynamic shape must be maintained inside the tensor type system, not as loose runtime commentary. The architecture keeps a single flat TENSOR_KIND, uses composable TensorTraits to express semantic contracts, and represents dynamic dimensions through TensorShapeDescriptor, ShapeSymbolIR, ShapeConstraintIR, RuntimeShapeStateIR, ShapeGuardIR, and ShapeBucketIR.</w:t>
      </w:r>
    </w:p>
    <w:p>
      <w:pPr>
        <w:pStyle w:val="CodeBlock"/>
      </w:pPr>
      <w:r>
        <w:t>TENSOR_KIND</w:t>
        <w:br/>
        <w:t xml:space="preserve">  + TensorTraitSet</w:t>
        <w:br/>
        <w:t xml:space="preserve">  + TensorShapeDescriptor</w:t>
        <w:br/>
        <w:t xml:space="preserve">      - StaticDim</w:t>
        <w:br/>
        <w:t xml:space="preserve">      - SymbolicDim</w:t>
        <w:br/>
        <w:t xml:space="preserve">      - BoundedDynamicDim</w:t>
        <w:br/>
        <w:t xml:space="preserve">      - RuntimeEvolvingDim</w:t>
        <w:br/>
        <w:t xml:space="preserve">      - DerivedDynamicDim</w:t>
        <w:br/>
        <w:t xml:space="preserve">      - DataDependentDim</w:t>
        <w:br/>
        <w:t xml:space="preserve">  + ShapeConstraintIR</w:t>
        <w:br/>
        <w:t xml:space="preserve">  + RuntimeShapeStateIR</w:t>
        <w:br/>
        <w:t xml:space="preserve">  + ShapeGuardIR</w:t>
        <w:br/>
        <w:t xml:space="preserve">  + ShapeBucketIR</w:t>
      </w:r>
    </w:p>
    <w:p>
      <w:pPr/>
      <w:r>
        <w:t>Decode sequence length is the most important example. It is not merely an unknown dimension; it is a runtime-evolving dimension. The compiler shall represent request sequence length, active batch size, KV block count, prefix state, and request lifetime as shape symbols with bounds, update rules, derived formulas, runtime guards, and bucketed optimization profiles.</w:t>
      </w:r>
    </w:p>
    <w:p>
      <w:pPr>
        <w:pStyle w:val="CodeBlock"/>
      </w:pPr>
      <w:r>
        <w:t>decode_shape_state:</w:t>
        <w:br/>
        <w:t xml:space="preserve">  B_active: bounded_dynamic_dim[1, B_max]</w:t>
        <w:br/>
        <w:t xml:space="preserve">  S_req: runtime_evolving_dim[0, max_context_length]</w:t>
        <w:br/>
        <w:t xml:space="preserve">  K_blocks: derived_dynamic_dim = ceil(S_req / kv_block_size)</w:t>
        <w:br/>
        <w:t xml:space="preserve">  guards:</w:t>
        <w:br/>
        <w:t xml:space="preserve">    - B_active &lt;= B_max</w:t>
        <w:br/>
        <w:t xml:space="preserve">    - S_req &lt;= max_context_length</w:t>
        <w:br/>
        <w:t xml:space="preserve">    - K_blocks &lt;= max_kv_blocks_per_request</w:t>
      </w:r>
    </w:p>
    <w:p>
      <w:pPr/>
      <w:r>
        <w:t>This rule keeps the type system flat while giving the compiler enough information to generate shape-family schedules, sharding-aware local shapes, paged KV/state layouts, runtime dispatch policies, and target-specific kernel variants.</w:t>
      </w:r>
    </w:p>
    <w:p>
      <w:pPr>
        <w:pStyle w:val="Heading2"/>
      </w:pPr>
      <w:r>
        <w:t>5.9 Symmetric Target Lowering for NVIDIA and TPU-Like Systems</w:t>
      </w:r>
    </w:p>
    <w:p>
      <w:r>
        <w:t>The same common parallelization concepts should lower symmetrically to NVIDIA and TPU-like systems, while preserving their different mechanisms. The common compiler should reason about intra-device, scale-up, and scale-out domains. The target backend maps those domains to concrete execution units and fabrics.</w:t>
      </w:r>
    </w:p>
    <w:p>
      <w:pPr>
        <w:pStyle w:val="ListBullet"/>
      </w:pPr>
      <w:r>
        <w:t>NVIDIA intra-device: thread, warp, warpgroup, CTA, SM, Tensor Core, shared memory or Tensor Memory, HBM.</w:t>
      </w:r>
    </w:p>
    <w:p>
      <w:pPr>
        <w:pStyle w:val="ListBullet"/>
      </w:pPr>
      <w:r>
        <w:t>NVIDIA scale-up: NVLink, NVSwitch, or NVL domains for tensor parallelism, expert parallelism, context parallelism, and latency-sensitive collectives.</w:t>
      </w:r>
    </w:p>
    <w:p>
      <w:pPr>
        <w:pStyle w:val="ListBullet"/>
      </w:pPr>
      <w:r>
        <w:t>NVIDIA scale-out: InfiniBand, Ethernet, RoCE, NCCL, GPUDirect RDMA, and orchestration layers for data parallelism, coarse pipeline parallelism, replica serving, and disaggregated inference.</w:t>
      </w:r>
    </w:p>
    <w:p>
      <w:pPr>
        <w:pStyle w:val="ListBullet"/>
      </w:pPr>
      <w:r>
        <w:t>TPU-like intra-device: TensorCore, MXU, vector/scalar units, vector-register tiles, VMEM, SMEM, and HBM.</w:t>
      </w:r>
    </w:p>
    <w:p>
      <w:pPr>
        <w:pStyle w:val="ListBullet"/>
      </w:pPr>
      <w:r>
        <w:t>TPU-like scale-up: ICI slice or pod-local topology for tensor, expert, and context parallelism.</w:t>
      </w:r>
    </w:p>
    <w:p>
      <w:pPr>
        <w:pStyle w:val="ListBullet"/>
      </w:pPr>
      <w:r>
        <w:t>TPU-like scale-out: DCN or multislice topology for data parallelism, coarse pipeline parallelism, and large-scale training.</w:t>
      </w:r>
    </w:p>
    <w:p>
      <w:r>
        <w:t>The portable HAL should unify the intent and cost model, not the vendor mechanism. NVIDIA warps and TPU MXU tiles are different realizations of target execution granularity; NVLink/NVSwitch and ICI are different realizations of scale-up fabric; InfiniBand/Ethernet and DCN are different realizations of scale-out fabric.</w:t>
      </w:r>
    </w:p>
    <w:p>
      <w:pPr>
        <w:pStyle w:val="Heading2"/>
      </w:pPr>
      <w:r>
        <w:t>5.10 Gatekeeper and Diagnostics for Performance Portability</w:t>
      </w:r>
    </w:p>
    <w:p>
      <w:r>
        <w:t>Performance portability must be gatechecked. A schedule can be semantically legal but performance-invalid if it places latency-critical KV exchange on scale-out fabric, chooses an unsupported collective, violates a tensor trait, or requires a runtime feature not present on the selected backend.</w:t>
      </w:r>
    </w:p>
    <w:p>
      <w:pPr>
        <w:pStyle w:val="CodeBlock"/>
      </w:pPr>
      <w:r>
        <w:rPr>
          <w:rFonts w:ascii="Consolas" w:hAnsi="Consolas" w:eastAsia="Consolas"/>
          <w:sz w:val="17"/>
        </w:rPr>
        <w:t>CPERF-001 ParallelizationChoiceUnsupported</w:t>
        <w:br/>
        <w:t>CPERF-002 DispatchReducePlanMissing</w:t>
        <w:br/>
        <w:t>CPERF-003 CollectiveCostModelMissing</w:t>
        <w:br/>
        <w:t>CPERF-004 ScaleOutUsedForLatencyCriticalPath</w:t>
        <w:br/>
        <w:t>CPERF-005 RuntimeAdaptivePolicyRequired</w:t>
        <w:br/>
        <w:t>CPERF-006 ParallelizationBreaksSemanticContract</w:t>
        <w:br/>
        <w:t>CPERF-007 ShardTransitionRequiresUnsupportedCollective</w:t>
        <w:br/>
        <w:t>CPERF-008 SelectedScheduleBelowPerformanceFloor</w:t>
      </w:r>
    </w:p>
    <w:p>
      <w:r>
        <w:t>These diagnostics should complement the CLOWER, CSHARD, CMEM, CTRAIT, CTENSOR, CHAL, CATTN, and CMOE families. Their purpose is to make performance failures actionable rather than silently generating a poor schedule.</w:t>
      </w:r>
    </w:p>
    <w:p>
      <w:pPr>
        <w:pStyle w:val="Heading2"/>
      </w:pPr>
      <w:r>
        <w:t>5.11 Tensor Type Evolution Under Parallelization</w:t>
      </w:r>
    </w:p>
    <w:p>
      <w:pPr/>
      <w:r>
        <w:t>Parallelization is not only a scheduling decision. When the compiler introduces tensor parallelism, sequence or context parallelism, expert parallelism, data parallelism, pipeline parallelism, or fully sharded data parallelism, the original logical tensor evolves into a sequence of refined descriptor states. The tensor remains the same semantic object, but its descriptor gains sharding, placement, partiality, communication requirements, physical layout, memory residency, and runtime ownership metadata.</w:t>
      </w:r>
    </w:p>
    <w:p>
      <w:pPr/>
      <w:r>
        <w:t>The design rule is that tensor type should not mutate destructively. Each parallelization pass should produce a new TensorEvolutionRecord that preserves lineage from the previous tensor descriptor and adds only the facts that became known at that stage. This gives the compiler a control-plane representation for data partition, dispatch, gather, reduce, resharding, layout specialization, and memory-hierarchy mapping.</w:t>
      </w:r>
    </w:p>
    <w:p>
      <w:pPr/>
      <w:r>
        <w:t>Existing platforms support this conclusion from different directions. PyTorch DTensor makes placement explicit through device meshes and placement states such as shard, replicate, and partial. Megatron exposes domain-aware Transformer parallelism through tensor, sequence, context, pipeline, and expert-parallel layer/runtime choices. JAX and GSPMD-style systems make array sharding visible through meshes, partition specifications, sharding annotations, propagation, and compiler-inserted communication. The DSC architecture should consolidate these into one explicit tensor evolution path.</w:t>
      </w:r>
    </w:p>
    <w:p>
      <w:pPr>
        <w:pStyle w:val="Heading3"/>
      </w:pPr>
      <w:r>
        <w:t>5.11.1 Evolution Path</w:t>
      </w:r>
    </w:p>
    <w:p>
      <w:pPr/>
      <w:r>
        <w:t>The common control-plane path is:</w:t>
      </w:r>
    </w:p>
    <w:p>
      <w:pPr>
        <w:pStyle w:val="CodeBlock"/>
      </w:pPr>
      <w:r>
        <w:t>Domain Tensor</w:t>
        <w:br/>
        <w:t xml:space="preserve">  -&gt; Common Logical Tensor</w:t>
        <w:br/>
        <w:t xml:space="preserve">  -&gt; Shape-Refined Tensor</w:t>
        <w:br/>
        <w:t xml:space="preserve">  -&gt; ParallelizationChoiceIR</w:t>
        <w:br/>
        <w:t xml:space="preserve">  -&gt; DataShardingIR</w:t>
        <w:br/>
        <w:t xml:space="preserve">  -&gt; DistributedTensorDescriptorIR</w:t>
        <w:br/>
        <w:t xml:space="preserve">  -&gt; LocalShardDescriptorIR</w:t>
        <w:br/>
        <w:t xml:space="preserve">  -&gt; PartialTensorDescriptorIR</w:t>
        <w:br/>
        <w:t xml:space="preserve">  -&gt; DispatchReduceIR</w:t>
        <w:br/>
        <w:t xml:space="preserve">  -&gt; CollectiveResolutionIR</w:t>
        <w:br/>
        <w:t xml:space="preserve">  -&gt; PhysicalLayoutIR</w:t>
        <w:br/>
        <w:t xml:space="preserve">  -&gt; MemoryHierarchyIR</w:t>
        <w:br/>
        <w:t xml:space="preserve">  -&gt; KernelLoweringIR</w:t>
      </w:r>
    </w:p>
    <w:p>
      <w:pPr/>
      <w:r>
        <w:t>The stages have the following responsibilities:</w:t>
      </w:r>
    </w:p>
    <w:p>
      <w:pPr>
        <w:pStyle w:val="CodeBlock"/>
      </w:pPr>
      <w:r>
        <w:t>T0 Domain logical tensor:</w:t>
        <w:br/>
        <w:t xml:space="preserve">  Carries domain role and semantic traits, such as residual stream, KV state, expert input, image feature map, or convolution weight.</w:t>
        <w:br/>
        <w:br/>
        <w:t>T1 Common logical tensor:</w:t>
        <w:br/>
        <w:t xml:space="preserve">  Maps the domain tensor into the Common Compiler Substrate while preserving domain lineage.</w:t>
        <w:br/>
        <w:br/>
        <w:t>T2 Shape-refined tensor:</w:t>
        <w:br/>
        <w:t xml:space="preserve">  Adds symbolic, bounded dynamic, runtime-evolving, derived, and data-dependent shape facts plus guards.</w:t>
        <w:br/>
        <w:br/>
        <w:t>T3 Parallelization-annotated tensor:</w:t>
        <w:br/>
        <w:t xml:space="preserve">  Records compiler-selected parallelization strategy, mesh axes, placement domain, and legality constraints.</w:t>
        <w:br/>
        <w:br/>
        <w:t>T4 Distributed tensor descriptor:</w:t>
        <w:br/>
        <w:t xml:space="preserve">  Adds global shape, device mesh, shard map, replicated axes, partial axes, owner rank set, and placement state.</w:t>
        <w:br/>
        <w:br/>
        <w:t>T5 Local shard tensor descriptor:</w:t>
        <w:br/>
        <w:t xml:space="preserve">  Describes the local rank view: local shape, shard offsets, local strides, ownership, and addressability.</w:t>
        <w:br/>
        <w:br/>
        <w:t>T6 Partial tensor descriptor:</w:t>
        <w:br/>
        <w:t xml:space="preserve">  Marks values that are incomplete until a required reduction or gather is performed.</w:t>
        <w:br/>
        <w:br/>
        <w:t>T7 Communication-resolved tensor:</w:t>
        <w:br/>
        <w:t xml:space="preserve">  Records dispatch, gather, scatter, reduce, all-reduce, reduce-scatter, all-gather, all-to-all, send/recv, or neighbor exchange required by producer-consumer placement mismatch.</w:t>
        <w:br/>
        <w:br/>
        <w:t>T8 Physical layout tensor:</w:t>
        <w:br/>
        <w:t xml:space="preserve">  Adds physical order, strides, blocked encoding, packed or paged representation, vector alignment, and backend layout constraints.</w:t>
        <w:br/>
        <w:br/>
        <w:t>T9 Memory-resident buffer or tile descriptor:</w:t>
        <w:br/>
        <w:t xml:space="preserve">  Assigns home memory, working memory tiers, movement path, lifetime, reuse policy, aliasing, and spill/fallback policy.</w:t>
        <w:br/>
        <w:br/>
        <w:t>T10 Kernel execution fragment:</w:t>
        <w:br/>
        <w:t xml:space="preserve">  Maps physical tensor fragments to kernel tiles, CTAs, warps, lanes, vector fragments, or target-specific matrix units.</w:t>
      </w:r>
    </w:p>
    <w:p>
      <w:pPr>
        <w:pStyle w:val="Heading3"/>
      </w:pPr>
      <w:r>
        <w:t>5.11.2 TensorEvolutionRecord</w:t>
      </w:r>
    </w:p>
    <w:p>
      <w:pPr/>
      <w:r>
        <w:t>The compiler should attach a TensorEvolutionRecord to each tensor whose descriptor changes due to parallelization, distribution, communication, layout specialization, or memory placement.</w:t>
      </w:r>
    </w:p>
    <w:p>
      <w:pPr>
        <w:pStyle w:val="CodeBlock"/>
      </w:pPr>
      <w:r>
        <w:t>TensorEvolutionRecord {</w:t>
        <w:br/>
        <w:t xml:space="preserve">  tensor_id</w:t>
        <w:br/>
        <w:t xml:space="preserve">  source_tensor_id</w:t>
        <w:br/>
        <w:t xml:space="preserve">  semantic_type</w:t>
        <w:br/>
        <w:t xml:space="preserve">  tensor_traits</w:t>
        <w:br/>
        <w:t xml:space="preserve">  logical_shape</w:t>
        <w:br/>
        <w:t xml:space="preserve">  shape_state</w:t>
        <w:br/>
        <w:t xml:space="preserve">  parallelization_choice</w:t>
        <w:br/>
        <w:t xml:space="preserve">  distribution_descriptor</w:t>
        <w:br/>
        <w:t xml:space="preserve">  local_shard_descriptor</w:t>
        <w:br/>
        <w:t xml:space="preserve">  partial_descriptor</w:t>
        <w:br/>
        <w:t xml:space="preserve">  communication_requirements</w:t>
        <w:br/>
        <w:t xml:space="preserve">  physical_layout_descriptor</w:t>
        <w:br/>
        <w:t xml:space="preserve">  memory_residency_descriptor</w:t>
        <w:br/>
        <w:t xml:space="preserve">  runtime_handle_descriptor</w:t>
        <w:br/>
        <w:t xml:space="preserve">  lineage_metadata</w:t>
        <w:br/>
        <w:t xml:space="preserve">  diagnostics</w:t>
        <w:br/>
        <w:t>}</w:t>
      </w:r>
    </w:p>
    <w:p>
      <w:pPr/>
      <w:r>
        <w:t>The TensorEvolutionRecord is not a replacement for TensorDescriptorIR. It is the control-plane history of how TensorDescriptorIR is refined across parallelization and lowering. This distinction is important because the same logical tensor may have several legal physical representations, and a runtime-adaptive policy may switch among compiler-certified variants.</w:t>
      </w:r>
    </w:p>
    <w:p>
      <w:pPr>
        <w:pStyle w:val="Heading3"/>
      </w:pPr>
      <w:r>
        <w:t>5.11.3 Data Partition, Distribution, and Reduction Operations</w:t>
      </w:r>
    </w:p>
    <w:p>
      <w:pPr/>
      <w:r>
        <w:t>The Common Compiler Substrate should provide explicit control-plane operations for partition, placement, communication, and partiality. Domain-specific wrappers may explain why the movement is semantically required, while common operations own the generic data movement and legality model.</w:t>
      </w:r>
    </w:p>
    <w:p>
      <w:pPr>
        <w:pStyle w:val="CodeBlock"/>
      </w:pPr>
      <w:r>
        <w:t>Partition and placement:</w:t>
        <w:br/>
        <w:t xml:space="preserve">  common.partition</w:t>
        <w:br/>
        <w:t xml:space="preserve">  common.shard</w:t>
        <w:br/>
        <w:t xml:space="preserve">  common.replicate</w:t>
        <w:br/>
        <w:t xml:space="preserve">  common.mark_partial</w:t>
        <w:br/>
        <w:t xml:space="preserve">  common.place_on_mesh</w:t>
        <w:br/>
        <w:t xml:space="preserve">  common.assign_owner_ranks</w:t>
        <w:br/>
        <w:t xml:space="preserve">  common.local_view</w:t>
        <w:br/>
        <w:br/>
        <w:t>Shard transition:</w:t>
        <w:br/>
        <w:t xml:space="preserve">  common.reshard</w:t>
        <w:br/>
        <w:t xml:space="preserve">  common.redistribute</w:t>
        <w:br/>
        <w:t xml:space="preserve">  common.gather_to_replicated</w:t>
        <w:br/>
        <w:t xml:space="preserve">  common.scatter_from_replicated</w:t>
        <w:br/>
        <w:t xml:space="preserve">  common.materialize_full_tensor</w:t>
        <w:br/>
        <w:t xml:space="preserve">  common.restore_sharded_tensor</w:t>
        <w:br/>
        <w:br/>
        <w:t>Collective intent:</w:t>
        <w:br/>
        <w:t xml:space="preserve">  common.all_gather_intent</w:t>
        <w:br/>
        <w:t xml:space="preserve">  common.reduce_scatter_intent</w:t>
        <w:br/>
        <w:t xml:space="preserve">  common.all_reduce_intent</w:t>
        <w:br/>
        <w:t xml:space="preserve">  common.all_to_all_intent</w:t>
        <w:br/>
        <w:t xml:space="preserve">  common.broadcast_intent</w:t>
        <w:br/>
        <w:t xml:space="preserve">  common.send_recv_intent</w:t>
        <w:br/>
        <w:t xml:space="preserve">  common.neighbor_exchange_intent</w:t>
        <w:br/>
        <w:br/>
        <w:t>Partial and reduction semantics:</w:t>
        <w:br/>
        <w:t xml:space="preserve">  common.partial_sum</w:t>
        <w:br/>
        <w:t xml:space="preserve">  common.partial_max</w:t>
        <w:br/>
        <w:t xml:space="preserve">  common.partial_concat</w:t>
        <w:br/>
        <w:t xml:space="preserve">  common.partial_token_dispatch</w:t>
        <w:br/>
        <w:t xml:space="preserve">  common.reduce_partial</w:t>
        <w:br/>
        <w:t xml:space="preserve">  common.combine_shards</w:t>
        <w:br/>
        <w:t xml:space="preserve">  common.restore_order</w:t>
      </w:r>
    </w:p>
    <w:p>
      <w:pPr/>
      <w:r>
        <w:t>Transformer-domain wrappers include qkv_head_shard, context_shard, kv_all_gather, kv_grad_reduce_scatter, moe_token_dispatch, and moe_expert_output_combine. CNN-domain wrappers include channel_shard, spatial_shard, halo_exchange, and channel_reduce. The common substrate owns the movement mechanics; the domain owns the semantic reason for the movement.</w:t>
      </w:r>
    </w:p>
    <w:p>
      <w:pPr>
        <w:pStyle w:val="Heading3"/>
      </w:pPr>
      <w:r>
        <w:t>5.11.4 Representative Tensor Evolution Patterns</w:t>
      </w:r>
    </w:p>
    <w:p>
      <w:pPr/>
      <w:r>
        <w:t>Tensor parallel attention evolves a hidden-state tensor through hidden/head sharding and partial output reduction. Q/K/V projections are commonly sharded over output hidden or head dimensions. Local attention can run independently over local heads. The output projection may produce a partial tensor that requires all-reduce or reduce-scatter before a replicated residual consumer can use it.</w:t>
      </w:r>
    </w:p>
    <w:p>
      <w:pPr>
        <w:pStyle w:val="CodeBlock"/>
      </w:pPr>
      <w:r>
        <w:t>hidden_state: [B, S, H]</w:t>
        <w:br/>
        <w:t xml:space="preserve">  -&gt; qkv_weight: shard(output_hidden) over tensor_parallel mesh</w:t>
        <w:br/>
        <w:t xml:space="preserve">  -&gt; qkv_output: shard(head_or_hidden) with local shape [B, S, H/tp]</w:t>
        <w:br/>
        <w:t xml:space="preserve">  -&gt; attention_output: local attention over local heads</w:t>
        <w:br/>
        <w:t xml:space="preserve">  -&gt; out_projection: partial_sum over hidden shards</w:t>
        <w:br/>
        <w:t xml:space="preserve">  -&gt; all_reduce or reduce_scatter</w:t>
        <w:br/>
        <w:t xml:space="preserve">  -&gt; complete tensor for residual_add consumer</w:t>
      </w:r>
    </w:p>
    <w:p>
      <w:pPr/>
      <w:r>
        <w:t>Fully sharded data parallelism evolves parameters, gradients, and optimizer state differently. Parameters are stored as shards, all-gathered before compute, discarded or released after use, and gradients are reduce-scattered after backward. The tensor descriptor must therefore distinguish home placement from temporary materialized placement.</w:t>
      </w:r>
    </w:p>
    <w:p>
      <w:pPr>
        <w:pStyle w:val="CodeBlock"/>
      </w:pPr>
      <w:r>
        <w:t>parameter:</w:t>
        <w:br/>
        <w:t xml:space="preserve">  home_placement: sharded(data_parallel)</w:t>
        <w:br/>
        <w:t xml:space="preserve">  before_forward: all_gather -&gt; full_parameter_for_compute</w:t>
        <w:br/>
        <w:t xml:space="preserve">  after_forward: release_full_parameter -&gt; parameter_shard</w:t>
        <w:br/>
        <w:t xml:space="preserve">  backward: reduce_scatter(gradient) -&gt; gradient_shard</w:t>
        <w:br/>
        <w:t xml:space="preserve">  optimizer: update local optimizer_state_shard</w:t>
      </w:r>
    </w:p>
    <w:p>
      <w:pPr/>
      <w:r>
        <w:t>Context parallelism evolves sequence or KV-state tensors. The global sequence is partitioned, but attention may require full-sequence K/V visibility. The compiler must therefore record all-gather of K/V for forward attention and reduce-scatter of K/V activation gradients for backward or recomputation paths.</w:t>
      </w:r>
    </w:p>
    <w:p>
      <w:pPr>
        <w:pStyle w:val="CodeBlock"/>
      </w:pPr>
      <w:r>
        <w:t>kv_state:</w:t>
        <w:br/>
        <w:t xml:space="preserve">  global_shape: [B, S, H_kv, D]</w:t>
        <w:br/>
        <w:t xml:space="preserve">  placement: shard(sequence) over context_parallel mesh</w:t>
        <w:br/>
        <w:t xml:space="preserve">  forward_requirement: all_gather local_KV_chunks -&gt; full_KV_view</w:t>
        <w:br/>
        <w:t xml:space="preserve">  backward_requirement: reduce_scatter KV_grad -&gt; local_KV_grad_chunk</w:t>
      </w:r>
    </w:p>
    <w:p>
      <w:pPr/>
      <w:r>
        <w:t>Expert parallelism evolves token tensors according to routing rather than a static tensor dimension alone. Tokens are dispatched from token-owner ranks to expert-owner ranks, locally computed by experts, then returned and restored to original token order with combine weights applied.</w:t>
      </w:r>
    </w:p>
    <w:p>
      <w:pPr>
        <w:pStyle w:val="CodeBlock"/>
      </w:pPr>
      <w:r>
        <w:t>moe_hidden_states:</w:t>
        <w:br/>
        <w:t xml:space="preserve">  initial_placement: token_owner_sharded</w:t>
        <w:br/>
        <w:t xml:space="preserve">  router_output: expert_ids + combine_weights</w:t>
        <w:br/>
        <w:t xml:space="preserve">  dispatch: all_to_all tokens -&gt; expert_owner_ranks</w:t>
        <w:br/>
        <w:t xml:space="preserve">  compute: local_expert_gemm</w:t>
        <w:br/>
        <w:t xml:space="preserve">  combine: inverse_all_to_all expert_outputs -&gt; token_owner_ranks</w:t>
        <w:br/>
        <w:t xml:space="preserve">  restore_order: true</w:t>
        <w:br/>
        <w:t xml:space="preserve">  apply_combine_weights: true</w:t>
      </w:r>
    </w:p>
    <w:p>
      <w:pPr>
        <w:pStyle w:val="Heading3"/>
      </w:pPr>
      <w:r>
        <w:t>5.11.5 Ordering Rules</w:t>
      </w:r>
    </w:p>
    <w:p>
      <w:pPr/>
      <w:r>
        <w:t>The following ordering rules prevent invalid tensor evolution:</w:t>
      </w:r>
    </w:p>
    <w:p>
      <w:pPr>
        <w:pStyle w:val="CodeBlock"/>
      </w:pPr>
      <w:r>
        <w:t>1. Semantic tensor traits must be attached before sharding.</w:t>
        <w:br/>
        <w:t>2. Shape bounds and symbolic constraints must be known before local shard shapes are derived.</w:t>
        <w:br/>
        <w:t>3. ParallelizationChoiceIR must precede DataShardingIR.</w:t>
        <w:br/>
        <w:t>4. DataShardingIR must precede LocalShardDescriptorIR.</w:t>
        <w:br/>
        <w:t>5. PartialTensorDescriptorIR must be introduced before any reduction-dependent consumer.</w:t>
        <w:br/>
        <w:t>6. DispatchReduceIR must be generated when producer and consumer placements are incompatible.</w:t>
        <w:br/>
        <w:t>7. PhysicalLayoutIR should be selected after shard ownership and local shapes are known.</w:t>
        <w:br/>
        <w:t>8. MemoryHierarchyIR should be selected after physical layout and runtime ownership are known.</w:t>
        <w:br/>
        <w:t>9. KernelLoweringIR should consume local physical tensors, not global logical tensors.</w:t>
        <w:br/>
        <w:t>10. Runtime adaptation may select among certified tensor-evolution variants, but must not create uncertified placement or communication states.</w:t>
      </w:r>
    </w:p>
    <w:p>
      <w:pPr>
        <w:pStyle w:val="Heading3"/>
      </w:pPr>
      <w:r>
        <w:t>5.11.6 Diagnostics</w:t>
      </w:r>
    </w:p>
    <w:p>
      <w:pPr/>
      <w:r>
        <w:t>Tensor evolution should have its own diagnostic family because many correctness and performance bugs happen between sharding and reduction rather than inside a single compute operation.</w:t>
      </w:r>
    </w:p>
    <w:p>
      <w:pPr>
        <w:pStyle w:val="CodeBlock"/>
      </w:pPr>
      <w:r>
        <w:t>CTEVO-001 MissingTensorEvolutionRecord</w:t>
        <w:br/>
        <w:t>CTEVO-002 IllegalDescriptorMutation</w:t>
        <w:br/>
        <w:t>CTEVO-003 ShardMapMissingGlobalShape</w:t>
        <w:br/>
        <w:t>CTEVO-004 LocalShardShapeMismatch</w:t>
        <w:br/>
        <w:t>CTEVO-005 PartialTensorConsumedWithoutReduction</w:t>
        <w:br/>
        <w:t>CTEVO-006 CollectiveRequiredButMissing</w:t>
        <w:br/>
        <w:t>CTEVO-007 CollectiveChangesSemanticRole</w:t>
        <w:br/>
        <w:t>CTEVO-008 LayoutSpecializationBeforeShardResolution</w:t>
        <w:br/>
        <w:t>CTEVO-009 MemoryPlacementBeforeOwnerResolution</w:t>
        <w:br/>
        <w:t>CTEVO-010 RuntimeShardStateEscapesCertifiedEnvelope</w:t>
      </w:r>
    </w:p>
    <w:p>
      <w:pPr/>
      <w:r>
        <w:t>The most important diagnostic is CTEVO-005 PartialTensorConsumedWithoutReduction. It catches a class of parallel correctness failures where a consumer reads a tensor that represents only a partial sum, partial max, partial concatenation, or partially dispatched token set as if it were a complete semantic tensor.</w:t>
      </w:r>
    </w:p>
    <w:p>
      <w:pPr>
        <w:pStyle w:val="Heading3"/>
      </w:pPr>
      <w:r>
        <w:t>5.11.7 Final Rule for Chapter 5</w:t>
      </w:r>
    </w:p>
    <w:p>
      <w:pPr/>
      <w:r>
        <w:t>Parallelization should be represented as tensor descriptor evolution in the control plane. Data partition, distribution, dispatch, reduction, gathering, resharding, layout specialization, and memory placement are not isolated runtime side effects; they are compiler-visible transitions that refine TensorDescriptorIR while preserving semantic lineage from the original domain tensor.</w:t>
      </w:r>
    </w:p>
    <w:p>
      <w:pPr>
        <w:pStyle w:val="Heading2"/>
      </w:pPr>
      <w:r>
        <w:t>5.12 Cross-Stage Tensor Evolution Gatekeeper and Sanitization Contracts</w:t>
      </w:r>
    </w:p>
    <w:p>
      <w:pPr/>
      <w:r>
        <w:t>The ten-stage tensor evolution model is useful only if its stage ordering and descriptor invariants are mechanically enforced. In a multi-team implementation, one group may own sharding, another may own partial reduction, another may own layout, and another may own memory placement. If each group treats its stage as a local transformation, the pipeline can silently become invalid. The architecture should therefore define a Tensor Evolution Gatekeeper for cross-stage compatibility, analogous to the sub-domain gatekeeper used for model lifecycle transitions.</w:t>
      </w:r>
    </w:p>
    <w:p>
      <w:pPr/>
      <w:r>
        <w:t>The core rule is that tensor evolution is a gated refinement process, not an informal pass sequence. Each stage must declare the descriptor state it consumes, the fields it is allowed to read and write, the invariants it must preserve, the obligations it emits, and the metadata it invalidates. The pass manager runs a sanitizer before and after each stage and refuses to let downstream passes consume a tensor state that is incomplete for their required abstraction level.</w:t>
      </w:r>
    </w:p>
    <w:p>
      <w:pPr/>
      <w:r>
        <w:t>Design rule:</w:t>
      </w:r>
    </w:p>
    <w:p>
      <w:pPr>
        <w:pStyle w:val="CodeBlock"/>
      </w:pPr>
      <w:r>
        <w:t>No stage may consume a tensor state that it cannot prove is complete for its required abstraction level.</w:t>
      </w:r>
    </w:p>
    <w:p>
      <w:pPr>
        <w:pStyle w:val="Heading3"/>
      </w:pPr>
      <w:r>
        <w:t>5.12.1 Tensor Evolution Gatekeeper Components</w:t>
      </w:r>
    </w:p>
    <w:p>
      <w:pPr/>
      <w:r>
        <w:t>The Tensor Evolution Gatekeeper is a control-plane service attached to the compiler pass manager. It does not replace normal type checking, shape checking, or backend verification. Instead, it verifies that tensor descriptors evolve legally across stage boundaries.</w:t>
      </w:r>
    </w:p>
    <w:p>
      <w:pPr>
        <w:pStyle w:val="CodeBlock"/>
      </w:pPr>
      <w:r>
        <w:t>Tensor Evolution Gatekeeper</w:t>
        <w:br/>
        <w:t xml:space="preserve">  -&gt; Stage Contract Registry</w:t>
        <w:br/>
        <w:t xml:space="preserve">  -&gt; Tensor Descriptor Sanitizer</w:t>
        <w:br/>
        <w:t xml:space="preserve">  -&gt; Transition Verifier</w:t>
        <w:br/>
        <w:t xml:space="preserve">  -&gt; Invariant Checker</w:t>
        <w:br/>
        <w:t xml:space="preserve">  -&gt; Obligation Tracker</w:t>
        <w:br/>
        <w:t xml:space="preserve">  -&gt; Diagnostic Reporter</w:t>
      </w:r>
    </w:p>
    <w:p>
      <w:pPr/>
      <w:r>
        <w:t>The Stage Contract Registry records each legal stage transition. The Tensor Descriptor Sanitizer checks descriptor completeness before and after each pass. The Transition Verifier validates that a pass has the right to transform a tensor from one descriptor state to another. The Invariant Checker preserves identity, lineage, shape, traits, sharding, partiality, communication, layout, and memory invariants. The Obligation Tracker records work that must be completed later, such as reducing a partial tensor before a complete-value consumer. The Diagnostic Reporter emits stable CTEVO-* errors.</w:t>
      </w:r>
    </w:p>
    <w:p>
      <w:pPr>
        <w:pStyle w:val="Heading3"/>
      </w:pPr>
      <w:r>
        <w:t>5.12.2 Stage Contract Template</w:t>
      </w:r>
    </w:p>
    <w:p>
      <w:pPr/>
      <w:r>
        <w:t>Every tensor-evolution stage should register a contract. The contract defines the required input descriptor state, the produced descriptor state, preserved metadata, forbidden mutations, emitted obligations, and diagnostics.</w:t>
      </w:r>
    </w:p>
    <w:p>
      <w:pPr>
        <w:pStyle w:val="CodeBlock"/>
      </w:pPr>
      <w:r>
        <w:t>tensor_evolution_stage_contract:</w:t>
        <w:br/>
        <w:t xml:space="preserve">  name: T4_DistributedTensorDescriptor</w:t>
        <w:br/>
        <w:t xml:space="preserve">  stage_id: T4</w:t>
        <w:br/>
        <w:br/>
        <w:t xml:space="preserve">  requires:</w:t>
        <w:br/>
        <w:t xml:space="preserve">    prior_stages:</w:t>
        <w:br/>
        <w:t xml:space="preserve">      - T0_DomainLogicalTensor</w:t>
        <w:br/>
        <w:t xml:space="preserve">      - T1_CommonLogicalTensor</w:t>
        <w:br/>
        <w:t xml:space="preserve">      - T2_ShapeRefinedTensor</w:t>
        <w:br/>
        <w:t xml:space="preserve">      - T3_ParallelizationAnnotatedTensor</w:t>
        <w:br/>
        <w:t xml:space="preserve">    required_fields:</w:t>
        <w:br/>
        <w:t xml:space="preserve">      - tensor_id</w:t>
        <w:br/>
        <w:t xml:space="preserve">      - kind</w:t>
        <w:br/>
        <w:t xml:space="preserve">      - dtype</w:t>
        <w:br/>
        <w:t xml:space="preserve">      - global_shape</w:t>
        <w:br/>
        <w:t xml:space="preserve">      - shape_symbols</w:t>
        <w:br/>
        <w:t xml:space="preserve">      - shape_constraints</w:t>
        <w:br/>
        <w:t xml:space="preserve">      - tensor_traits</w:t>
        <w:br/>
        <w:t xml:space="preserve">      - parallelization_choice</w:t>
        <w:br/>
        <w:t xml:space="preserve">      - device_mesh</w:t>
        <w:br/>
        <w:br/>
        <w:t xml:space="preserve">  produces:</w:t>
        <w:br/>
        <w:t xml:space="preserve">    fields:</w:t>
        <w:br/>
        <w:t xml:space="preserve">      - shard_map</w:t>
        <w:br/>
        <w:t xml:space="preserve">      - mesh_axis_mapping</w:t>
        <w:br/>
        <w:t xml:space="preserve">      - placement_state</w:t>
        <w:br/>
        <w:t xml:space="preserve">      - owner_rank_set</w:t>
        <w:br/>
        <w:t xml:space="preserve">      - global_to_shard_mapping</w:t>
        <w:br/>
        <w:br/>
        <w:t xml:space="preserve">  preserves:</w:t>
        <w:br/>
        <w:t xml:space="preserve">    - tensor_id</w:t>
        <w:br/>
        <w:t xml:space="preserve">    - semantic_role</w:t>
        <w:br/>
        <w:t xml:space="preserve">    - dtype</w:t>
        <w:br/>
        <w:t xml:space="preserve">    - global_logical_shape</w:t>
        <w:br/>
        <w:t xml:space="preserve">    - tensor_lineage</w:t>
        <w:br/>
        <w:br/>
        <w:t xml:space="preserve">  forbids:</w:t>
        <w:br/>
        <w:t xml:space="preserve">    - changing_tensor_kind</w:t>
        <w:br/>
        <w:t xml:space="preserve">    - changing_semantic_role_without_contract</w:t>
        <w:br/>
        <w:t xml:space="preserve">    - dropping_shape_constraints</w:t>
        <w:br/>
        <w:t xml:space="preserve">    - creating_local_shape_without_shard_map</w:t>
        <w:br/>
        <w:br/>
        <w:t xml:space="preserve">  emits_obligations:</w:t>
        <w:br/>
        <w:t xml:space="preserve">    - local_shard_descriptor_required</w:t>
        <w:br/>
        <w:t xml:space="preserve">    - shard_transition_required_if_consumer_placement_differs</w:t>
      </w:r>
    </w:p>
    <w:p>
      <w:pPr/>
      <w:r>
        <w:t>This contract makes the implementation boundary explicit. A team implementing distributed tensor descriptors cannot silently change dtype, drop shape constraints, or create local shard shapes before a shard map exists. A later team implementing local shard descriptors can rely on the exact fields that T4 guarantees.</w:t>
      </w:r>
    </w:p>
    <w:p>
      <w:pPr>
        <w:pStyle w:val="Heading3"/>
      </w:pPr>
      <w:r>
        <w:t>5.12.3 Stage-Specific Sanitization Rules</w:t>
      </w:r>
    </w:p>
    <w:p>
      <w:pPr/>
      <w:r>
        <w:t>Each stage has a small set of mandatory sanitizer checks. These checks are intentionally strict because their goal is to catch cross-team integration mistakes early.</w:t>
      </w:r>
    </w:p>
    <w:p>
      <w:pPr>
        <w:pStyle w:val="CodeBlock"/>
      </w:pPr>
      <w:r>
        <w:t>T0 Domain logical tensor:</w:t>
        <w:br/>
        <w:t xml:space="preserve">  Must carry domain owner, semantic role, TENSOR_KIND, tensor traits, logical shape, and dtype.</w:t>
        <w:br/>
        <w:t xml:space="preserve">  Must not contain backend placement, local shard shape, physical layout, or memory-tier assignment.</w:t>
        <w:br/>
        <w:br/>
        <w:t>T1 Common logical tensor:</w:t>
        <w:br/>
        <w:t xml:space="preserve">  Must point back to exactly one T0 tensor or a declared composition of T0 tensors.</w:t>
        <w:br/>
        <w:t xml:space="preserve">  Must preserve domain semantic role and lineage.</w:t>
        <w:br/>
        <w:br/>
        <w:t>T2 Shape-refined tensor:</w:t>
        <w:br/>
        <w:t xml:space="preserve">  Must attach TensorShapeDescriptor, ShapeSymbolIR, ShapeConstraintIR, and runtime guards for dynamic or runtime-evolving dimensions.</w:t>
        <w:br/>
        <w:t xml:space="preserve">  A tensor cannot enter sharding if any sharded dimension lacks a valid global shape symbol and upper bound.</w:t>
        <w:br/>
        <w:br/>
        <w:t>T3 Parallelization-annotated tensor:</w:t>
        <w:br/>
        <w:t xml:space="preserve">  Must reference valid logical axes from T1/T2 and include ParallelizationChoiceIR with legality proof.</w:t>
        <w:br/>
        <w:t xml:space="preserve">  Must not create concrete shard offsets before distribution is resolved.</w:t>
        <w:br/>
        <w:br/>
        <w:t>T4 Distributed tensor descriptor:</w:t>
        <w:br/>
        <w:t xml:space="preserve">  Must map each sharded axis to a valid mesh axis and record placement state and owner-rank set.</w:t>
        <w:br/>
        <w:t xml:space="preserve">  The union of local shard coverage must equal global tensor coverage, allowing only declared padding or uneven-shard rules.</w:t>
        <w:br/>
        <w:br/>
        <w:t>T5 Local shard tensor descriptor:</w:t>
        <w:br/>
        <w:t xml:space="preserve">  Must derive local shape and shard offsets from global shape, shard map, and owner rank.</w:t>
        <w:br/>
        <w:t xml:space="preserve">  Must preserve global lineage and must not mark partial results complete.</w:t>
        <w:br/>
        <w:br/>
        <w:t>T6 Partial tensor descriptor:</w:t>
        <w:br/>
        <w:t xml:space="preserve">  Must declare partial axis, reduction operator, reduction group, and semantic status incomplete_until_reduced.</w:t>
        <w:br/>
        <w:t xml:space="preserve">  May only feed a consumer that accepts partial values or a DispatchReduceIR that resolves partiality.</w:t>
        <w:br/>
        <w:br/>
        <w:t>T7 Communication-resolved tensor:</w:t>
        <w:br/>
        <w:t xml:space="preserve">  Every communication op must declare source placement, target placement, participating ranks, reason, and semantic preservation rule.</w:t>
        <w:br/>
        <w:br/>
        <w:t>T8 Physical layout tensor:</w:t>
        <w:br/>
        <w:t xml:space="preserve">  May only be attached after local shard shape and required communication obligations are resolved or explicitly deferred.</w:t>
        <w:br/>
        <w:t xml:space="preserve">  Must distinguish logical axis meaning from physical order, stride, blocked layout, packed layout, or paged representation.</w:t>
        <w:br/>
        <w:br/>
        <w:t>T9 Memory-resident buffer or tile descriptor:</w:t>
        <w:br/>
        <w:t xml:space="preserve">  Must reference a valid PhysicalLayoutIR and target memory capacity model.</w:t>
        <w:br/>
        <w:t xml:space="preserve">  Must not assign register, shared-memory, or remote-memory tiers before ownership and tile shape are known.</w:t>
        <w:br/>
        <w:br/>
        <w:t>T10 Kernel execution fragment:</w:t>
        <w:br/>
        <w:t xml:space="preserve">  Must consume finalized local shard, layout, and memory descriptors.</w:t>
        <w:br/>
        <w:t xml:space="preserve">  Must not mutate semantic, sharding, or communication descriptors.</w:t>
      </w:r>
    </w:p>
    <w:p>
      <w:pPr>
        <w:pStyle w:val="Heading3"/>
      </w:pPr>
      <w:r>
        <w:t>5.12.4 Cross-Stage Invariant Families</w:t>
      </w:r>
    </w:p>
    <w:p>
      <w:pPr/>
      <w:r>
        <w:t>The gatekeeper enforces invariants that span multiple stages. These invariants are stronger than local pass preconditions because they protect facts that must survive across the whole tensor-evolution path.</w:t>
      </w:r>
    </w:p>
    <w:p>
      <w:pPr>
        <w:pStyle w:val="CodeBlock"/>
      </w:pPr>
      <w:r>
        <w:t>Identity and lineage invariants:</w:t>
        <w:br/>
        <w:t xml:space="preserve">  tensor_id must remain stable unless a new tensor is explicitly created.</w:t>
        <w:br/>
        <w:t xml:space="preserve">  source_tensor_id must be recorded for derived tensors.</w:t>
        <w:br/>
        <w:t xml:space="preserve">  semantic_role must not change without a SemanticConversionContract.</w:t>
        <w:br/>
        <w:t xml:space="preserve">  domain_owner must not be dropped during common lowering.</w:t>
        <w:br/>
        <w:br/>
        <w:t>Type and trait invariants:</w:t>
        <w:br/>
        <w:t xml:space="preserve">  TENSOR_KIND remains flat and stable.</w:t>
        <w:br/>
        <w:t xml:space="preserve">  dtype changes require CastContract.</w:t>
        <w:br/>
        <w:t xml:space="preserve">  quantization changes require QuantizationContract.</w:t>
        <w:br/>
        <w:t xml:space="preserve">  trait removal requires verifier approval.</w:t>
        <w:br/>
        <w:t xml:space="preserve">  trait addition must be justified by a pass contract.</w:t>
        <w:br/>
        <w:br/>
        <w:t>Shape invariants:</w:t>
        <w:br/>
        <w:t xml:space="preserve">  global shape must be preserved unless a shape-changing op declares a formula.</w:t>
        <w:br/>
        <w:t xml:space="preserve">  symbolic dimensions must retain constraints.</w:t>
        <w:br/>
        <w:t xml:space="preserve">  dynamic dimensions must retain bounds.</w:t>
        <w:br/>
        <w:t xml:space="preserve">  derived dimensions must retain formulas.</w:t>
        <w:br/>
        <w:t xml:space="preserve">  local shape must be derivable from global shape and shard map.</w:t>
        <w:br/>
        <w:br/>
        <w:t>Sharding and placement invariants:</w:t>
        <w:br/>
        <w:t xml:space="preserve">  shard axes must exist in logical shape.</w:t>
        <w:br/>
        <w:t xml:space="preserve">  mesh axes must exist in device mesh.</w:t>
        <w:br/>
        <w:t xml:space="preserve">  replicated, sharded, and partial states must be explicit.</w:t>
        <w:br/>
        <w:t xml:space="preserve">  producer placement and consumer placement must be compatible or bridged by ShardTransitionIR.</w:t>
        <w:br/>
        <w:br/>
        <w:t>Partiality and reduction invariants:</w:t>
        <w:br/>
        <w:t xml:space="preserve">  partial tensors are incomplete by default.</w:t>
        <w:br/>
        <w:t xml:space="preserve">  partial tensors must declare reduction operator and reduction group.</w:t>
        <w:br/>
        <w:t xml:space="preserve">  partial tensors must not feed complete-value consumers.</w:t>
        <w:br/>
        <w:t xml:space="preserve">  reduction must preserve semantic role unless explicitly declared.</w:t>
        <w:br/>
        <w:br/>
        <w:t>Communication invariants:</w:t>
        <w:br/>
        <w:t xml:space="preserve">  every collective must have source placement, target placement, participating ranks, reason, and semantic preservation rule.</w:t>
        <w:br/>
        <w:t xml:space="preserve">  all-gather must preserve ordering.</w:t>
        <w:br/>
        <w:t xml:space="preserve">  reduce-scatter must preserve reduction semantics.</w:t>
        <w:br/>
        <w:t xml:space="preserve">  all-to-all dispatch must preserve routing identity.</w:t>
        <w:br/>
        <w:br/>
        <w:t>Layout invariants:</w:t>
        <w:br/>
        <w:t xml:space="preserve">  logical layout and physical layout must remain distinguishable.</w:t>
        <w:br/>
        <w:t xml:space="preserve">  physical layout cannot invalidate semantic axis meaning.</w:t>
        <w:br/>
        <w:t xml:space="preserve">  layout specialization must respect local shard shape.</w:t>
        <w:br/>
        <w:t xml:space="preserve">  blocked and paged layouts must record decode rules.</w:t>
        <w:br/>
        <w:br/>
        <w:t>Memory hierarchy invariants:</w:t>
        <w:br/>
        <w:t xml:space="preserve">  memory tier assignment must come after owner and layout resolution.</w:t>
        <w:br/>
        <w:t xml:space="preserve">  remote memory use must be explicitly justified.</w:t>
        <w:br/>
        <w:t xml:space="preserve">  shared/register tile assignment must match kernel tile shape.</w:t>
        <w:br/>
        <w:t xml:space="preserve">  lifetime and aliasing must be known before buffer reuse.</w:t>
        <w:br/>
        <w:br/>
        <w:t>Kernel lowering invariants:</w:t>
        <w:br/>
        <w:t xml:space="preserve">  kernel lowering consumes finalized local shard, layout, and memory descriptors.</w:t>
        <w:br/>
        <w:t xml:space="preserve">  kernel lowering must not rewrite semantic descriptors.</w:t>
        <w:br/>
        <w:t xml:space="preserve">  launch geometry must cover the local tensor exactly or with declared padding.</w:t>
      </w:r>
    </w:p>
    <w:p>
      <w:pPr>
        <w:pStyle w:val="Heading3"/>
      </w:pPr>
      <w:r>
        <w:t>5.12.5 State Machine with Dominance Rules</w:t>
      </w:r>
    </w:p>
    <w:p>
      <w:pPr/>
      <w:r>
        <w:t>The ten-stage path should be enforced as a descriptor-state machine with dominance rules rather than as a fragile linear script. Some tensors may skip partiality, some may not require communication, some may go through resharding multiple times, and some may keep several physical layout alternatives before a final selection. The invariant is not that every tensor visits every stage, but that no stage runs before the descriptor states it depends on are complete.</w:t>
      </w:r>
    </w:p>
    <w:p>
      <w:pPr>
        <w:pStyle w:val="CodeBlock"/>
      </w:pPr>
      <w:r>
        <w:t>DomainLogical</w:t>
        <w:br/>
        <w:t xml:space="preserve">  -&gt; CommonLogical</w:t>
        <w:br/>
        <w:t xml:space="preserve">  -&gt; ShapeRefined</w:t>
        <w:br/>
        <w:t xml:space="preserve">  -&gt; ParallelizationAnnotated</w:t>
        <w:br/>
        <w:t xml:space="preserve">  -&gt; Distributed</w:t>
        <w:br/>
        <w:t xml:space="preserve">  -&gt; LocalShard</w:t>
        <w:br/>
        <w:t xml:space="preserve">  -&gt; Partial</w:t>
        <w:br/>
        <w:t xml:space="preserve">  -&gt; CommunicationResolved</w:t>
        <w:br/>
        <w:t xml:space="preserve">  -&gt; PhysicalLayout</w:t>
        <w:br/>
        <w:t xml:space="preserve">  -&gt; MemoryResident</w:t>
        <w:br/>
        <w:t xml:space="preserve">  -&gt; KernelFragment</w:t>
      </w:r>
    </w:p>
    <w:p>
      <w:pPr>
        <w:pStyle w:val="CodeBlock"/>
      </w:pPr>
      <w:r>
        <w:t>Dominance rules:</w:t>
        <w:br/>
        <w:t xml:space="preserve">  ShapeRefined dominates ParallelizationAnnotated.</w:t>
        <w:br/>
        <w:t xml:space="preserve">  ParallelizationAnnotated dominates Distributed.</w:t>
        <w:br/>
        <w:t xml:space="preserve">  Distributed dominates LocalShard.</w:t>
        <w:br/>
        <w:t xml:space="preserve">  LocalShard dominates PhysicalLayout.</w:t>
        <w:br/>
        <w:t xml:space="preserve">  PhysicalLayout dominates MemoryResident.</w:t>
        <w:br/>
        <w:t xml:space="preserve">  MemoryResident dominates KernelFragment.</w:t>
        <w:br/>
        <w:t xml:space="preserve">  Partial dominates CommunicationResolved if partiality exists.</w:t>
        <w:br/>
        <w:t xml:space="preserve">  CommunicationResolved dominates any complete-value consumer when producer and consumer placements differ.</w:t>
      </w:r>
    </w:p>
    <w:p>
      <w:pPr/>
      <w:r>
        <w:t>This model supports controlled variants while preventing illegal shortcuts. For example, a tensor that is never partial may skip T6, but a tensor marked partial may not feed residual_add or output_logits until a legal T7 reduction or combine operation resolves it.</w:t>
      </w:r>
    </w:p>
    <w:p>
      <w:pPr>
        <w:pStyle w:val="Heading3"/>
      </w:pPr>
      <w:r>
        <w:t>5.12.6 Pass Declaration Interface</w:t>
      </w:r>
    </w:p>
    <w:p>
      <w:pPr/>
      <w:r>
        <w:t>Every implementation team should declare its pass contract. The pass contract makes team boundaries explicit and prevents hidden assumptions about descriptor state.</w:t>
      </w:r>
    </w:p>
    <w:p>
      <w:pPr>
        <w:pStyle w:val="CodeBlock"/>
      </w:pPr>
      <w:r>
        <w:t>pass_contract:</w:t>
        <w:br/>
        <w:t xml:space="preserve">  name: GenerateLocalShardDescriptorPass</w:t>
        <w:br/>
        <w:t xml:space="preserve">  owner: DistributedTensorTeam</w:t>
        <w:br/>
        <w:br/>
        <w:t xml:space="preserve">  consumes:</w:t>
        <w:br/>
        <w:t xml:space="preserve">    required_stages:</w:t>
        <w:br/>
        <w:t xml:space="preserve">      - T4_DistributedTensorDescriptor</w:t>
        <w:br/>
        <w:br/>
        <w:t xml:space="preserve">  reads:</w:t>
        <w:br/>
        <w:t xml:space="preserve">    - global_shape</w:t>
        <w:br/>
        <w:t xml:space="preserve">    - shard_map</w:t>
        <w:br/>
        <w:t xml:space="preserve">    - device_mesh</w:t>
        <w:br/>
        <w:t xml:space="preserve">    - placement_state</w:t>
        <w:br/>
        <w:br/>
        <w:t xml:space="preserve">  writes:</w:t>
        <w:br/>
        <w:t xml:space="preserve">    - local_shape</w:t>
        <w:br/>
        <w:t xml:space="preserve">    - shard_offsets</w:t>
        <w:br/>
        <w:t xml:space="preserve">    - owner_rank_set</w:t>
        <w:br/>
        <w:br/>
        <w:t xml:space="preserve">  produces:</w:t>
        <w:br/>
        <w:t xml:space="preserve">    - T5_LocalShardDescriptor</w:t>
        <w:br/>
        <w:br/>
        <w:t xml:space="preserve">  preserves:</w:t>
        <w:br/>
        <w:t xml:space="preserve">    - tensor_id</w:t>
        <w:br/>
        <w:t xml:space="preserve">    - semantic_role</w:t>
        <w:br/>
        <w:t xml:space="preserve">    - dtype</w:t>
        <w:br/>
        <w:t xml:space="preserve">    - global_shape</w:t>
        <w:br/>
        <w:t xml:space="preserve">    - tensor_traits</w:t>
        <w:br/>
        <w:br/>
        <w:t xml:space="preserve">  invalidates:</w:t>
        <w:br/>
        <w:t xml:space="preserve">    - physical_layout_if_existing</w:t>
        <w:br/>
        <w:t xml:space="preserve">    - memory_plan_if_existing</w:t>
        <w:br/>
        <w:br/>
        <w:t xml:space="preserve">  postconditions:</w:t>
        <w:br/>
        <w:t xml:space="preserve">    - local_shape_covers_global_shape</w:t>
        <w:br/>
        <w:t xml:space="preserve">    - no_overlap_unless_replicated</w:t>
        <w:br/>
        <w:t xml:space="preserve">    - shard_offsets_valid</w:t>
      </w:r>
    </w:p>
    <w:p>
      <w:pPr/>
      <w:r>
        <w:t>A pass that runs without a declared stage contract should fail certification. This rule forces every stage owner to state the abstraction boundary that their pass consumes and produces.</w:t>
      </w:r>
    </w:p>
    <w:p>
      <w:pPr>
        <w:pStyle w:val="Heading3"/>
      </w:pPr>
      <w:r>
        <w:t>5.12.7 Obligation Tracking</w:t>
      </w:r>
    </w:p>
    <w:p>
      <w:pPr/>
      <w:r>
        <w:t>Some stages do not immediately resolve all required work. They create obligations. The compiler should track these obligations as first-class objects and verify that they are resolved before a dependent consumer executes.</w:t>
      </w:r>
    </w:p>
    <w:p>
      <w:pPr>
        <w:pStyle w:val="CodeBlock"/>
      </w:pPr>
      <w:r>
        <w:t>obligation:</w:t>
        <w:br/>
        <w:t xml:space="preserve">  id: reduce_partial_output_before_residual_add</w:t>
        <w:br/>
        <w:t xml:space="preserve">  created_by: RowParallelLinearPass</w:t>
        <w:br/>
        <w:t xml:space="preserve">  tensor: mlp_down.partial_output</w:t>
        <w:br/>
        <w:t xml:space="preserve">  must_be_resolved_before:</w:t>
        <w:br/>
        <w:t xml:space="preserve">    - transformer.residual_add</w:t>
        <w:br/>
        <w:t xml:space="preserve">    - common.output_logits</w:t>
        <w:br/>
        <w:t xml:space="preserve">  allowed_resolutions:</w:t>
        <w:br/>
        <w:t xml:space="preserve">    - all_reduce</w:t>
        <w:br/>
        <w:t xml:space="preserve">    - reduce_scatter_plus_consumer_accepts_shard</w:t>
      </w:r>
    </w:p>
    <w:p>
      <w:pPr/>
      <w:r>
        <w:t>Typical obligations include reducing a partial tensor before a complete-value consumer, resharding a producer tensor before a consumer with a different placement, adding a runtime guard for a dynamic shape, providing a block table for a paged layout, or approving remote-memory access on a latency-critical path.</w:t>
      </w:r>
    </w:p>
    <w:p>
      <w:pPr>
        <w:pStyle w:val="Heading3"/>
      </w:pPr>
      <w:r>
        <w:t>5.12.8 Cross-Stage Failure Examples</w:t>
      </w:r>
    </w:p>
    <w:p>
      <w:pPr/>
      <w:r>
        <w:t>The Tensor Evolution Gatekeeper should catch failures that are invisible to a single-stage implementation.</w:t>
      </w:r>
    </w:p>
    <w:p>
      <w:pPr>
        <w:pStyle w:val="CodeBlock"/>
      </w:pPr>
      <w:r>
        <w:t>Row-parallel output projection:</w:t>
        <w:br/>
        <w:t xml:space="preserve">  local matmul result -&gt; PartialTensorDescriptor -&gt; residual_add</w:t>
        <w:br/>
        <w:t xml:space="preserve">  Failure: residual_add requires complete tensor, but no all_reduce or reduce_scatter resolved partiality.</w:t>
        <w:br/>
        <w:t xml:space="preserve">  Diagnostic: CTEVO-040 PartialTensorConsumedWithoutReduction.</w:t>
        <w:br/>
        <w:br/>
        <w:t>Physical layout too early:</w:t>
        <w:br/>
        <w:t xml:space="preserve">  ParallelizationChoiceIR exists, but LocalShardDescriptorIR does not.</w:t>
        <w:br/>
        <w:t xml:space="preserve">  Failure: physical layout pass requires local_shape.</w:t>
        <w:br/>
        <w:t xml:space="preserve">  Diagnostic: CTEVO-061 LayoutSpecializationBeforeShardResolution.</w:t>
        <w:br/>
        <w:br/>
        <w:t>MoE all-to-all route corruption:</w:t>
        <w:br/>
        <w:t xml:space="preserve">  router selects expert_id, all_to_all dispatch sends tokens, combine returns outputs.</w:t>
        <w:br/>
        <w:t xml:space="preserve">  Failure: restore_order, token_id, original_owner_rank, or combine_weight metadata missing.</w:t>
        <w:br/>
        <w:t xml:space="preserve">  Diagnostic: CTEVO-054 AllToAllRouteIdentityLost.</w:t>
        <w:br/>
        <w:br/>
        <w:t>Context-parallel KV gather missing:</w:t>
        <w:br/>
        <w:t xml:space="preserve">  KV is sequence-sharded, but attention requires full-sequence K/V.</w:t>
        <w:br/>
        <w:t xml:space="preserve">  Failure: producer placement is sequence_sharded and consumer requires full_sequence_KV, but no all_gather transition exists.</w:t>
        <w:br/>
        <w:t xml:space="preserve">  Diagnostic: CTEVO-034 MissingShardTransition.</w:t>
      </w:r>
    </w:p>
    <w:p>
      <w:pPr>
        <w:pStyle w:val="Heading3"/>
      </w:pPr>
      <w:r>
        <w:t>5.12.9 Tensor Evolution Contract Diagnostics</w:t>
      </w:r>
    </w:p>
    <w:p>
      <w:pPr/>
      <w:r>
        <w:t>The CTEVO-* family should be expanded from simple tensor evolution diagnostics into a full cross-stage contract diagnostic namespace.</w:t>
      </w:r>
    </w:p>
    <w:p>
      <w:pPr>
        <w:pStyle w:val="CodeBlock"/>
      </w:pPr>
      <w:r>
        <w:t>CTEVO-001 MissingTensorEvolutionRecord</w:t>
        <w:br/>
        <w:t>CTEVO-002 TensorLineageBroken</w:t>
        <w:br/>
        <w:t>CTEVO-003 IllegalTensorIdentityRewrite</w:t>
        <w:br/>
        <w:t>CTEVO-004 SemanticRoleChangedWithoutContract</w:t>
        <w:br/>
        <w:br/>
        <w:t>CTEVO-010 IllegalTensorKindChange</w:t>
        <w:br/>
        <w:t>CTEVO-011 DTypeChangedWithoutCastContract</w:t>
        <w:br/>
        <w:t>CTEVO-012 TraitDroppedAcrossStage</w:t>
        <w:br/>
        <w:t>CTEVO-013 TraitAddedWithoutProducer</w:t>
        <w:br/>
        <w:br/>
        <w:t>CTEVO-020 ShapeConstraintLost</w:t>
        <w:br/>
        <w:t>CTEVO-021 DynamicBoundMissingAfterTransition</w:t>
        <w:br/>
        <w:t>CTEVO-022 LocalShapeNotDerivedFromGlobalShape</w:t>
        <w:br/>
        <w:t>CTEVO-023 ShapeFormulaMissingForShapeChangingOp</w:t>
        <w:br/>
        <w:br/>
        <w:t>CTEVO-030 ShardAxisNotInTensorShape</w:t>
        <w:br/>
        <w:t>CTEVO-031 MeshAxisMissing</w:t>
        <w:br/>
        <w:t>CTEVO-032 PlacementStateAmbiguous</w:t>
        <w:br/>
        <w:t>CTEVO-033 ProducerConsumerPlacementMismatch</w:t>
        <w:br/>
        <w:t>CTEVO-034 MissingShardTransition</w:t>
        <w:br/>
        <w:br/>
        <w:t>CTEVO-040 PartialTensorConsumedWithoutReduction</w:t>
        <w:br/>
        <w:t>CTEVO-041 PartialTensorMissingReductionOp</w:t>
        <w:br/>
        <w:t>CTEVO-042 ReductionGroupMissing</w:t>
        <w:br/>
        <w:t>CTEVO-043 ReductionChangesSemanticRole</w:t>
        <w:br/>
        <w:br/>
        <w:t>CTEVO-050 CollectiveWithoutPlacementTransition</w:t>
        <w:br/>
        <w:t>CTEVO-051 CollectiveGroupMismatch</w:t>
        <w:br/>
        <w:t>CTEVO-052 AllGatherOrderingUnspecified</w:t>
        <w:br/>
        <w:t>CTEVO-053 ReduceScatterReductionMismatch</w:t>
        <w:br/>
        <w:t>CTEVO-054 AllToAllRouteIdentityLost</w:t>
        <w:br/>
        <w:br/>
        <w:t>CTEVO-060 LogicalPhysicalLayoutConfused</w:t>
        <w:br/>
        <w:t>CTEVO-061 LayoutSpecializationBeforeShardResolution</w:t>
        <w:br/>
        <w:t>CTEVO-062 PhysicalLayoutViolatesConsumerContract</w:t>
        <w:br/>
        <w:t>CTEVO-063 BlockedLayoutMissingDecodeRule</w:t>
        <w:br/>
        <w:br/>
        <w:t>CTEVO-070 MemoryPlacementBeforeOwnerResolution</w:t>
        <w:br/>
        <w:t>CTEVO-071 RemoteMemoryOnLatencyCriticalPath</w:t>
        <w:br/>
        <w:t>CTEVO-072 SharedMemoryTileShapeMismatch</w:t>
        <w:br/>
        <w:t>CTEVO-073 BufferReuseWithoutLifetimeProof</w:t>
        <w:br/>
        <w:br/>
        <w:t>CTEVO-080 KernelLoweringBeforeLayoutFinalized</w:t>
        <w:br/>
        <w:t>CTEVO-081 KernelMutatesSemanticDescriptor</w:t>
        <w:br/>
        <w:t>CTEVO-082 LaunchGeometryCoverageMismatch</w:t>
        <w:br/>
        <w:t>CTEVO-083 TargetCapabilityMismatch</w:t>
        <w:br/>
        <w:br/>
        <w:t>CTEVO-090 UnresolvedTensorEvolutionObligation</w:t>
        <w:br/>
        <w:t>CTEVO-091 PassRanWithoutDeclaredStageContract</w:t>
        <w:br/>
        <w:t>CTEVO-092 PassInvalidatedRequiredDownstreamMetadata</w:t>
      </w:r>
    </w:p>
    <w:p>
      <w:pPr/>
      <w:r>
        <w:t>The highest-priority hard failures are PartialTensorConsumedWithoutReduction, MissingShardTransition, LayoutSpecializationBeforeShardResolution, MemoryPlacementBeforeOwnerResolution, and PassRanWithoutDeclaredStageContract. These are exactly the errors that tend to appear when different teams implement different tensor-evolution stages without a shared contract system.</w:t>
      </w:r>
    </w:p>
    <w:p>
      <w:pPr>
        <w:pStyle w:val="Heading3"/>
      </w:pPr>
      <w:r>
        <w:t>5.12.10 Final Rule for Tensor Evolution Gatekeeping</w:t>
      </w:r>
    </w:p>
    <w:p>
      <w:pPr/>
      <w:r>
        <w:t>The Tensor Evolution Gatekeeper makes the tensor control plane as strongly checked as the model lifecycle gatekeeper. Sub-domain gatekeeping prevents incompatible model artifacts from crossing phase boundaries. Tensor evolution gatekeeping prevents incompatible tensor descriptor states from crossing compiler-stage boundaries.</w:t>
      </w:r>
    </w:p>
    <w:p>
      <w:pPr>
        <w:pStyle w:val="CodeBlock"/>
      </w:pPr>
      <w:r>
        <w:t>Final rule:</w:t>
        <w:br/>
        <w:t xml:space="preserve">  Tensor evolution is a gated refinement process. Each tensor-evolution stage must declare its required input descriptor state, permitted mutations, required output descriptor state, preserved invariants, emitted obligations, and invalidated metadata. The Tensor Evolution Gatekeeper verifies every cross-stage transition and prevents downstream passes from consuming tensors whose sharding, partiality, communication, layout, memory, or kernel-readiness contracts are incomplete.</w:t>
      </w:r>
    </w:p>
    <w:p>
      <w:pPr>
        <w:pStyle w:val="Heading2"/>
      </w:pPr>
      <w:r>
        <w:rPr>
          <w:b w:val="0"/>
          <w:i w:val="0"/>
        </w:rPr>
        <w:t>5.13 Three-Level Parallelization Model: Intra-Device, Scale-Up, and Scale-Out</w:t>
      </w:r>
    </w:p>
    <w:p>
      <w:pPr/>
      <w:r>
        <w:rPr>
          <w:b w:val="0"/>
          <w:i w:val="0"/>
        </w:rPr>
        <w:t>The performance-portability chapter should classify parallelization into three hardware-neutral domains: intra-device, scale-up, and scale-out. This classification prevents kernel-local thread, warp, tile, register, and memory-hierarchy transformations from being confused with multi-accelerator scale-up sharding.</w:t>
      </w:r>
    </w:p>
    <w:p>
      <w:pPr>
        <w:pStyle w:val="CodeBlock"/>
      </w:pPr>
      <w:r>
        <w:rPr>
          <w:b w:val="0"/>
          <w:i w:val="0"/>
        </w:rPr>
        <w:t>ParallelizationDomain</w:t>
        <w:br/>
        <w:t xml:space="preserve">  intra_device:</w:t>
        <w:br/>
        <w:t xml:space="preserve">    local execution parallelism inside one accelerator device</w:t>
        <w:br/>
        <w:t xml:space="preserve">  scale_up:</w:t>
        <w:br/>
        <w:t xml:space="preserve">    tightly coupled accelerator-domain parallelism</w:t>
        <w:br/>
        <w:t xml:space="preserve">  scale_out:</w:t>
        <w:br/>
        <w:t xml:space="preserve">    distributed network-domain parallelism</w:t>
      </w:r>
    </w:p>
    <w:p>
      <w:pPr/>
      <w:r>
        <w:rPr>
          <w:b w:val="0"/>
          <w:i w:val="0"/>
        </w:rPr>
        <w:t>For NVIDIA targets, intra-device covers lane, thread, warp, warpgroup, CTA/block, SM, Tensor Core, shared-memory tile, register fragment, and local memory/coalescing transformations. Scale-up begins at NVLink, NVSwitch, or NVL domains across multiple GPUs. Scale-out begins at InfiniBand, RoCE, Ethernet, or other inter-node fabrics. The CUDA programming model describes a hierarchy in which grids contain thread blocks, thread blocks contain threads, and shared memory is visible to threads in a block; these are intra-device execution concepts, not scale-up concepts. [40]</w:t>
      </w:r>
    </w:p>
    <w:p>
      <w:pPr/>
      <w:r>
        <w:rPr>
          <w:b w:val="0"/>
          <w:i w:val="0"/>
        </w:rPr>
        <w:t>For TPU targets, intra-device covers TensorCore, MXU or systolic-array scheduling, vector unit, scalar unit, on-chip/VMEM staging, HBM movement, and tile layout inside one TPU chip. Scale-up begins when tensors or work are sharded across TPU chips within one ICI-connected slice or pod. Scale-out begins when work crosses TPU slices through Multislice/DCN. Google TPU documentation distinguishes TensorCore/MXU/vector/scalar units inside chips from ICI within a slice and DCN across slices. [42][43][44]</w:t>
      </w:r>
    </w:p>
    <w:p>
      <w:pPr/>
      <w:r>
        <w:rPr>
          <w:b w:val="0"/>
          <w:i w:val="0"/>
        </w:rPr>
        <w:t>Architectural rule: Thread, warp, CTA, SM, Tensor Core, MXU, vector-unit, shared-memory, register-fragment, and local tile transformations are intra-device parallelization and locality optimization. Scale-up begins only when tensor state or work is partitioned across multiple accelerator devices inside a tightly coupled hardware domain. Scale-out begins when tensor state or work crosses a network, slice, rack, or multislice boundary.</w:t>
      </w:r>
    </w:p>
    <w:p>
      <w:pPr/>
      <w:r>
        <w:rPr>
          <w:b w:val="0"/>
          <w:i w:val="0"/>
        </w:rPr>
        <w:t>This rule lets DataShardingIR remain responsible for cross-device partitioning while TileAndMemoryIR and KernelLoweringIR remain responsible for local execution, locality, and fragment-level scheduling.</w:t>
      </w:r>
    </w:p>
    <w:p>
      <w:pPr>
        <w:pStyle w:val="Heading2"/>
      </w:pPr>
      <w:r>
        <w:rPr>
          <w:b w:val="0"/>
          <w:i w:val="0"/>
        </w:rPr>
        <w:t>5.14 Locality-Aware Tensor Transformation Under Intra-Device Parallelization</w:t>
      </w:r>
    </w:p>
    <w:p>
      <w:pPr/>
      <w:r>
        <w:rPr>
          <w:b w:val="0"/>
          <w:i w:val="0"/>
        </w:rPr>
        <w:t>Intra-device parallelization is inseparable from locality. A high-performance tensor is not only shaped and sharded. It is arranged for spatial locality and staged for temporal locality across the target memory hierarchy.</w:t>
      </w:r>
    </w:p>
    <w:p>
      <w:pPr/>
      <w:r>
        <w:rPr>
          <w:b w:val="0"/>
          <w:i w:val="0"/>
        </w:rPr>
        <w:t>Spatial locality means that neighboring execution lanes or vector elements access neighboring memory addresses. On NVIDIA GPUs this appears as coalesced global-memory access, vectorized loads/stores, aligned memory transactions, and warp-lane mappings that access contiguous elements. On TPU-like systems it appears as tile layouts and dataflow arrangements that feed the MXU or vector unit with regular, high-throughput operands.</w:t>
      </w:r>
    </w:p>
    <w:p>
      <w:pPr/>
      <w:r>
        <w:rPr>
          <w:b w:val="0"/>
          <w:i w:val="0"/>
        </w:rPr>
        <w:t>Temporal locality means that data already loaded into a faster memory tier is reused before it is evicted or overwritten. On NVIDIA GPUs this appears as shared-memory A/B tiles, register fragments, warp tiles, thread tiles, and accumulator residency. On TPU-like systems it appears as HBM-to-on-chip staging, systolic-array operand reuse, vector-unit tiling, and compiler-selected tile residency.</w:t>
      </w:r>
    </w:p>
    <w:p>
      <w:pPr>
        <w:pStyle w:val="CodeBlock"/>
      </w:pPr>
      <w:r>
        <w:rPr>
          <w:b w:val="0"/>
          <w:i w:val="0"/>
        </w:rPr>
        <w:t>LocalityDescriptorIR:</w:t>
        <w:br/>
        <w:t xml:space="preserve">  spatial:</w:t>
        <w:br/>
        <w:t xml:space="preserve">    coalescing_required: true</w:t>
        <w:br/>
        <w:t xml:space="preserve">    vector_width: target_selected</w:t>
        <w:br/>
        <w:t xml:space="preserve">    alignment_required: true</w:t>
        <w:br/>
        <w:t xml:space="preserve">    contiguous_axis: declared</w:t>
        <w:br/>
        <w:t xml:space="preserve">    lane_or_tile_mapping: declared</w:t>
        <w:br/>
        <w:t xml:space="preserve">  temporal:</w:t>
        <w:br/>
        <w:t xml:space="preserve">    reuse_scope: [block, warp, thread, register, mxu_tile]</w:t>
        <w:br/>
        <w:t xml:space="preserve">    reused_tensors: [A_tile, B_tile, register_fragment, accumulator]</w:t>
        <w:br/>
        <w:t xml:space="preserve">    residency: {home: HBM, working: shared_or_on_chip, accumulator: registers_or_mxu_state}</w:t>
      </w:r>
    </w:p>
    <w:p>
      <w:pPr/>
      <w:r>
        <w:rPr>
          <w:b w:val="0"/>
          <w:i w:val="0"/>
        </w:rPr>
        <w:t>The CUDA matrix-multiplication worklog by Simon Boehm is a useful local-kernel case study because it shows the same logical SGEMM tensor evolving through coalesced global memory access, shared-memory cache blocking, one-dimensional and two-dimensional thread tiling, vectorized access, warptiling, autotuned tile shapes, and optional split-K partial reduction. [39]</w:t>
      </w:r>
    </w:p>
    <w:p>
      <w:pPr/>
      <w:r>
        <w:rPr>
          <w:b w:val="0"/>
          <w:i w:val="0"/>
        </w:rPr>
        <w:t>The corresponding DSC descriptors should include AccessPatternIR, SpatialLocalityDescriptorIR, TemporalLocalityDescriptorIR, CoalescingContractIR, VectorizationContractIR, SharedMemoryReuseContractIR, RegisterFragmentContractIR, WarpTileContractIR, MXUTileContractIR, SystolicDataflowContractIR, and PartialReductionContractIR.</w:t>
      </w:r>
    </w:p>
    <w:p>
      <w:pPr>
        <w:pStyle w:val="CodeBlock"/>
      </w:pPr>
      <w:r>
        <w:rPr>
          <w:b w:val="0"/>
          <w:i w:val="0"/>
        </w:rPr>
        <w:t>CLOCAL-* diagnostics should cover locality and intra-device tensor transformation failures:</w:t>
        <w:br/>
        <w:t>CLOCAL-001 CoalescingContractMissing</w:t>
        <w:br/>
        <w:t>CLOCAL-002 VectorizationAlignmentNotProven</w:t>
        <w:br/>
        <w:t>CLOCAL-003 SharedMemoryTileOverwriteBeforeUseComplete</w:t>
        <w:br/>
        <w:t>CLOCAL-004 RegisterFragmentShapeMismatch</w:t>
        <w:br/>
        <w:t>CLOCAL-005 WarpTileCoverageMismatch</w:t>
        <w:br/>
        <w:t>CLOCAL-006 SplitKPartialConsumedWithoutReduction</w:t>
        <w:br/>
        <w:t>CLOCAL-007 MemoryTierReuseInsufficient</w:t>
        <w:br/>
        <w:t>CLOCAL-008 PhysicalLayoutBreaksLogicalAxisSemantics</w:t>
        <w:br/>
        <w:t>CLOCAL-009 IntraDeviceTransformMisclassifiedAsScaleUp</w:t>
        <w:br/>
        <w:t>CLOCAL-010 TargetSpecificTileShapeMissing</w:t>
      </w:r>
    </w:p>
    <w:p>
      <w:pPr/>
      <w:r>
        <w:rPr>
          <w:b w:val="0"/>
          <w:i w:val="0"/>
        </w:rPr>
        <w:t>The most important diagnostic is CLOCAL-009 IntraDeviceTransformMisclassifiedAsScaleUp. It protects the three-level parallelization model by preventing local kernel transformations from being accidentally treated as cross-device scale-up sharding.</w:t>
      </w:r>
    </w:p>
    <w:p>
      <w:pPr>
        <w:pStyle w:val="Heading2"/>
      </w:pPr>
      <w:r>
        <w:rPr>
          <w:b w:val="0"/>
          <w:i w:val="0"/>
        </w:rPr>
        <w:t>5.15 Bandwidth-Driven Parallelization and Memory-Tier Contracts</w:t>
      </w:r>
    </w:p>
    <w:p>
      <w:pPr/>
      <w:r>
        <w:rPr>
          <w:b w:val="0"/>
          <w:i w:val="0"/>
        </w:rPr>
        <w:t>Bandwidth-driven parallelization is the compiler policy that selects tensor partitioning, tile ownership, physical layout, local scratchpad placement, bulk data movement, synchronization, and collective placement so that chosen compute parallelism can be fed by the memory and interconnect hierarchy. It is not a fourth level beside intra-device, scale-up, and scale-out. It is a cross-cutting policy that applies within each level.</w:t>
      </w:r>
    </w:p>
    <w:p>
      <w:pPr/>
      <w:r>
        <w:rPr>
          <w:rFonts w:ascii="Courier New" w:hAnsi="Courier New" w:eastAsia="Courier New"/>
          <w:sz w:val="18"/>
        </w:rPr>
        <w:t>ParallelizationDomain</w:t>
        <w:br/>
        <w:t xml:space="preserve">  intra_device: bandwidth through HBM/L2/scratchpad/register or HBM/VMEM/VREG paths</w:t>
        <w:br/>
        <w:t xml:space="preserve">  scale_up:     bandwidth through NVLink/NVSwitch/NVL or TPU ICI</w:t>
        <w:br/>
        <w:t xml:space="preserve">  scale_out:    bandwidth through InfiniBand/RoCE/Ethernet or TPU DCN/Multislice</w:t>
      </w:r>
    </w:p>
    <w:p>
      <w:pPr/>
      <w:r>
        <w:rPr>
          <w:b w:val="0"/>
          <w:i w:val="0"/>
        </w:rPr>
        <w:t>For NVIDIA Hopper and Blackwell, bandwidth-driven intra-device parallelization is expressed through warp coalescing, vectorized load/store, shared-memory bank-conflict avoidance, TMA, distributed shared memory, shared-memory carveout, register tiling, and asynchronous movement/compute pipelines. Hopper TMA can move 1D through 5D tensors between global and shared memory and between shared-memory regions inside a cluster, avoiding register-based copy overhead and enabling warp-specialized data movement [48]. Blackwell keeps the cluster/DSM model, supports B200 HBM3/HBM3e capacity up to 180 GB, GB200 L2 capacity increases, and B200 shares the 256 KB combined L1/texture/shared-memory capacity model with selectable shared-memory carveout [49].</w:t>
      </w:r>
    </w:p>
    <w:p>
      <w:pPr/>
      <w:r>
        <w:rPr>
          <w:b w:val="0"/>
          <w:i w:val="0"/>
        </w:rPr>
        <w:t>For Google TPU, the same policy applies but through different hardware mechanisms. Pallas describes TPUs as sequential machines with very wide vector registers and background asynchronous operations such as HBM memory access through DMA subunits, MXU matrix multiplies, and XLU transposes/permutes [50]. A Pallas kernel typically receives HBM-backed arrays as lower-level VMEM or SMEM buffers inside the kernel body, allowing HBM communication to be overlapped with compute [50]. The bandwidth constraints are therefore expressed through HBM-to-VMEM DMA pipelining, VMEM tile size, vector-register tile layout, MXU/VPU scheduling, layout assignment, padding waste, and Multislice/ICI/DCN placement [50][51][52].</w:t>
      </w:r>
    </w:p>
    <w:p>
      <w:pPr/>
      <w:r>
        <w:rPr>
          <w:b/>
          <w:i w:val="0"/>
        </w:rPr>
        <w:t>Common IR objects introduced by this policy:</w:t>
      </w:r>
    </w:p>
    <w:p>
      <w:pPr/>
      <w:r>
        <w:rPr>
          <w:rFonts w:ascii="Courier New" w:hAnsi="Courier New" w:eastAsia="Courier New"/>
          <w:sz w:val="18"/>
        </w:rPr>
        <w:t>BandwidthDrivenParallelizationIR</w:t>
        <w:br/>
        <w:t>BandwidthBudgetIR</w:t>
        <w:br/>
        <w:t>LocalScratchpadDescriptorIR</w:t>
        <w:br/>
        <w:t>LocalScratchpadConflictContract</w:t>
        <w:br/>
        <w:t>BulkTensorMovementIR</w:t>
        <w:br/>
        <w:t>AsyncMovementComputePipelineIR</w:t>
        <w:br/>
        <w:t>PhysicalLayoutRepairIR</w:t>
        <w:br/>
        <w:t>MemoryTierResidencyIR</w:t>
        <w:br/>
        <w:t>BandwidthPressureDiagnosticIR</w:t>
      </w:r>
    </w:p>
    <w:p>
      <w:pPr/>
      <w:r>
        <w:rPr>
          <w:b/>
          <w:i w:val="0"/>
        </w:rPr>
        <w:t>Backend-specific realizations:</w:t>
      </w:r>
    </w:p>
    <w:p>
      <w:pPr/>
      <w:r>
        <w:rPr>
          <w:rFonts w:ascii="Courier New" w:hAnsi="Courier New" w:eastAsia="Courier New"/>
          <w:sz w:val="18"/>
        </w:rPr>
        <w:t>NVIDIA specialization:</w:t>
        <w:br/>
        <w:t xml:space="preserve">  SharedMemoryBankConflictContract</w:t>
        <w:br/>
        <w:t xml:space="preserve">  CoalescingContractIR</w:t>
        <w:br/>
        <w:t xml:space="preserve">  VectorizationAlignmentContractIR</w:t>
        <w:br/>
        <w:t xml:space="preserve">  TMA_TransferIR</w:t>
        <w:br/>
        <w:t xml:space="preserve">  TMASwizzleDescriptorIR</w:t>
        <w:br/>
        <w:t xml:space="preserve">  DistributedSharedMemoryIR</w:t>
        <w:br/>
        <w:br/>
        <w:t>TPU specialization:</w:t>
        <w:br/>
        <w:t xml:space="preserve">  VMEMTileConflictContract</w:t>
        <w:br/>
        <w:t xml:space="preserve">  DMAPipelineIR</w:t>
        <w:br/>
        <w:t xml:space="preserve">  VREGTileLayoutContract</w:t>
        <w:br/>
        <w:t xml:space="preserve">  MXUTileScheduleIR</w:t>
        <w:br/>
        <w:t xml:space="preserve">  VMEMCapacityContract</w:t>
        <w:br/>
        <w:t xml:space="preserve">  ICI_BandwidthContractIR</w:t>
        <w:br/>
        <w:t xml:space="preserve">  DCN_MultisliceBandwidthContractIR</w:t>
      </w:r>
    </w:p>
    <w:p>
      <w:pPr/>
      <w:r>
        <w:rPr>
          <w:b w:val="0"/>
          <w:i w:val="0"/>
        </w:rPr>
        <w:t>The most important architectural rule is: compute parallelism is valid only if the memory and interconnect system can feed it. A plan that exposes more threads, warps, CTAs, TensorCores, MXU work, or device shards may still be performance-invalid if it creates bank conflicts, small DMA transfers, padding waste, uncoalesced access, scratchpad oversubscription, or fabric contention.</w:t>
      </w:r>
    </w:p>
    <w:p>
      <w:pPr/>
      <w:r>
        <w:rPr>
          <w:b/>
          <w:i w:val="0"/>
        </w:rPr>
        <w:t>Portable CBW-* diagnostics:</w:t>
      </w:r>
    </w:p>
    <w:p>
      <w:pPr/>
      <w:r>
        <w:rPr>
          <w:rFonts w:ascii="Courier New" w:hAnsi="Courier New" w:eastAsia="Courier New"/>
          <w:sz w:val="18"/>
        </w:rPr>
        <w:t>CBW-001 GlobalMemoryAccessNotCoalesced</w:t>
        <w:br/>
        <w:t>CBW-002 VectorizationOrTileAlignmentNotProven</w:t>
        <w:br/>
        <w:t>CBW-003 LocalScratchpadBankOrTileConflictDetected</w:t>
        <w:br/>
        <w:t>CBW-004 LocalScratchpadMappingMissing</w:t>
        <w:br/>
        <w:t>CBW-005 BulkTensorMovementContractMissing</w:t>
        <w:br/>
        <w:t>CBW-006 LayoutRepairMissingForConflictProneAccess</w:t>
        <w:br/>
        <w:t>CBW-007 AsyncPipelineBarrierMissing</w:t>
        <w:br/>
        <w:t>CBW-008 LocalScratchpadCapacityInsufficient</w:t>
        <w:br/>
        <w:t>CBW-009 ScaleUpFabricBandwidthBelowPlan</w:t>
        <w:br/>
        <w:t>CBW-010 ScaleOutFabricUsedForLatencyCriticalPath</w:t>
        <w:br/>
        <w:t>CBW-011 MemoryBandwidthBelowPerformanceFloor</w:t>
        <w:br/>
        <w:t>CBW-012 ComputeParallelismExceedsMemoryFeedCapacity</w:t>
        <w:br/>
        <w:t>CBW-013 VREGSpillRiskExceeded</w:t>
        <w:br/>
        <w:t>CBW-014 SmallDMATransferInefficient</w:t>
        <w:br/>
        <w:t>CBW-015 PaddingWasteExceedsBudget</w:t>
      </w:r>
    </w:p>
    <w:p>
      <w:pPr/>
      <w:r>
        <w:rPr>
          <w:b w:val="0"/>
          <w:i w:val="0"/>
        </w:rPr>
        <w:t>Final rule: bandwidth-driven parallelization is a required legality and profitability layer for every parallelization domain. The compiler must prove that a tensor movement, tile layout, scratchpad mapping, and synchronization plan can deliver sufficient useful bandwidth before accepting the corresponding compute or distributed parallelization strategy.</w:t>
      </w:r>
    </w:p>
    <w:p>
      <w:pPr>
        <w:pStyle w:val="Heading2"/>
      </w:pPr>
      <w:r>
        <w:t>5.16 Final Architectural Position</w:t>
      </w:r>
    </w:p>
    <w:p>
      <w:r>
        <w:t>The compiler should make parallelization choices, generate the corresponding dispatch and reduce operations, and lower those operations through a target-independent communication intent before committing to NVIDIA, TPU-like, or edge-specific runtime mechanisms. This is the bridge from semantic portability to performance portability.</w:t>
      </w:r>
    </w:p>
    <w:p>
      <w:pPr>
        <w:pStyle w:val="CodeBlock"/>
      </w:pPr>
      <w:r>
        <w:rPr>
          <w:rFonts w:ascii="Consolas" w:hAnsi="Consolas" w:eastAsia="Consolas"/>
          <w:sz w:val="17"/>
        </w:rPr>
        <w:t>One model contract</w:t>
        <w:br/>
        <w:t xml:space="preserve">  -&gt; common tensor, sharding, and trait representation</w:t>
        <w:br/>
        <w:t xml:space="preserve">    -&gt; compiler-selected parallelization</w:t>
        <w:br/>
        <w:t xml:space="preserve">      -&gt; derived dispatch/reduce and collective intent</w:t>
        <w:br/>
        <w:t xml:space="preserve">        -&gt; target-specific runtime and kernel lowering</w:t>
      </w:r>
    </w:p>
    <w:p>
      <w:pPr>
        <w:pStyle w:val="Heading1"/>
        <w:pageBreakBefore/>
      </w:pPr>
      <w:r>
        <w:t>Chapter 6. Common Compiler Substrate Opcode Architecture and Promotion Policy</w:t>
      </w:r>
    </w:p>
    <w:p>
      <w:pPr>
        <w:pStyle w:val="Heading2"/>
      </w:pPr>
      <w:r>
        <w:t>6.1 Why Opcode Structure Must Be Architectural</w:t>
      </w:r>
    </w:p>
    <w:p>
      <w:pPr/>
      <w:r>
        <w:t>Once multiple domains are supported, opcode ownership becomes an architectural policy rather than a local naming issue. CNN and Transformer share many tensor, layout, reduction, quantization, sharding, and dispatch concepts, but they also contain domain-specific semantics that must remain visible to the gatekeeper. The compiler must therefore define which constructs belong in the Common Compiler Substrate, which remain in a domain namespace, and which domain constructs lower into common operations after verification.</w:t>
      </w:r>
    </w:p>
    <w:p>
      <w:pPr/>
      <w:r>
        <w:t>The purpose of this chapter is to prevent three failure modes. The first failure mode is duplication: every domain redefines linear, add, reshape, quantize, layout conversion, and residual add. The second failure mode is over-promotion: semantically rich domain operations such as convolution, attention, tokenizer contracts, KV-cache updates, and image preprocessing are flattened into common tensor operations too early, hiding gatekeeper-relevant distinctions. The third failure mode is hidden semantics: tensor descriptors, domain contracts, or operation-defining parameters are stored as informal context metadata, making opcode equivalence, promotion, and verification unreliable.</w:t>
      </w:r>
    </w:p>
    <w:p>
      <w:pPr>
        <w:pStyle w:val="Heading3"/>
      </w:pPr>
      <w:r>
        <w:t>Common Substrate and Domain Semantic Dimensions</w:t>
      </w:r>
    </w:p>
    <w:p>
      <w:pPr/>
      <w:r>
        <w:t>Neural-network domains do not define separate operator or tensor-type universes. CNN, Transformer, and future neural-network domains share the Common Compiler Substrate operator system and canonical tensor type system. A domain contributes additional semantic dimensions, invariants, and legality conditions around those shared objects; it does not require a duplicate representation of the underlying computation or value type.</w:t>
      </w:r>
    </w:p>
    <w:p>
      <w:pPr/>
      <w:r>
        <w:rPr>
          <w:b/>
        </w:rPr>
        <w:t>Common operator contract.</w:t>
      </w:r>
      <w:r>
        <w:t xml:space="preserve"> This contract answers what domain-neutral computation is performed, including its operands, results, static semantic attributes, shape rule, effect model, and lowering obligation.</w:t>
      </w:r>
    </w:p>
    <w:p>
      <w:pPr/>
      <w:r>
        <w:rPr>
          <w:b/>
        </w:rPr>
        <w:t>Tensor type and descriptor contract.</w:t>
      </w:r>
      <w:r>
        <w:t xml:space="preserve"> This contract answers what values participate and how they are represented. TensorTypeCore and TensorDescriptorIR own element type, rank, logical shape, traits, layout, sharding, placement, memory, quantization, runtime representation, and lineage as defined by their typed layers.</w:t>
      </w:r>
    </w:p>
    <w:p>
      <w:pPr/>
      <w:r>
        <w:rPr>
          <w:b/>
        </w:rPr>
        <w:t>Domain semantic contract.</w:t>
      </w:r>
      <w:r>
        <w:t xml:space="preserve"> This contract preserves the higher-level role and domain-required invariants of the computation. These dimensions may include CNN spatial axes, padding, stride, dilation, grouping, and feature-map roles, or Transformer head layout, masking, position semantics, normalization policy, and KV-cache behavior. Domain semantics may be carried by domain operators, wrappers, traits, structured regions, state/effect contracts, and gatekeeper obligations.</w:t>
      </w:r>
    </w:p>
    <w:p>
      <w:pPr/>
      <w:r>
        <w:rPr>
          <w:b/>
        </w:rPr>
        <w:t>Compiler metadata contract.</w:t>
      </w:r>
      <w:r>
        <w:t xml:space="preserve"> This contract records source context, diagnostics, pass ownership, lowering hints, profiling data, and transformation history. It does not define tensor type equivalence or replace executable domain semantics.</w:t>
      </w:r>
    </w:p>
    <w:p>
      <w:pPr/>
      <w:r>
        <w:rPr>
          <w:b/>
        </w:rPr>
        <w:t>Sharing and promotion rule.</w:t>
      </w:r>
      <w:r>
        <w:t xml:space="preserve"> An operator or tensor type is shared across domains only when its complete computational and value contract is identical and can be stated without domain-specific vocabulary. Similar implementation is not sufficient evidence. Domain operations may coexist in one WHIRL graph and consume shared tensor types and common operations, but every additional domain semantic dimension must remain visible until its gatekeeper verifies it. After verification, the compiler may retain a domain wrapper, apply partial promotion, or lower entirely to the common substrate according to the registered compatibility contract.</w:t>
      </w:r>
    </w:p>
    <w:p>
      <w:pPr>
        <w:pStyle w:val="Heading2"/>
      </w:pPr>
      <w:r>
        <w:t>6.2 Canonical Opcode Definition Record</w:t>
      </w:r>
    </w:p>
    <w:p>
      <w:pPr/>
      <w:r>
        <w:t>Every opcode shall have a canonical definition record. The record separates dataflow operands, static semantic attributes, tensor descriptors, contracts, metadata, outputs, effects, and lowering policy. This separation is required for promotion, import conformance, gatekeeper verification, debugging, and backend lowering.</w:t>
      </w:r>
    </w:p>
    <w:p>
      <w:pPr/>
      <w:r>
        <w:t>Canonical opcode record:</w:t>
      </w:r>
    </w:p>
    <w:p>
      <w:pPr/>
      <w:r>
        <w:t>opcode_definition:</w:t>
        <w:br/>
        <w:t xml:space="preserve">  name: &lt;namespace.opcode&gt;</w:t>
        <w:br/>
        <w:t xml:space="preserve">  category: executable | declaration | contract | verifier | lowering_policy | structural_region</w:t>
        <w:br/>
        <w:t xml:space="preserve">  num_operand: &lt;integer or bounded form such as 2_or_3&gt;</w:t>
        <w:br/>
        <w:t xml:space="preserve">  operands: &lt;runtime/dataflow values consumed by the operation&gt;</w:t>
        <w:br/>
        <w:t xml:space="preserve">  outputs: &lt;runtime/dataflow values produced by the operation&gt;</w:t>
        <w:br/>
        <w:t xml:space="preserve">  attributes: &lt;static parameters defining the operation semantics&gt;</w:t>
        <w:br/>
        <w:t xml:space="preserve">  tensor_descriptors: &lt;typed value-state descriptors: type core, traits, shape, layout, sharding, placement, memory, quantization, runtime state, and lineage&gt;</w:t>
        <w:br/>
        <w:t xml:space="preserve">  contracts: &lt;predicates that must hold for the operation to be legal&gt;</w:t>
        <w:br/>
        <w:t xml:space="preserve">  metadata: &lt;provenance, diagnostics, ownership, lowering hints, pass history, profiling, source mapping&gt;</w:t>
        <w:br/>
        <w:t xml:space="preserve">  effects: &lt;memory/runtime/state effects&gt;</w:t>
        <w:br/>
        <w:t xml:space="preserve">  lowering: &lt;legal common or target-specific lowering paths&gt;</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val="true"/>
        </w:trPr>
        <w:tc>
          <w:tcPr>
            <w:tcW w:type="dxa" w:w="2484"/>
            <w:vAlign w:val="top"/>
            <w:shd w:fill="D9EAF7"/>
          </w:tcPr>
          <w:p>
            <w:r>
              <w:rPr>
                <w:sz w:val="14"/>
              </w:rPr>
            </w:r>
            <w:r>
              <w:rPr>
                <w:b/>
                <w:sz w:val="14"/>
              </w:rPr>
              <w:t>Field class</w:t>
            </w:r>
          </w:p>
        </w:tc>
        <w:tc>
          <w:tcPr>
            <w:tcW w:type="dxa" w:w="2484"/>
            <w:vAlign w:val="top"/>
            <w:shd w:fill="D9EAF7"/>
          </w:tcPr>
          <w:p>
            <w:r>
              <w:rPr>
                <w:sz w:val="14"/>
              </w:rPr>
            </w:r>
            <w:r>
              <w:rPr>
                <w:b/>
                <w:sz w:val="14"/>
              </w:rPr>
              <w:t>Architectural meaning</w:t>
            </w:r>
          </w:p>
        </w:tc>
        <w:tc>
          <w:tcPr>
            <w:tcW w:type="dxa" w:w="2484"/>
            <w:vAlign w:val="top"/>
            <w:shd w:fill="D9EAF7"/>
          </w:tcPr>
          <w:p>
            <w:r>
              <w:rPr>
                <w:sz w:val="14"/>
              </w:rPr>
            </w:r>
            <w:r>
              <w:rPr>
                <w:b/>
                <w:sz w:val="14"/>
              </w:rPr>
              <w:t>Changes computation?</w:t>
            </w:r>
          </w:p>
        </w:tc>
        <w:tc>
          <w:tcPr>
            <w:tcW w:type="dxa" w:w="2484"/>
            <w:vAlign w:val="top"/>
            <w:shd w:fill="D9EAF7"/>
          </w:tcPr>
          <w:p>
            <w:r>
              <w:rPr>
                <w:sz w:val="14"/>
              </w:rPr>
            </w:r>
            <w:r>
              <w:rPr>
                <w:b/>
                <w:sz w:val="14"/>
              </w:rPr>
              <w:t>Examples</w:t>
            </w:r>
          </w:p>
        </w:tc>
      </w:tr>
      <w:tr>
        <w:trPr>
          <w:cantSplit/>
        </w:trPr>
        <w:tc>
          <w:tcPr>
            <w:tcW w:type="dxa" w:w="2484"/>
            <w:vAlign w:val="top"/>
          </w:tcPr>
          <w:p>
            <w:r>
              <w:rPr>
                <w:sz w:val="14"/>
              </w:rPr>
            </w:r>
            <w:r>
              <w:rPr>
                <w:b w:val="0"/>
                <w:sz w:val="14"/>
              </w:rPr>
              <w:t>Operand</w:t>
            </w:r>
          </w:p>
        </w:tc>
        <w:tc>
          <w:tcPr>
            <w:tcW w:type="dxa" w:w="2484"/>
            <w:vAlign w:val="top"/>
          </w:tcPr>
          <w:p>
            <w:r>
              <w:rPr>
                <w:sz w:val="14"/>
              </w:rPr>
            </w:r>
            <w:r>
              <w:rPr>
                <w:b w:val="0"/>
                <w:sz w:val="14"/>
              </w:rPr>
              <w:t>Runtime/dataflow value consumed by the opcode.</w:t>
            </w:r>
          </w:p>
        </w:tc>
        <w:tc>
          <w:tcPr>
            <w:tcW w:type="dxa" w:w="2484"/>
            <w:vAlign w:val="top"/>
          </w:tcPr>
          <w:p>
            <w:r>
              <w:rPr>
                <w:sz w:val="14"/>
              </w:rPr>
            </w:r>
            <w:r>
              <w:rPr>
                <w:b w:val="0"/>
                <w:sz w:val="14"/>
              </w:rPr>
              <w:t>Yes</w:t>
            </w:r>
          </w:p>
        </w:tc>
        <w:tc>
          <w:tcPr>
            <w:tcW w:type="dxa" w:w="2484"/>
            <w:vAlign w:val="top"/>
          </w:tcPr>
          <w:p>
            <w:r>
              <w:rPr>
                <w:sz w:val="14"/>
              </w:rPr>
            </w:r>
            <w:r>
              <w:rPr>
                <w:b w:val="0"/>
                <w:sz w:val="14"/>
              </w:rPr>
              <w:t>input tensor, weight tensor, bias tensor, shortcut tensor</w:t>
            </w:r>
          </w:p>
        </w:tc>
      </w:tr>
      <w:tr>
        <w:trPr>
          <w:cantSplit/>
        </w:trPr>
        <w:tc>
          <w:tcPr>
            <w:tcW w:type="dxa" w:w="2484"/>
            <w:vAlign w:val="top"/>
          </w:tcPr>
          <w:p>
            <w:r>
              <w:rPr>
                <w:sz w:val="14"/>
              </w:rPr>
            </w:r>
            <w:r>
              <w:rPr>
                <w:b w:val="0"/>
                <w:sz w:val="14"/>
              </w:rPr>
              <w:t>Attribute</w:t>
            </w:r>
          </w:p>
        </w:tc>
        <w:tc>
          <w:tcPr>
            <w:tcW w:type="dxa" w:w="2484"/>
            <w:vAlign w:val="top"/>
          </w:tcPr>
          <w:p>
            <w:r>
              <w:rPr>
                <w:sz w:val="14"/>
              </w:rPr>
            </w:r>
            <w:r>
              <w:rPr>
                <w:b w:val="0"/>
                <w:sz w:val="14"/>
              </w:rPr>
              <w:t>Static parameter that defines opcode semantics and participates in equivalence, type/shape inference, legality, conformance tests, and promotion.</w:t>
            </w:r>
          </w:p>
        </w:tc>
        <w:tc>
          <w:tcPr>
            <w:tcW w:type="dxa" w:w="2484"/>
            <w:vAlign w:val="top"/>
          </w:tcPr>
          <w:p>
            <w:r>
              <w:rPr>
                <w:sz w:val="14"/>
              </w:rPr>
            </w:r>
            <w:r>
              <w:rPr>
                <w:b w:val="0"/>
                <w:sz w:val="14"/>
              </w:rPr>
              <w:t>Yes</w:t>
            </w:r>
          </w:p>
        </w:tc>
        <w:tc>
          <w:tcPr>
            <w:tcW w:type="dxa" w:w="2484"/>
            <w:vAlign w:val="top"/>
          </w:tcPr>
          <w:p>
            <w:r>
              <w:rPr>
                <w:sz w:val="14"/>
              </w:rPr>
            </w:r>
            <w:r>
              <w:rPr>
                <w:b w:val="0"/>
                <w:sz w:val="14"/>
              </w:rPr>
              <w:t>kernel_shape, stride, padding, dilation, groups, epsilon, flatten axis, Gemm alpha/beta</w:t>
            </w:r>
          </w:p>
        </w:tc>
      </w:tr>
      <w:tr>
        <w:trPr>
          <w:cantSplit/>
        </w:trPr>
        <w:tc>
          <w:tcPr>
            <w:tcW w:type="dxa" w:w="2484"/>
            <w:vAlign w:val="top"/>
          </w:tcPr>
          <w:p>
            <w:r>
              <w:rPr>
                <w:sz w:val="14"/>
              </w:rPr>
            </w:r>
            <w:r>
              <w:rPr>
                <w:b w:val="0"/>
                <w:sz w:val="14"/>
              </w:rPr>
              <w:t>TensorDescriptorIR</w:t>
            </w:r>
          </w:p>
        </w:tc>
        <w:tc>
          <w:tcPr>
            <w:tcW w:type="dxa" w:w="2484"/>
            <w:vAlign w:val="top"/>
          </w:tcPr>
          <w:p>
            <w:r>
              <w:rPr>
                <w:sz w:val="14"/>
              </w:rPr>
            </w:r>
            <w:r>
              <w:rPr>
                <w:b w:val="0"/>
                <w:sz w:val="14"/>
              </w:rPr>
              <w:t>First-class semantic descriptor for a value; not ordinary metadata even if stored in a side table.</w:t>
            </w:r>
          </w:p>
        </w:tc>
        <w:tc>
          <w:tcPr>
            <w:tcW w:type="dxa" w:w="2484"/>
            <w:vAlign w:val="top"/>
          </w:tcPr>
          <w:p>
            <w:r>
              <w:rPr>
                <w:sz w:val="14"/>
              </w:rPr>
            </w:r>
            <w:r>
              <w:rPr>
                <w:b w:val="0"/>
                <w:sz w:val="14"/>
              </w:rPr>
              <w:t>Yes for legality and typing</w:t>
            </w:r>
          </w:p>
        </w:tc>
        <w:tc>
          <w:tcPr>
            <w:tcW w:type="dxa" w:w="2484"/>
            <w:vAlign w:val="top"/>
          </w:tcPr>
          <w:p>
            <w:r>
              <w:rPr>
                <w:sz w:val="14"/>
              </w:rPr>
            </w:r>
            <w:r>
              <w:rPr>
                <w:b w:val="0"/>
                <w:sz w:val="14"/>
              </w:rPr>
              <w:t>tensor_kind, dtype, logical shape, layout, traits, sharding, memory tier, partiality</w:t>
            </w:r>
          </w:p>
        </w:tc>
      </w:tr>
      <w:tr>
        <w:trPr>
          <w:cantSplit/>
        </w:trPr>
        <w:tc>
          <w:tcPr>
            <w:tcW w:type="dxa" w:w="2484"/>
            <w:vAlign w:val="top"/>
          </w:tcPr>
          <w:p>
            <w:r>
              <w:rPr>
                <w:sz w:val="14"/>
              </w:rPr>
            </w:r>
            <w:r>
              <w:rPr>
                <w:b w:val="0"/>
                <w:sz w:val="14"/>
              </w:rPr>
              <w:t>ContractIR</w:t>
            </w:r>
          </w:p>
        </w:tc>
        <w:tc>
          <w:tcPr>
            <w:tcW w:type="dxa" w:w="2484"/>
            <w:vAlign w:val="top"/>
          </w:tcPr>
          <w:p>
            <w:r>
              <w:rPr>
                <w:sz w:val="14"/>
              </w:rPr>
            </w:r>
            <w:r>
              <w:rPr>
                <w:b w:val="0"/>
                <w:sz w:val="14"/>
              </w:rPr>
              <w:t>Predicate or obligation that must hold for import, transformation, or lowering to be valid.</w:t>
            </w:r>
          </w:p>
        </w:tc>
        <w:tc>
          <w:tcPr>
            <w:tcW w:type="dxa" w:w="2484"/>
            <w:vAlign w:val="top"/>
          </w:tcPr>
          <w:p>
            <w:r>
              <w:rPr>
                <w:sz w:val="14"/>
              </w:rPr>
            </w:r>
            <w:r>
              <w:rPr>
                <w:b w:val="0"/>
                <w:sz w:val="14"/>
              </w:rPr>
              <w:t>Indirectly</w:t>
            </w:r>
          </w:p>
        </w:tc>
        <w:tc>
          <w:tcPr>
            <w:tcW w:type="dxa" w:w="2484"/>
            <w:vAlign w:val="top"/>
          </w:tcPr>
          <w:p>
            <w:r>
              <w:rPr>
                <w:sz w:val="14"/>
              </w:rPr>
            </w:r>
            <w:r>
              <w:rPr>
                <w:b w:val="0"/>
                <w:sz w:val="14"/>
              </w:rPr>
              <w:t>residual path compatibility, image preprocessing ABI, channel/group rules, quantization contract</w:t>
            </w:r>
          </w:p>
        </w:tc>
      </w:tr>
      <w:tr>
        <w:trPr>
          <w:cantSplit/>
        </w:trPr>
        <w:tc>
          <w:tcPr>
            <w:tcW w:type="dxa" w:w="2484"/>
            <w:vAlign w:val="top"/>
          </w:tcPr>
          <w:p>
            <w:r>
              <w:rPr>
                <w:sz w:val="14"/>
              </w:rPr>
            </w:r>
            <w:r>
              <w:rPr>
                <w:b w:val="0"/>
                <w:sz w:val="14"/>
              </w:rPr>
              <w:t>Metadata</w:t>
            </w:r>
          </w:p>
        </w:tc>
        <w:tc>
          <w:tcPr>
            <w:tcW w:type="dxa" w:w="2484"/>
            <w:vAlign w:val="top"/>
          </w:tcPr>
          <w:p>
            <w:r>
              <w:rPr>
                <w:sz w:val="14"/>
              </w:rPr>
            </w:r>
            <w:r>
              <w:rPr>
                <w:b w:val="0"/>
                <w:sz w:val="14"/>
              </w:rPr>
              <w:t>Auxiliary control-plane information used for provenance, diagnostics, pass ownership, optimization history, profiling, certification, and lowering hints.</w:t>
            </w:r>
          </w:p>
        </w:tc>
        <w:tc>
          <w:tcPr>
            <w:tcW w:type="dxa" w:w="2484"/>
            <w:vAlign w:val="top"/>
          </w:tcPr>
          <w:p>
            <w:r>
              <w:rPr>
                <w:sz w:val="14"/>
              </w:rPr>
            </w:r>
            <w:r>
              <w:rPr>
                <w:b w:val="0"/>
                <w:sz w:val="14"/>
              </w:rPr>
              <w:t>No, unless promoted</w:t>
            </w:r>
          </w:p>
        </w:tc>
        <w:tc>
          <w:tcPr>
            <w:tcW w:type="dxa" w:w="2484"/>
            <w:vAlign w:val="top"/>
          </w:tcPr>
          <w:p>
            <w:r>
              <w:rPr>
                <w:sz w:val="14"/>
              </w:rPr>
            </w:r>
            <w:r>
              <w:rPr>
                <w:b w:val="0"/>
                <w:sz w:val="14"/>
              </w:rPr>
              <w:t>source_layer_name, source_framework, diagnostic owner, performance profile, fallback path</w:t>
            </w:r>
          </w:p>
        </w:tc>
      </w:tr>
    </w:tbl>
    <w:p>
      <w:pPr>
        <w:pStyle w:val="Heading2"/>
      </w:pPr>
      <w:r>
        <w:t>6.3 Opcode Fields and Tensor-Type Fields Are Related but Distinct</w:t>
      </w:r>
    </w:p>
    <w:p>
      <w:pPr/>
      <w:r>
        <w:t>The compiler shall not use operands, opcode attributes, tensor descriptors, contracts, and metadata interchangeably. Operands are runtime/dataflow values consumed by an operation. Opcode attributes are static parameters that define the operation semantics. Contracts define what must be true for the operation to be legal. Metadata records context around the operation, such as provenance, diagnostics, pass ownership, lowering hints, profiling state, and import history.</w:t>
      </w:r>
    </w:p>
    <w:p>
      <w:pPr/>
      <w:r>
        <w:t>This section is not intended to force tensor type information into opcode attributes or ordinary metadata. Tensor type information has its own layered representation. Opcode attributes define the operation; tensor descriptors define the semantic and representational state of values flowing between operations; tensor metadata records provenance, inference confidence, lineage, transition history, and implementation context.</w:t>
      </w:r>
    </w:p>
    <w:p>
      <w:pPr/>
      <w:r>
        <w:t>Rule: if a field changes what an operation computes, it belongs in the opcode attributes or operands. If a field defines whether a tensor value is legal, consumable, sharded, placed, laid out, or memory-resident, it belongs in TensorDescriptorIR or one of its typed sub-descriptors. If a field describes where the information came from, which pass produced it, which diagnostic owns it, or which lowering was selected, it belongs in metadata or lowering policy.</w:t>
      </w:r>
    </w:p>
    <w:p>
      <w:pPr>
        <w:pStyle w:val="Heading2"/>
      </w:pPr>
      <w:r>
        <w:t>6.4 Layered Tensor Type Model</w:t>
      </w:r>
    </w:p>
    <w:p>
      <w:pPr/>
      <w:r>
        <w:t>Tensor type shall not be modeled as a flat attribute bag. DSC represents tensor information as a layered tensor descriptor. This makes tensor legality, tensor evolution, gatekeeper verification, and backend lowering explicit without overloading opcode attributes or treating semantically required tensor state as optional commentary.</w:t>
      </w:r>
    </w:p>
    <w:p>
      <w:pPr/>
      <w:r>
        <w:t>Layered TensorDescriptorIR model:</w:t>
      </w:r>
    </w:p>
    <w:p>
      <w:pPr/>
      <w:r>
        <w:t>TensorDescriptorIR:</w:t>
        <w:br/>
        <w:t xml:space="preserve">  TensorTypeCore:</w:t>
        <w:br/>
        <w:t xml:space="preserve">    kind: TENSOR_KIND</w:t>
        <w:br/>
        <w:t xml:space="preserve">    element_type: &lt;dtype&gt;</w:t>
        <w:br/>
        <w:t xml:space="preserve">    rank: &lt;integer&gt;</w:t>
        <w:br/>
        <w:t xml:space="preserve">    logical_shape: &lt;static, symbolic, bounded dynamic, or runtime-evolving shape&gt;</w:t>
        <w:br/>
        <w:br/>
        <w:t xml:space="preserve">  TensorTraitSet:</w:t>
        <w:br/>
        <w:t xml:space="preserve">    semantic roles such as FeatureMapTensorTrait, WeightTensorTrait,</w:t>
        <w:br/>
        <w:t xml:space="preserve">    ActivationTensorTrait, ResidualPathTensorTrait, KVCacheTensorTrait,</w:t>
        <w:br/>
        <w:t xml:space="preserve">    RouterLogitTensorTrait, PartialTensorTrait</w:t>
        <w:br/>
        <w:br/>
        <w:t xml:space="preserve">  TensorRepresentationDescriptors:</w:t>
        <w:br/>
        <w:t xml:space="preserve">    TensorShapeDescriptor</w:t>
        <w:br/>
        <w:t xml:space="preserve">    TensorLayoutDescriptor</w:t>
        <w:br/>
        <w:t xml:space="preserve">    TensorShardingDescriptor</w:t>
        <w:br/>
        <w:t xml:space="preserve">    TensorPlacementDescriptor</w:t>
        <w:br/>
        <w:t xml:space="preserve">    TensorMemoryDescriptor</w:t>
        <w:br/>
        <w:t xml:space="preserve">    TensorQuantizationDescriptor</w:t>
        <w:br/>
        <w:t xml:space="preserve">    TensorRuntimeDescriptor</w:t>
        <w:br/>
        <w:br/>
        <w:t xml:space="preserve">  TensorLineageMetadata:</w:t>
        <w:br/>
        <w:t xml:space="preserve">    source framework and layer name</w:t>
        <w:br/>
        <w:t xml:space="preserve">    declared vs inferred state</w:t>
        <w:br/>
        <w:t xml:space="preserve">    inference confidence</w:t>
        <w:br/>
        <w:t xml:space="preserve">    producer pass</w:t>
        <w:br/>
        <w:t xml:space="preserve">    transformation history</w:t>
        <w:br/>
        <w:t xml:space="preserve">    gatekeeper obligations</w:t>
      </w:r>
    </w:p>
    <w:p>
      <w:pPr/>
      <w:r>
        <w:t>The tensor type core and tensor traits answer what kind of value is flowing through the IR. Representation descriptors answer how that value is shaped, laid out, sharded, placed, stored, quantized, and represented at runtime. Tensor lineage metadata answers where the tensor information came from, how it was inferred or transformed, and which verification obligations remain.</w:t>
      </w:r>
    </w:p>
    <w:p>
      <w:pPr>
        <w:pStyle w:val="Heading2"/>
      </w:pPr>
      <w:r>
        <w:t>6.5 Implementation Storage vs Architectural Classification</w:t>
      </w:r>
    </w:p>
    <w:p>
      <w:pPr/>
      <w:r>
        <w:t>An implementation may physically store TensorDescriptorIR objects in a metadata side table, especially in an Open64-style compiler infrastructure where descriptor tables are a natural extension mechanism. Storage location is not the same as architectural classification. A descriptor table may store semantic tensor descriptors, representation descriptors, and lineage metadata together, but the public architecture and APIs must expose their different roles.</w:t>
      </w:r>
    </w:p>
    <w:p>
      <w:pPr/>
      <w:r>
        <w:t>Implementation-compatible rule:</w:t>
      </w:r>
    </w:p>
    <w:p>
      <w:pPr/>
      <w:r>
        <w:t>Physical storage may be:</w:t>
        <w:br/>
        <w:t xml:space="preserve">  metadata table</w:t>
        <w:br/>
        <w:t xml:space="preserve">  descriptor table</w:t>
        <w:br/>
        <w:t xml:space="preserve">  annotation map</w:t>
        <w:br/>
        <w:t xml:space="preserve">  symbol-table extension</w:t>
        <w:br/>
        <w:t xml:space="preserve">  side-car database</w:t>
        <w:br/>
        <w:br/>
        <w:t>Architectural meaning must remain:</w:t>
        <w:br/>
        <w:t xml:space="preserve">  TensorDescriptorIR = semantic tensor value state</w:t>
        <w:br/>
        <w:t xml:space="preserve">  TensorTypeCore = universal tensor type core</w:t>
        <w:br/>
        <w:t xml:space="preserve">  TensorTraitSet = semantic role and domain trait set</w:t>
        <w:br/>
        <w:t xml:space="preserve">  TensorRepresentationDescriptor = shape/layout/sharding/placement/memory/quantization/runtime state</w:t>
        <w:br/>
        <w:t xml:space="preserve">  TensorLineageMetadata = provenance, inference confidence, transition history, and obligations</w:t>
        <w:br/>
        <w:t xml:space="preserve">  CompilerMetadataIR = source context, diagnostics, pass ownership, lowering hints, profile results</w:t>
      </w:r>
    </w:p>
    <w:p>
      <w:pPr/>
      <w:r>
        <w:t>Recommended API separation for Open64-style implementations:</w:t>
      </w:r>
    </w:p>
    <w:p>
      <w:pPr/>
      <w:r>
        <w:t>compiler.getTensorDescriptor(value)</w:t>
        <w:br/>
        <w:t xml:space="preserve">  -&gt; returns TensorDescriptorIR for a value</w:t>
        <w:br/>
        <w:br/>
        <w:t>compiler.getTensorTypeCore(value)</w:t>
        <w:br/>
        <w:t xml:space="preserve">  -&gt; returns kind, element type, rank, and logical shape</w:t>
        <w:br/>
        <w:br/>
        <w:t>compiler.getTensorTraits(value)</w:t>
        <w:br/>
        <w:t xml:space="preserve">  -&gt; returns semantic tensor trait set</w:t>
        <w:br/>
        <w:br/>
        <w:t>compiler.getTensorRepresentation(value)</w:t>
        <w:br/>
        <w:t xml:space="preserve">  -&gt; returns layout, sharding, placement, memory, quantization, runtime state</w:t>
        <w:br/>
        <w:br/>
        <w:t>compiler.getTensorLineage(value)</w:t>
        <w:br/>
        <w:t xml:space="preserve">  -&gt; returns provenance and transformation history</w:t>
        <w:br/>
        <w:br/>
        <w:t>op.getAttribute(name)</w:t>
        <w:br/>
        <w:t xml:space="preserve">  -&gt; returns static semantic opcode parameter</w:t>
        <w:br/>
        <w:br/>
        <w:t>op.getMetadata(name)</w:t>
        <w:br/>
        <w:t xml:space="preserve">  -&gt; returns compiler-control-plane metadata such as source location, diagnostic owner, lowering hint, pass history, or profiling result</w:t>
      </w:r>
    </w:p>
    <w:p>
      <w:pPr/>
      <w:r>
        <w:t>Therefore the document does not require existing code to rename every storage object immediately. It requires a semantic split in the architecture and APIs: do not let tensor type core, traits, layout, sharding, placement, memory, quantization, or runtime state be consumed as untyped auxiliary metadata; and do not let source context or lowering hints masquerade as opcode attributes.</w:t>
      </w:r>
    </w:p>
    <w:p>
      <w:pPr>
        <w:pStyle w:val="Heading2"/>
      </w:pPr>
      <w:r>
        <w:t>6.6 Source-Derived Opcode Ownership Example: ResNet and the Common Substrate</w:t>
      </w:r>
    </w:p>
    <w:p>
      <w:pPr/>
      <w:r>
        <w:t>ResNet provides a concrete test for the opcode policy. The common substrate should own reusable tensor mechanics such as add, residual add, relu, flatten, linear, gemm, reduce_mean, shape_assert, layout_cast, quantize, and fusion_group. The CNN/ResNet domain should own image layout, feature-map roles, spatial convolution, pooling wrappers, batch normalization contracts, residual block structure, shortcut semantics, stage declarations, and preprocessing contracts.</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cantSplit/>
          <w:tblHeader w:val="true"/>
        </w:trPr>
        <w:tc>
          <w:tcPr>
            <w:tcW w:type="dxa" w:w="1656"/>
            <w:vAlign w:val="top"/>
            <w:shd w:fill="D9EAF7"/>
          </w:tcPr>
          <w:p>
            <w:r>
              <w:rPr>
                <w:sz w:val="14"/>
              </w:rPr>
            </w:r>
            <w:r>
              <w:rPr>
                <w:b/>
                <w:sz w:val="14"/>
              </w:rPr>
              <w:t>Opcode</w:t>
            </w:r>
          </w:p>
        </w:tc>
        <w:tc>
          <w:tcPr>
            <w:tcW w:type="dxa" w:w="1656"/>
            <w:vAlign w:val="top"/>
            <w:shd w:fill="D9EAF7"/>
          </w:tcPr>
          <w:p>
            <w:r>
              <w:rPr>
                <w:sz w:val="14"/>
              </w:rPr>
            </w:r>
            <w:r>
              <w:rPr>
                <w:b/>
                <w:sz w:val="14"/>
              </w:rPr>
              <w:t>Owner</w:t>
            </w:r>
          </w:p>
        </w:tc>
        <w:tc>
          <w:tcPr>
            <w:tcW w:type="dxa" w:w="1656"/>
            <w:vAlign w:val="top"/>
            <w:shd w:fill="D9EAF7"/>
          </w:tcPr>
          <w:p>
            <w:r>
              <w:rPr>
                <w:sz w:val="14"/>
              </w:rPr>
            </w:r>
            <w:r>
              <w:rPr>
                <w:b/>
                <w:sz w:val="14"/>
              </w:rPr>
              <w:t>num_operand</w:t>
            </w:r>
          </w:p>
        </w:tc>
        <w:tc>
          <w:tcPr>
            <w:tcW w:type="dxa" w:w="1656"/>
            <w:vAlign w:val="top"/>
            <w:shd w:fill="D9EAF7"/>
          </w:tcPr>
          <w:p>
            <w:r>
              <w:rPr>
                <w:sz w:val="14"/>
              </w:rPr>
            </w:r>
            <w:r>
              <w:rPr>
                <w:b/>
                <w:sz w:val="14"/>
              </w:rPr>
              <w:t>Semantic attributes</w:t>
            </w:r>
          </w:p>
        </w:tc>
        <w:tc>
          <w:tcPr>
            <w:tcW w:type="dxa" w:w="1656"/>
            <w:vAlign w:val="top"/>
            <w:shd w:fill="D9EAF7"/>
          </w:tcPr>
          <w:p>
            <w:r>
              <w:rPr>
                <w:sz w:val="14"/>
              </w:rPr>
            </w:r>
            <w:r>
              <w:rPr>
                <w:b/>
                <w:sz w:val="14"/>
              </w:rPr>
              <w:t>Tensor descriptors / contracts</w:t>
            </w:r>
          </w:p>
        </w:tc>
        <w:tc>
          <w:tcPr>
            <w:tcW w:type="dxa" w:w="1656"/>
            <w:vAlign w:val="top"/>
            <w:shd w:fill="D9EAF7"/>
          </w:tcPr>
          <w:p>
            <w:r>
              <w:rPr>
                <w:sz w:val="14"/>
              </w:rPr>
            </w:r>
            <w:r>
              <w:rPr>
                <w:b/>
                <w:sz w:val="14"/>
              </w:rPr>
              <w:t>Metadata examples</w:t>
            </w:r>
          </w:p>
        </w:tc>
      </w:tr>
      <w:tr>
        <w:trPr>
          <w:cantSplit/>
        </w:trPr>
        <w:tc>
          <w:tcPr>
            <w:tcW w:type="dxa" w:w="1656"/>
            <w:vAlign w:val="top"/>
          </w:tcPr>
          <w:p>
            <w:r>
              <w:rPr>
                <w:sz w:val="14"/>
              </w:rPr>
            </w:r>
            <w:r>
              <w:rPr>
                <w:b w:val="0"/>
                <w:sz w:val="14"/>
              </w:rPr>
              <w:t>common.relu</w:t>
            </w:r>
          </w:p>
        </w:tc>
        <w:tc>
          <w:tcPr>
            <w:tcW w:type="dxa" w:w="1656"/>
            <w:vAlign w:val="top"/>
          </w:tcPr>
          <w:p>
            <w:r>
              <w:rPr>
                <w:sz w:val="14"/>
              </w:rPr>
            </w:r>
            <w:r>
              <w:rPr>
                <w:b w:val="0"/>
                <w:sz w:val="14"/>
              </w:rPr>
              <w:t>Common substrate</w:t>
            </w:r>
          </w:p>
        </w:tc>
        <w:tc>
          <w:tcPr>
            <w:tcW w:type="dxa" w:w="1656"/>
            <w:vAlign w:val="top"/>
          </w:tcPr>
          <w:p>
            <w:r>
              <w:rPr>
                <w:sz w:val="14"/>
              </w:rPr>
            </w:r>
            <w:r>
              <w:rPr>
                <w:b w:val="0"/>
                <w:sz w:val="14"/>
              </w:rPr>
              <w:t>1</w:t>
            </w:r>
          </w:p>
        </w:tc>
        <w:tc>
          <w:tcPr>
            <w:tcW w:type="dxa" w:w="1656"/>
            <w:vAlign w:val="top"/>
          </w:tcPr>
          <w:p>
            <w:r>
              <w:rPr>
                <w:sz w:val="14"/>
              </w:rPr>
            </w:r>
            <w:r>
              <w:rPr>
                <w:b w:val="0"/>
                <w:sz w:val="14"/>
              </w:rPr>
              <w:t>activation=max(0,x)</w:t>
            </w:r>
          </w:p>
        </w:tc>
        <w:tc>
          <w:tcPr>
            <w:tcW w:type="dxa" w:w="1656"/>
            <w:vAlign w:val="top"/>
          </w:tcPr>
          <w:p>
            <w:r>
              <w:rPr>
                <w:sz w:val="14"/>
              </w:rPr>
            </w:r>
            <w:r>
              <w:rPr>
                <w:b w:val="0"/>
                <w:sz w:val="14"/>
              </w:rPr>
              <w:t>input/output dtype and shape descriptors</w:t>
            </w:r>
          </w:p>
        </w:tc>
        <w:tc>
          <w:tcPr>
            <w:tcW w:type="dxa" w:w="1656"/>
            <w:vAlign w:val="top"/>
          </w:tcPr>
          <w:p>
            <w:r>
              <w:rPr>
                <w:sz w:val="14"/>
              </w:rPr>
            </w:r>
            <w:r>
              <w:rPr>
                <w:b w:val="0"/>
                <w:sz w:val="14"/>
              </w:rPr>
              <w:t>source op, activation role, fusion group</w:t>
            </w:r>
          </w:p>
        </w:tc>
      </w:tr>
      <w:tr>
        <w:trPr>
          <w:cantSplit/>
        </w:trPr>
        <w:tc>
          <w:tcPr>
            <w:tcW w:type="dxa" w:w="1656"/>
            <w:vAlign w:val="top"/>
          </w:tcPr>
          <w:p>
            <w:r>
              <w:rPr>
                <w:sz w:val="14"/>
              </w:rPr>
            </w:r>
            <w:r>
              <w:rPr>
                <w:b w:val="0"/>
                <w:sz w:val="14"/>
              </w:rPr>
              <w:t>common.flatten</w:t>
            </w:r>
          </w:p>
        </w:tc>
        <w:tc>
          <w:tcPr>
            <w:tcW w:type="dxa" w:w="1656"/>
            <w:vAlign w:val="top"/>
          </w:tcPr>
          <w:p>
            <w:r>
              <w:rPr>
                <w:sz w:val="14"/>
              </w:rPr>
            </w:r>
            <w:r>
              <w:rPr>
                <w:b w:val="0"/>
                <w:sz w:val="14"/>
              </w:rPr>
              <w:t>Common substrate</w:t>
            </w:r>
          </w:p>
        </w:tc>
        <w:tc>
          <w:tcPr>
            <w:tcW w:type="dxa" w:w="1656"/>
            <w:vAlign w:val="top"/>
          </w:tcPr>
          <w:p>
            <w:r>
              <w:rPr>
                <w:sz w:val="14"/>
              </w:rPr>
            </w:r>
            <w:r>
              <w:rPr>
                <w:b w:val="0"/>
                <w:sz w:val="14"/>
              </w:rPr>
              <w:t>1</w:t>
            </w:r>
          </w:p>
        </w:tc>
        <w:tc>
          <w:tcPr>
            <w:tcW w:type="dxa" w:w="1656"/>
            <w:vAlign w:val="top"/>
          </w:tcPr>
          <w:p>
            <w:r>
              <w:rPr>
                <w:sz w:val="14"/>
              </w:rPr>
            </w:r>
            <w:r>
              <w:rPr>
                <w:b w:val="0"/>
                <w:sz w:val="14"/>
              </w:rPr>
              <w:t>axis</w:t>
            </w:r>
          </w:p>
        </w:tc>
        <w:tc>
          <w:tcPr>
            <w:tcW w:type="dxa" w:w="1656"/>
            <w:vAlign w:val="top"/>
          </w:tcPr>
          <w:p>
            <w:r>
              <w:rPr>
                <w:sz w:val="14"/>
              </w:rPr>
            </w:r>
            <w:r>
              <w:rPr>
                <w:b w:val="0"/>
                <w:sz w:val="14"/>
              </w:rPr>
              <w:t>shape formula, alias/copy policy</w:t>
            </w:r>
          </w:p>
        </w:tc>
        <w:tc>
          <w:tcPr>
            <w:tcW w:type="dxa" w:w="1656"/>
            <w:vAlign w:val="top"/>
          </w:tcPr>
          <w:p>
            <w:r>
              <w:rPr>
                <w:sz w:val="14"/>
              </w:rPr>
            </w:r>
            <w:r>
              <w:rPr>
                <w:b w:val="0"/>
                <w:sz w:val="14"/>
              </w:rPr>
              <w:t>source op, classifier-head role</w:t>
            </w:r>
          </w:p>
        </w:tc>
      </w:tr>
      <w:tr>
        <w:trPr>
          <w:cantSplit/>
        </w:trPr>
        <w:tc>
          <w:tcPr>
            <w:tcW w:type="dxa" w:w="1656"/>
            <w:vAlign w:val="top"/>
          </w:tcPr>
          <w:p>
            <w:r>
              <w:rPr>
                <w:sz w:val="14"/>
              </w:rPr>
            </w:r>
            <w:r>
              <w:rPr>
                <w:b w:val="0"/>
                <w:sz w:val="14"/>
              </w:rPr>
              <w:t>common.residual_add</w:t>
            </w:r>
          </w:p>
        </w:tc>
        <w:tc>
          <w:tcPr>
            <w:tcW w:type="dxa" w:w="1656"/>
            <w:vAlign w:val="top"/>
          </w:tcPr>
          <w:p>
            <w:r>
              <w:rPr>
                <w:sz w:val="14"/>
              </w:rPr>
            </w:r>
            <w:r>
              <w:rPr>
                <w:b w:val="0"/>
                <w:sz w:val="14"/>
              </w:rPr>
              <w:t>Common substrate with domain wrappers</w:t>
            </w:r>
          </w:p>
        </w:tc>
        <w:tc>
          <w:tcPr>
            <w:tcW w:type="dxa" w:w="1656"/>
            <w:vAlign w:val="top"/>
          </w:tcPr>
          <w:p>
            <w:r>
              <w:rPr>
                <w:sz w:val="14"/>
              </w:rPr>
            </w:r>
            <w:r>
              <w:rPr>
                <w:b w:val="0"/>
                <w:sz w:val="14"/>
              </w:rPr>
              <w:t>2</w:t>
            </w:r>
          </w:p>
        </w:tc>
        <w:tc>
          <w:tcPr>
            <w:tcW w:type="dxa" w:w="1656"/>
            <w:vAlign w:val="top"/>
          </w:tcPr>
          <w:p>
            <w:r>
              <w:rPr>
                <w:sz w:val="14"/>
              </w:rPr>
            </w:r>
            <w:r>
              <w:rPr>
                <w:b w:val="0"/>
                <w:sz w:val="14"/>
              </w:rPr>
              <w:t>same-shape or declared-projection rule, dtype policy</w:t>
            </w:r>
          </w:p>
        </w:tc>
        <w:tc>
          <w:tcPr>
            <w:tcW w:type="dxa" w:w="1656"/>
            <w:vAlign w:val="top"/>
          </w:tcPr>
          <w:p>
            <w:r>
              <w:rPr>
                <w:sz w:val="14"/>
              </w:rPr>
            </w:r>
            <w:r>
              <w:rPr>
                <w:b w:val="0"/>
                <w:sz w:val="14"/>
              </w:rPr>
              <w:t>residual lineage, main/shortcut tensor descriptors</w:t>
            </w:r>
          </w:p>
        </w:tc>
        <w:tc>
          <w:tcPr>
            <w:tcW w:type="dxa" w:w="1656"/>
            <w:vAlign w:val="top"/>
          </w:tcPr>
          <w:p>
            <w:r>
              <w:rPr>
                <w:sz w:val="14"/>
              </w:rPr>
            </w:r>
            <w:r>
              <w:rPr>
                <w:b w:val="0"/>
                <w:sz w:val="14"/>
              </w:rPr>
              <w:t>block id, source layer names</w:t>
            </w:r>
          </w:p>
        </w:tc>
      </w:tr>
      <w:tr>
        <w:trPr>
          <w:cantSplit/>
        </w:trPr>
        <w:tc>
          <w:tcPr>
            <w:tcW w:type="dxa" w:w="1656"/>
            <w:vAlign w:val="top"/>
          </w:tcPr>
          <w:p>
            <w:r>
              <w:rPr>
                <w:sz w:val="14"/>
              </w:rPr>
            </w:r>
            <w:r>
              <w:rPr>
                <w:b w:val="0"/>
                <w:sz w:val="14"/>
              </w:rPr>
              <w:t>cnn.conv2d</w:t>
            </w:r>
          </w:p>
        </w:tc>
        <w:tc>
          <w:tcPr>
            <w:tcW w:type="dxa" w:w="1656"/>
            <w:vAlign w:val="top"/>
          </w:tcPr>
          <w:p>
            <w:r>
              <w:rPr>
                <w:sz w:val="14"/>
              </w:rPr>
            </w:r>
            <w:r>
              <w:rPr>
                <w:b w:val="0"/>
                <w:sz w:val="14"/>
              </w:rPr>
              <w:t>CNN domain</w:t>
            </w:r>
          </w:p>
        </w:tc>
        <w:tc>
          <w:tcPr>
            <w:tcW w:type="dxa" w:w="1656"/>
            <w:vAlign w:val="top"/>
          </w:tcPr>
          <w:p>
            <w:r>
              <w:rPr>
                <w:sz w:val="14"/>
              </w:rPr>
            </w:r>
            <w:r>
              <w:rPr>
                <w:b w:val="0"/>
                <w:sz w:val="14"/>
              </w:rPr>
              <w:t>2_or_3</w:t>
            </w:r>
          </w:p>
        </w:tc>
        <w:tc>
          <w:tcPr>
            <w:tcW w:type="dxa" w:w="1656"/>
            <w:vAlign w:val="top"/>
          </w:tcPr>
          <w:p>
            <w:r>
              <w:rPr>
                <w:sz w:val="14"/>
              </w:rPr>
            </w:r>
            <w:r>
              <w:rPr>
                <w:b w:val="0"/>
                <w:sz w:val="14"/>
              </w:rPr>
              <w:t>kernel_shape, strides, pads, dilations, groups</w:t>
            </w:r>
          </w:p>
        </w:tc>
        <w:tc>
          <w:tcPr>
            <w:tcW w:type="dxa" w:w="1656"/>
            <w:vAlign w:val="top"/>
          </w:tcPr>
          <w:p>
            <w:r>
              <w:rPr>
                <w:sz w:val="14"/>
              </w:rPr>
            </w:r>
            <w:r>
              <w:rPr>
                <w:b w:val="0"/>
                <w:sz w:val="14"/>
              </w:rPr>
              <w:t>feature-map descriptor, weight descriptor, channel/group contract, conv shape formula</w:t>
            </w:r>
          </w:p>
        </w:tc>
        <w:tc>
          <w:tcPr>
            <w:tcW w:type="dxa" w:w="1656"/>
            <w:vAlign w:val="top"/>
          </w:tcPr>
          <w:p>
            <w:r>
              <w:rPr>
                <w:sz w:val="14"/>
              </w:rPr>
            </w:r>
            <w:r>
              <w:rPr>
                <w:b w:val="0"/>
                <w:sz w:val="14"/>
              </w:rPr>
              <w:t>source framework, source layer, lowering hint</w:t>
            </w:r>
          </w:p>
        </w:tc>
      </w:tr>
      <w:tr>
        <w:trPr>
          <w:cantSplit/>
        </w:trPr>
        <w:tc>
          <w:tcPr>
            <w:tcW w:type="dxa" w:w="1656"/>
            <w:vAlign w:val="top"/>
          </w:tcPr>
          <w:p>
            <w:r>
              <w:rPr>
                <w:sz w:val="14"/>
              </w:rPr>
            </w:r>
            <w:r>
              <w:rPr>
                <w:b w:val="0"/>
                <w:sz w:val="14"/>
              </w:rPr>
              <w:t>cnn.batch_norm_infer</w:t>
            </w:r>
          </w:p>
        </w:tc>
        <w:tc>
          <w:tcPr>
            <w:tcW w:type="dxa" w:w="1656"/>
            <w:vAlign w:val="top"/>
          </w:tcPr>
          <w:p>
            <w:r>
              <w:rPr>
                <w:sz w:val="14"/>
              </w:rPr>
            </w:r>
            <w:r>
              <w:rPr>
                <w:b w:val="0"/>
                <w:sz w:val="14"/>
              </w:rPr>
              <w:t>CNN domain</w:t>
            </w:r>
          </w:p>
        </w:tc>
        <w:tc>
          <w:tcPr>
            <w:tcW w:type="dxa" w:w="1656"/>
            <w:vAlign w:val="top"/>
          </w:tcPr>
          <w:p>
            <w:r>
              <w:rPr>
                <w:sz w:val="14"/>
              </w:rPr>
            </w:r>
            <w:r>
              <w:rPr>
                <w:b w:val="0"/>
                <w:sz w:val="14"/>
              </w:rPr>
              <w:t>5</w:t>
            </w:r>
          </w:p>
        </w:tc>
        <w:tc>
          <w:tcPr>
            <w:tcW w:type="dxa" w:w="1656"/>
            <w:vAlign w:val="top"/>
          </w:tcPr>
          <w:p>
            <w:r>
              <w:rPr>
                <w:sz w:val="14"/>
              </w:rPr>
            </w:r>
            <w:r>
              <w:rPr>
                <w:b w:val="0"/>
                <w:sz w:val="14"/>
              </w:rPr>
              <w:t>epsilon, momentum, training_mode=false, channel_axis</w:t>
            </w:r>
          </w:p>
        </w:tc>
        <w:tc>
          <w:tcPr>
            <w:tcW w:type="dxa" w:w="1656"/>
            <w:vAlign w:val="top"/>
          </w:tcPr>
          <w:p>
            <w:r>
              <w:rPr>
                <w:sz w:val="14"/>
              </w:rPr>
            </w:r>
            <w:r>
              <w:rPr>
                <w:b w:val="0"/>
                <w:sz w:val="14"/>
              </w:rPr>
              <w:t>same-shape output descriptor, running-stat contract, foldability contract</w:t>
            </w:r>
          </w:p>
        </w:tc>
        <w:tc>
          <w:tcPr>
            <w:tcW w:type="dxa" w:w="1656"/>
            <w:vAlign w:val="top"/>
          </w:tcPr>
          <w:p>
            <w:r>
              <w:rPr>
                <w:sz w:val="14"/>
              </w:rPr>
            </w:r>
            <w:r>
              <w:rPr>
                <w:b w:val="0"/>
                <w:sz w:val="14"/>
              </w:rPr>
              <w:t>running-stat provenance, conv-fold candidate</w:t>
            </w:r>
          </w:p>
        </w:tc>
      </w:tr>
      <w:tr>
        <w:trPr>
          <w:cantSplit/>
        </w:trPr>
        <w:tc>
          <w:tcPr>
            <w:tcW w:type="dxa" w:w="1656"/>
            <w:vAlign w:val="top"/>
          </w:tcPr>
          <w:p>
            <w:r>
              <w:rPr>
                <w:sz w:val="14"/>
              </w:rPr>
            </w:r>
            <w:r>
              <w:rPr>
                <w:b w:val="0"/>
                <w:sz w:val="14"/>
              </w:rPr>
              <w:t>cnn.resnet.basic_block</w:t>
            </w:r>
          </w:p>
        </w:tc>
        <w:tc>
          <w:tcPr>
            <w:tcW w:type="dxa" w:w="1656"/>
            <w:vAlign w:val="top"/>
          </w:tcPr>
          <w:p>
            <w:r>
              <w:rPr>
                <w:sz w:val="14"/>
              </w:rPr>
            </w:r>
            <w:r>
              <w:rPr>
                <w:b w:val="0"/>
                <w:sz w:val="14"/>
              </w:rPr>
              <w:t>ResNet structural domain</w:t>
            </w:r>
          </w:p>
        </w:tc>
        <w:tc>
          <w:tcPr>
            <w:tcW w:type="dxa" w:w="1656"/>
            <w:vAlign w:val="top"/>
          </w:tcPr>
          <w:p>
            <w:r>
              <w:rPr>
                <w:sz w:val="14"/>
              </w:rPr>
            </w:r>
            <w:r>
              <w:rPr>
                <w:b w:val="0"/>
                <w:sz w:val="14"/>
              </w:rPr>
              <w:t>1</w:t>
            </w:r>
          </w:p>
        </w:tc>
        <w:tc>
          <w:tcPr>
            <w:tcW w:type="dxa" w:w="1656"/>
            <w:vAlign w:val="top"/>
          </w:tcPr>
          <w:p>
            <w:r>
              <w:rPr>
                <w:sz w:val="14"/>
              </w:rPr>
            </w:r>
            <w:r>
              <w:rPr>
                <w:b w:val="0"/>
                <w:sz w:val="14"/>
              </w:rPr>
              <w:t>planes, stride, expansion=1</w:t>
            </w:r>
          </w:p>
        </w:tc>
        <w:tc>
          <w:tcPr>
            <w:tcW w:type="dxa" w:w="1656"/>
            <w:vAlign w:val="top"/>
          </w:tcPr>
          <w:p>
            <w:r>
              <w:rPr>
                <w:sz w:val="14"/>
              </w:rPr>
            </w:r>
            <w:r>
              <w:rPr>
                <w:b w:val="0"/>
                <w:sz w:val="14"/>
              </w:rPr>
              <w:t>main/shortcut path contracts, residual shape check</w:t>
            </w:r>
          </w:p>
        </w:tc>
        <w:tc>
          <w:tcPr>
            <w:tcW w:type="dxa" w:w="1656"/>
            <w:vAlign w:val="top"/>
          </w:tcPr>
          <w:p>
            <w:r>
              <w:rPr>
                <w:sz w:val="14"/>
              </w:rPr>
            </w:r>
            <w:r>
              <w:rPr>
                <w:b w:val="0"/>
                <w:sz w:val="14"/>
              </w:rPr>
              <w:t>stage id, block id, torchvision import path</w:t>
            </w:r>
          </w:p>
        </w:tc>
      </w:tr>
      <w:tr>
        <w:trPr>
          <w:cantSplit/>
        </w:trPr>
        <w:tc>
          <w:tcPr>
            <w:tcW w:type="dxa" w:w="1656"/>
            <w:vAlign w:val="top"/>
          </w:tcPr>
          <w:p>
            <w:r>
              <w:rPr>
                <w:sz w:val="14"/>
              </w:rPr>
            </w:r>
            <w:r>
              <w:rPr>
                <w:b w:val="0"/>
                <w:sz w:val="14"/>
              </w:rPr>
              <w:t>cnn.resnet.bottleneck_block</w:t>
            </w:r>
          </w:p>
        </w:tc>
        <w:tc>
          <w:tcPr>
            <w:tcW w:type="dxa" w:w="1656"/>
            <w:vAlign w:val="top"/>
          </w:tcPr>
          <w:p>
            <w:r>
              <w:rPr>
                <w:sz w:val="14"/>
              </w:rPr>
            </w:r>
            <w:r>
              <w:rPr>
                <w:b w:val="0"/>
                <w:sz w:val="14"/>
              </w:rPr>
              <w:t>ResNet structural domain</w:t>
            </w:r>
          </w:p>
        </w:tc>
        <w:tc>
          <w:tcPr>
            <w:tcW w:type="dxa" w:w="1656"/>
            <w:vAlign w:val="top"/>
          </w:tcPr>
          <w:p>
            <w:r>
              <w:rPr>
                <w:sz w:val="14"/>
              </w:rPr>
            </w:r>
            <w:r>
              <w:rPr>
                <w:b w:val="0"/>
                <w:sz w:val="14"/>
              </w:rPr>
              <w:t>1</w:t>
            </w:r>
          </w:p>
        </w:tc>
        <w:tc>
          <w:tcPr>
            <w:tcW w:type="dxa" w:w="1656"/>
            <w:vAlign w:val="top"/>
          </w:tcPr>
          <w:p>
            <w:r>
              <w:rPr>
                <w:sz w:val="14"/>
              </w:rPr>
            </w:r>
            <w:r>
              <w:rPr>
                <w:b w:val="0"/>
                <w:sz w:val="14"/>
              </w:rPr>
              <w:t>planes, stride, groups, base_width, expansion=4, stride_placement</w:t>
            </w:r>
          </w:p>
        </w:tc>
        <w:tc>
          <w:tcPr>
            <w:tcW w:type="dxa" w:w="1656"/>
            <w:vAlign w:val="top"/>
          </w:tcPr>
          <w:p>
            <w:r>
              <w:rPr>
                <w:sz w:val="14"/>
              </w:rPr>
            </w:r>
            <w:r>
              <w:rPr>
                <w:b w:val="0"/>
                <w:sz w:val="14"/>
              </w:rPr>
              <w:t>bottleneck width, projection/downsample contract</w:t>
            </w:r>
          </w:p>
        </w:tc>
        <w:tc>
          <w:tcPr>
            <w:tcW w:type="dxa" w:w="1656"/>
            <w:vAlign w:val="top"/>
          </w:tcPr>
          <w:p>
            <w:r>
              <w:rPr>
                <w:sz w:val="14"/>
              </w:rPr>
            </w:r>
            <w:r>
              <w:rPr>
                <w:b w:val="0"/>
                <w:sz w:val="14"/>
              </w:rPr>
              <w:t>variant id, stage id, source block</w:t>
            </w:r>
          </w:p>
        </w:tc>
      </w:tr>
    </w:tbl>
    <w:p>
      <w:pPr/>
      <w:r>
        <w:t>The ResNet rule is source-derived: ONNX and framework operators provide the executable operator contracts, while the ResNet architecture provides the residual block, shortcut, stage, and classifier-head structure. DSC shall keep domain wrappers visible until image, feature-map, residual, and channel contracts are certified; only then may the domain op lower into common substrate ops and target kernels.</w:t>
      </w:r>
    </w:p>
    <w:p>
      <w:pPr>
        <w:pStyle w:val="Heading2"/>
      </w:pPr>
      <w:r>
        <w:t>6.7 Operation Categories</w:t>
      </w:r>
    </w:p>
    <w:p>
      <w:pPr/>
      <w:r>
        <w:t>A domain IR construct is not always an executable runtime action. The architecture shall classify IR constructs into categories so that imports, verifiers, passes, and lowerings can reason about them correctly.</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vAlign w:val="top"/>
            <w:shd w:fill="D9EAF7"/>
          </w:tcPr>
          <w:p>
            <w:pPr>
              <w:spacing w:after="40"/>
            </w:pPr>
            <w:r>
              <w:rPr>
                <w:b/>
                <w:sz w:val="15"/>
              </w:rPr>
              <w:t>Category</w:t>
            </w:r>
          </w:p>
        </w:tc>
        <w:tc>
          <w:tcPr>
            <w:tcW w:type="dxa" w:w="3312"/>
            <w:vAlign w:val="top"/>
            <w:shd w:fill="D9EAF7"/>
          </w:tcPr>
          <w:p>
            <w:pPr>
              <w:spacing w:after="40"/>
            </w:pPr>
            <w:r>
              <w:rPr>
                <w:b/>
                <w:sz w:val="15"/>
              </w:rPr>
              <w:t>Meaning</w:t>
            </w:r>
          </w:p>
        </w:tc>
        <w:tc>
          <w:tcPr>
            <w:tcW w:type="dxa" w:w="3312"/>
            <w:vAlign w:val="top"/>
            <w:shd w:fill="D9EAF7"/>
          </w:tcPr>
          <w:p>
            <w:pPr>
              <w:spacing w:after="40"/>
            </w:pPr>
            <w:r>
              <w:rPr>
                <w:b/>
                <w:sz w:val="15"/>
              </w:rPr>
              <w:t>Examples</w:t>
            </w:r>
          </w:p>
        </w:tc>
      </w:tr>
      <w:tr>
        <w:trPr>
          <w:cantSplit/>
        </w:trPr>
        <w:tc>
          <w:tcPr>
            <w:tcW w:type="dxa" w:w="3312"/>
            <w:vAlign w:val="top"/>
          </w:tcPr>
          <w:p>
            <w:pPr>
              <w:spacing w:after="40"/>
            </w:pPr>
            <w:r>
              <w:rPr>
                <w:b w:val="0"/>
                <w:sz w:val="15"/>
              </w:rPr>
              <w:t>Executable op</w:t>
            </w:r>
          </w:p>
        </w:tc>
        <w:tc>
          <w:tcPr>
            <w:tcW w:type="dxa" w:w="3312"/>
            <w:vAlign w:val="top"/>
          </w:tcPr>
          <w:p>
            <w:pPr>
              <w:spacing w:after="40"/>
            </w:pPr>
            <w:r>
              <w:rPr>
                <w:b w:val="0"/>
                <w:sz w:val="15"/>
              </w:rPr>
              <w:t>Performs dataflow or numerical computation.</w:t>
            </w:r>
          </w:p>
        </w:tc>
        <w:tc>
          <w:tcPr>
            <w:tcW w:type="dxa" w:w="3312"/>
            <w:vAlign w:val="top"/>
          </w:tcPr>
          <w:p>
            <w:pPr>
              <w:spacing w:after="40"/>
            </w:pPr>
            <w:r>
              <w:rPr>
                <w:b w:val="0"/>
                <w:sz w:val="15"/>
              </w:rPr>
              <w:t>common.matmul, common.add, cnn.conv2d, transformer.attention</w:t>
            </w:r>
          </w:p>
        </w:tc>
      </w:tr>
      <w:tr>
        <w:trPr>
          <w:cantSplit/>
        </w:trPr>
        <w:tc>
          <w:tcPr>
            <w:tcW w:type="dxa" w:w="3312"/>
            <w:vAlign w:val="top"/>
          </w:tcPr>
          <w:p>
            <w:pPr>
              <w:spacing w:after="40"/>
            </w:pPr>
            <w:r>
              <w:rPr>
                <w:b w:val="0"/>
                <w:sz w:val="15"/>
              </w:rPr>
              <w:t>Declaration op</w:t>
            </w:r>
          </w:p>
        </w:tc>
        <w:tc>
          <w:tcPr>
            <w:tcW w:type="dxa" w:w="3312"/>
            <w:vAlign w:val="top"/>
          </w:tcPr>
          <w:p>
            <w:pPr>
              <w:spacing w:after="40"/>
            </w:pPr>
            <w:r>
              <w:rPr>
                <w:b w:val="0"/>
                <w:sz w:val="15"/>
              </w:rPr>
              <w:t>Declares model boundary, structure, or tensor role without performing numerical computation.</w:t>
            </w:r>
          </w:p>
        </w:tc>
        <w:tc>
          <w:tcPr>
            <w:tcW w:type="dxa" w:w="3312"/>
            <w:vAlign w:val="top"/>
          </w:tcPr>
          <w:p>
            <w:pPr>
              <w:spacing w:after="40"/>
            </w:pPr>
            <w:r>
              <w:rPr>
                <w:b w:val="0"/>
                <w:sz w:val="15"/>
              </w:rPr>
              <w:t>common.model_input, cnn.input_image, transformer.input_tokens, common.output_logits</w:t>
            </w:r>
          </w:p>
        </w:tc>
      </w:tr>
      <w:tr>
        <w:trPr>
          <w:cantSplit/>
        </w:trPr>
        <w:tc>
          <w:tcPr>
            <w:tcW w:type="dxa" w:w="3312"/>
            <w:vAlign w:val="top"/>
          </w:tcPr>
          <w:p>
            <w:pPr>
              <w:spacing w:after="40"/>
            </w:pPr>
            <w:r>
              <w:rPr>
                <w:b w:val="0"/>
                <w:sz w:val="15"/>
              </w:rPr>
              <w:t>Contract op</w:t>
            </w:r>
          </w:p>
        </w:tc>
        <w:tc>
          <w:tcPr>
            <w:tcW w:type="dxa" w:w="3312"/>
            <w:vAlign w:val="top"/>
          </w:tcPr>
          <w:p>
            <w:pPr>
              <w:spacing w:after="40"/>
            </w:pPr>
            <w:r>
              <w:rPr>
                <w:b w:val="0"/>
                <w:sz w:val="15"/>
              </w:rPr>
              <w:t>Declares ABI, semantic, layout, state, or policy requirements.</w:t>
            </w:r>
          </w:p>
        </w:tc>
        <w:tc>
          <w:tcPr>
            <w:tcW w:type="dxa" w:w="3312"/>
            <w:vAlign w:val="top"/>
          </w:tcPr>
          <w:p>
            <w:pPr>
              <w:spacing w:after="40"/>
            </w:pPr>
            <w:r>
              <w:rPr>
                <w:b w:val="0"/>
                <w:sz w:val="15"/>
              </w:rPr>
              <w:t>cnn.preprocess_contract, transformer.tokenizer_contract, transformer.attention_contract</w:t>
            </w:r>
          </w:p>
        </w:tc>
      </w:tr>
      <w:tr>
        <w:trPr>
          <w:cantSplit/>
        </w:trPr>
        <w:tc>
          <w:tcPr>
            <w:tcW w:type="dxa" w:w="3312"/>
            <w:vAlign w:val="top"/>
          </w:tcPr>
          <w:p>
            <w:pPr>
              <w:spacing w:after="40"/>
            </w:pPr>
            <w:r>
              <w:rPr>
                <w:b w:val="0"/>
                <w:sz w:val="15"/>
              </w:rPr>
              <w:t>Verifier op</w:t>
            </w:r>
          </w:p>
        </w:tc>
        <w:tc>
          <w:tcPr>
            <w:tcW w:type="dxa" w:w="3312"/>
            <w:vAlign w:val="top"/>
          </w:tcPr>
          <w:p>
            <w:pPr>
              <w:spacing w:after="40"/>
            </w:pPr>
            <w:r>
              <w:rPr>
                <w:b w:val="0"/>
                <w:sz w:val="15"/>
              </w:rPr>
              <w:t>Represents a check that may lower into diagnostics or generated tests.</w:t>
            </w:r>
          </w:p>
        </w:tc>
        <w:tc>
          <w:tcPr>
            <w:tcW w:type="dxa" w:w="3312"/>
            <w:vAlign w:val="top"/>
          </w:tcPr>
          <w:p>
            <w:pPr>
              <w:spacing w:after="40"/>
            </w:pPr>
            <w:r>
              <w:rPr>
                <w:b w:val="0"/>
                <w:sz w:val="15"/>
              </w:rPr>
              <w:t>common.shape_assert, cnn.residual_shape_check, transformer.logprob_replay_check</w:t>
            </w:r>
          </w:p>
        </w:tc>
      </w:tr>
      <w:tr>
        <w:trPr>
          <w:cantSplit/>
        </w:trPr>
        <w:tc>
          <w:tcPr>
            <w:tcW w:type="dxa" w:w="3312"/>
            <w:vAlign w:val="top"/>
          </w:tcPr>
          <w:p>
            <w:pPr>
              <w:spacing w:after="40"/>
            </w:pPr>
            <w:r>
              <w:rPr>
                <w:b w:val="0"/>
                <w:sz w:val="15"/>
              </w:rPr>
              <w:t>Lowering-policy op</w:t>
            </w:r>
          </w:p>
        </w:tc>
        <w:tc>
          <w:tcPr>
            <w:tcW w:type="dxa" w:w="3312"/>
            <w:vAlign w:val="top"/>
          </w:tcPr>
          <w:p>
            <w:pPr>
              <w:spacing w:after="40"/>
            </w:pPr>
            <w:r>
              <w:rPr>
                <w:b w:val="0"/>
                <w:sz w:val="15"/>
              </w:rPr>
              <w:t>Represents compiler-control or target-selection policy rather than model semantics.</w:t>
            </w:r>
          </w:p>
        </w:tc>
        <w:tc>
          <w:tcPr>
            <w:tcW w:type="dxa" w:w="3312"/>
            <w:vAlign w:val="top"/>
          </w:tcPr>
          <w:p>
            <w:pPr>
              <w:spacing w:after="40"/>
            </w:pPr>
            <w:r>
              <w:rPr>
                <w:b w:val="0"/>
                <w:sz w:val="15"/>
              </w:rPr>
              <w:t>common.fusion_contract, cnn.conv_algorithm_choice, common.shape_bucket</w:t>
            </w:r>
          </w:p>
        </w:tc>
      </w:tr>
    </w:tbl>
    <w:p>
      <w:pPr>
        <w:pStyle w:val="Heading2"/>
      </w:pPr>
      <w:r>
        <w:t>6.8 Common Compiler Substrate Opcode Levels</w:t>
      </w:r>
    </w:p>
    <w:p>
      <w:pPr/>
      <w:r>
        <w:t>Common opcodes should be organized into levels. Lower levels are general compiler and tensor infrastructure. Higher levels express neural-network and runtime concepts that remain domain-neutral.</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vAlign w:val="top"/>
            <w:shd w:fill="D9EAF7"/>
          </w:tcPr>
          <w:p>
            <w:pPr>
              <w:spacing w:after="40"/>
            </w:pPr>
            <w:r>
              <w:rPr>
                <w:b/>
                <w:sz w:val="13"/>
              </w:rPr>
              <w:t>Level</w:t>
            </w:r>
          </w:p>
        </w:tc>
        <w:tc>
          <w:tcPr>
            <w:tcW w:type="dxa" w:w="3312"/>
            <w:vAlign w:val="top"/>
            <w:shd w:fill="D9EAF7"/>
          </w:tcPr>
          <w:p>
            <w:pPr>
              <w:spacing w:after="40"/>
            </w:pPr>
            <w:r>
              <w:rPr>
                <w:b/>
                <w:sz w:val="13"/>
              </w:rPr>
              <w:t>Substrate area</w:t>
            </w:r>
          </w:p>
        </w:tc>
        <w:tc>
          <w:tcPr>
            <w:tcW w:type="dxa" w:w="3312"/>
            <w:vAlign w:val="top"/>
            <w:shd w:fill="D9EAF7"/>
          </w:tcPr>
          <w:p>
            <w:pPr>
              <w:spacing w:after="40"/>
            </w:pPr>
            <w:r>
              <w:rPr>
                <w:b/>
                <w:sz w:val="13"/>
              </w:rPr>
              <w:t>Representative common opcodes</w:t>
            </w:r>
          </w:p>
        </w:tc>
      </w:tr>
      <w:tr>
        <w:trPr>
          <w:cantSplit/>
        </w:trPr>
        <w:tc>
          <w:tcPr>
            <w:tcW w:type="dxa" w:w="3312"/>
            <w:vAlign w:val="top"/>
          </w:tcPr>
          <w:p>
            <w:pPr>
              <w:spacing w:after="40"/>
            </w:pPr>
            <w:r>
              <w:rPr>
                <w:b w:val="0"/>
                <w:sz w:val="13"/>
              </w:rPr>
              <w:t>0</w:t>
            </w:r>
          </w:p>
        </w:tc>
        <w:tc>
          <w:tcPr>
            <w:tcW w:type="dxa" w:w="3312"/>
            <w:vAlign w:val="top"/>
          </w:tcPr>
          <w:p>
            <w:pPr>
              <w:spacing w:after="40"/>
            </w:pPr>
            <w:r>
              <w:rPr>
                <w:b w:val="0"/>
                <w:sz w:val="13"/>
              </w:rPr>
              <w:t>Core IR structure</w:t>
            </w:r>
          </w:p>
        </w:tc>
        <w:tc>
          <w:tcPr>
            <w:tcW w:type="dxa" w:w="3312"/>
            <w:vAlign w:val="top"/>
          </w:tcPr>
          <w:p>
            <w:pPr>
              <w:spacing w:after="40"/>
            </w:pPr>
            <w:r>
              <w:rPr>
                <w:b w:val="0"/>
                <w:sz w:val="13"/>
              </w:rPr>
              <w:t>common.module, common.function, common.region, common.call, common.return, common.constant, common.effect</w:t>
            </w:r>
          </w:p>
        </w:tc>
      </w:tr>
      <w:tr>
        <w:trPr>
          <w:cantSplit/>
        </w:trPr>
        <w:tc>
          <w:tcPr>
            <w:tcW w:type="dxa" w:w="3312"/>
            <w:vAlign w:val="top"/>
          </w:tcPr>
          <w:p>
            <w:pPr>
              <w:spacing w:after="40"/>
            </w:pPr>
            <w:r>
              <w:rPr>
                <w:b w:val="0"/>
                <w:sz w:val="13"/>
              </w:rPr>
              <w:t>1</w:t>
            </w:r>
          </w:p>
        </w:tc>
        <w:tc>
          <w:tcPr>
            <w:tcW w:type="dxa" w:w="3312"/>
            <w:vAlign w:val="top"/>
          </w:tcPr>
          <w:p>
            <w:pPr>
              <w:spacing w:after="40"/>
            </w:pPr>
            <w:r>
              <w:rPr>
                <w:b w:val="0"/>
                <w:sz w:val="13"/>
              </w:rPr>
              <w:t>Tensor, shape, and layout</w:t>
            </w:r>
          </w:p>
        </w:tc>
        <w:tc>
          <w:tcPr>
            <w:tcW w:type="dxa" w:w="3312"/>
            <w:vAlign w:val="top"/>
          </w:tcPr>
          <w:p>
            <w:pPr>
              <w:spacing w:after="40"/>
            </w:pPr>
            <w:r>
              <w:rPr>
                <w:b w:val="0"/>
                <w:sz w:val="13"/>
              </w:rPr>
              <w:t>common.tensor, common.shape_of, common.shape_formula, common.shape_assert, common.runtime_shape_guard, common.reshape, common.flatten, common.transpose, common.slice, common.concat, common.pad, common.layout_cast, common.contiguous</w:t>
            </w:r>
          </w:p>
        </w:tc>
      </w:tr>
      <w:tr>
        <w:trPr>
          <w:cantSplit/>
        </w:trPr>
        <w:tc>
          <w:tcPr>
            <w:tcW w:type="dxa" w:w="3312"/>
            <w:vAlign w:val="top"/>
          </w:tcPr>
          <w:p>
            <w:pPr>
              <w:spacing w:after="40"/>
            </w:pPr>
            <w:r>
              <w:rPr>
                <w:b w:val="0"/>
                <w:sz w:val="13"/>
              </w:rPr>
              <w:t>2</w:t>
            </w:r>
          </w:p>
        </w:tc>
        <w:tc>
          <w:tcPr>
            <w:tcW w:type="dxa" w:w="3312"/>
            <w:vAlign w:val="top"/>
          </w:tcPr>
          <w:p>
            <w:pPr>
              <w:spacing w:after="40"/>
            </w:pPr>
            <w:r>
              <w:rPr>
                <w:b w:val="0"/>
                <w:sz w:val="13"/>
              </w:rPr>
              <w:t>Numeric tensor ops</w:t>
            </w:r>
          </w:p>
        </w:tc>
        <w:tc>
          <w:tcPr>
            <w:tcW w:type="dxa" w:w="3312"/>
            <w:vAlign w:val="top"/>
          </w:tcPr>
          <w:p>
            <w:pPr>
              <w:spacing w:after="40"/>
            </w:pPr>
            <w:r>
              <w:rPr>
                <w:b w:val="0"/>
                <w:sz w:val="13"/>
              </w:rPr>
              <w:t>common.add, common.mul, common.bias_add, common.matmul, common.gemm, common.linear, common.activation, common.relu, common.gelu, common.silu, common.softmax, common.reduce, common.reduce_sum, common.reduce_mean, common.reduce_max, common.window_reduce</w:t>
            </w:r>
          </w:p>
        </w:tc>
      </w:tr>
      <w:tr>
        <w:trPr>
          <w:cantSplit/>
        </w:trPr>
        <w:tc>
          <w:tcPr>
            <w:tcW w:type="dxa" w:w="3312"/>
            <w:vAlign w:val="top"/>
          </w:tcPr>
          <w:p>
            <w:pPr>
              <w:spacing w:after="40"/>
            </w:pPr>
            <w:r>
              <w:rPr>
                <w:b w:val="0"/>
                <w:sz w:val="13"/>
              </w:rPr>
              <w:t>3</w:t>
            </w:r>
          </w:p>
        </w:tc>
        <w:tc>
          <w:tcPr>
            <w:tcW w:type="dxa" w:w="3312"/>
            <w:vAlign w:val="top"/>
          </w:tcPr>
          <w:p>
            <w:pPr>
              <w:spacing w:after="40"/>
            </w:pPr>
            <w:r>
              <w:rPr>
                <w:b w:val="0"/>
                <w:sz w:val="13"/>
              </w:rPr>
              <w:t>Neural-network common ops</w:t>
            </w:r>
          </w:p>
        </w:tc>
        <w:tc>
          <w:tcPr>
            <w:tcW w:type="dxa" w:w="3312"/>
            <w:vAlign w:val="top"/>
          </w:tcPr>
          <w:p>
            <w:pPr>
              <w:spacing w:after="40"/>
            </w:pPr>
            <w:r>
              <w:rPr>
                <w:b w:val="0"/>
                <w:sz w:val="13"/>
              </w:rPr>
              <w:t>common.model_input, common.model_output, common.output_logits, common.residual_add, common.residual_shape_check, common.normalization_base, common.fusion_group, common.fusion_contract, common.quantize, common.dequantize, common.requantize, common.quantization_contract</w:t>
            </w:r>
          </w:p>
        </w:tc>
      </w:tr>
      <w:tr>
        <w:trPr>
          <w:cantSplit/>
        </w:trPr>
        <w:tc>
          <w:tcPr>
            <w:tcW w:type="dxa" w:w="3312"/>
            <w:vAlign w:val="top"/>
          </w:tcPr>
          <w:p>
            <w:pPr>
              <w:spacing w:after="40"/>
            </w:pPr>
            <w:r>
              <w:rPr>
                <w:b w:val="0"/>
                <w:sz w:val="13"/>
              </w:rPr>
              <w:t>4</w:t>
            </w:r>
          </w:p>
        </w:tc>
        <w:tc>
          <w:tcPr>
            <w:tcW w:type="dxa" w:w="3312"/>
            <w:vAlign w:val="top"/>
          </w:tcPr>
          <w:p>
            <w:pPr>
              <w:spacing w:after="40"/>
            </w:pPr>
            <w:r>
              <w:rPr>
                <w:b w:val="0"/>
                <w:sz w:val="13"/>
              </w:rPr>
              <w:t>Parallel and runtime common ops</w:t>
            </w:r>
          </w:p>
        </w:tc>
        <w:tc>
          <w:tcPr>
            <w:tcW w:type="dxa" w:w="3312"/>
            <w:vAlign w:val="top"/>
          </w:tcPr>
          <w:p>
            <w:pPr>
              <w:spacing w:after="40"/>
            </w:pPr>
            <w:r>
              <w:rPr>
                <w:b w:val="0"/>
                <w:sz w:val="13"/>
              </w:rPr>
              <w:t>common.shard, common.reshard, common.dispatch, common.gather, common.scatter, common.reduce_scatter_intent, common.all_reduce_intent, common.all_gather_intent, common.all_to_all_intent, common.runtime_state_handle, common.runtime_guard, common.shape_bucket, common.kernel_variant</w:t>
            </w:r>
          </w:p>
        </w:tc>
      </w:tr>
    </w:tbl>
    <w:p>
      <w:pPr>
        <w:pStyle w:val="Heading2"/>
      </w:pPr>
      <w:r>
        <w:t>6.9 Domain Opcode Wrappers</w:t>
      </w:r>
    </w:p>
    <w:p>
      <w:pPr/>
      <w:r>
        <w:t>A promoted common operation may still be referenced through a domain wrapper when the domain needs additional ABI or gatekeeper metadata. The wrapper owns the domain contract; the promoted common op owns domain-neutral type, shape, effect, and lowering semantics.</w:t>
      </w:r>
    </w:p>
    <w:p>
      <w:pPr>
        <w:spacing w:before="40" w:after="100"/>
        <w:ind w:left="360"/>
      </w:pPr>
      <w:r>
        <w:rPr>
          <w:rFonts w:ascii="Courier New" w:hAnsi="Courier New" w:eastAsia="Courier New"/>
          <w:sz w:val="16"/>
        </w:rPr>
        <w:t>cnn.linear</w:t>
        <w:br/>
        <w:t xml:space="preserve">  wrapper_contract: classifier_head_input_dim, image_feature_layout</w:t>
        <w:br/>
        <w:t xml:space="preserve">  lowers_to: common.linear</w:t>
        <w:br/>
        <w:br/>
        <w:t>transformer.q_projection</w:t>
        <w:br/>
        <w:t xml:space="preserve">  wrapper_contract: checkpoint_tensor_mapping, tensor_parallel_shard_axis</w:t>
        <w:br/>
        <w:t xml:space="preserve">  lowers_to: common.linear</w:t>
      </w:r>
    </w:p>
    <w:p>
      <w:pPr>
        <w:pStyle w:val="Heading2"/>
      </w:pPr>
      <w:r>
        <w:t>6.10 Promotion Criteria</w:t>
      </w:r>
    </w:p>
    <w:p>
      <w:pPr/>
      <w:r>
        <w:t>A domain operation may be promoted to the Common Compiler Substrate only when its semantics remain domain-neutral after domain-specific contracts are stripped away.</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top"/>
            <w:shd w:fill="D9EAF7"/>
          </w:tcPr>
          <w:p>
            <w:pPr>
              <w:spacing w:after="40"/>
            </w:pPr>
            <w:r>
              <w:rPr>
                <w:b/>
                <w:sz w:val="15"/>
              </w:rPr>
              <w:t>Promotion criterion</w:t>
            </w:r>
          </w:p>
        </w:tc>
        <w:tc>
          <w:tcPr>
            <w:tcW w:type="dxa" w:w="4968"/>
            <w:vAlign w:val="top"/>
            <w:shd w:fill="D9EAF7"/>
          </w:tcPr>
          <w:p>
            <w:pPr>
              <w:spacing w:after="40"/>
            </w:pPr>
            <w:r>
              <w:rPr>
                <w:b/>
                <w:sz w:val="15"/>
              </w:rPr>
              <w:t>Required condition</w:t>
            </w:r>
          </w:p>
        </w:tc>
      </w:tr>
      <w:tr>
        <w:trPr>
          <w:cantSplit/>
        </w:trPr>
        <w:tc>
          <w:tcPr>
            <w:tcW w:type="dxa" w:w="4968"/>
            <w:vAlign w:val="top"/>
          </w:tcPr>
          <w:p>
            <w:pPr>
              <w:spacing w:after="40"/>
            </w:pPr>
            <w:r>
              <w:rPr>
                <w:b w:val="0"/>
                <w:sz w:val="15"/>
              </w:rPr>
              <w:t>Cross-domain evidence</w:t>
            </w:r>
          </w:p>
        </w:tc>
        <w:tc>
          <w:tcPr>
            <w:tcW w:type="dxa" w:w="4968"/>
            <w:vAlign w:val="top"/>
          </w:tcPr>
          <w:p>
            <w:pPr>
              <w:spacing w:after="40"/>
            </w:pPr>
            <w:r>
              <w:rPr>
                <w:b w:val="0"/>
                <w:sz w:val="15"/>
              </w:rPr>
              <w:t>The construct appears in at least two independent domains or is demonstrably domain-neutral.</w:t>
            </w:r>
          </w:p>
        </w:tc>
      </w:tr>
      <w:tr>
        <w:trPr>
          <w:cantSplit/>
        </w:trPr>
        <w:tc>
          <w:tcPr>
            <w:tcW w:type="dxa" w:w="4968"/>
            <w:vAlign w:val="top"/>
          </w:tcPr>
          <w:p>
            <w:pPr>
              <w:spacing w:after="40"/>
            </w:pPr>
            <w:r>
              <w:rPr>
                <w:b w:val="0"/>
                <w:sz w:val="15"/>
              </w:rPr>
              <w:t>Domain-neutral semantics</w:t>
            </w:r>
          </w:p>
        </w:tc>
        <w:tc>
          <w:tcPr>
            <w:tcW w:type="dxa" w:w="4968"/>
            <w:vAlign w:val="top"/>
          </w:tcPr>
          <w:p>
            <w:pPr>
              <w:spacing w:after="40"/>
            </w:pPr>
            <w:r>
              <w:rPr>
                <w:b w:val="0"/>
                <w:sz w:val="15"/>
              </w:rPr>
              <w:t>Observable behavior can be specified without domain vocabulary.</w:t>
            </w:r>
          </w:p>
        </w:tc>
      </w:tr>
      <w:tr>
        <w:trPr>
          <w:cantSplit/>
        </w:trPr>
        <w:tc>
          <w:tcPr>
            <w:tcW w:type="dxa" w:w="4968"/>
            <w:vAlign w:val="top"/>
          </w:tcPr>
          <w:p>
            <w:pPr>
              <w:spacing w:after="40"/>
            </w:pPr>
            <w:r>
              <w:rPr>
                <w:b w:val="0"/>
                <w:sz w:val="15"/>
              </w:rPr>
              <w:t>Trait neutrality</w:t>
            </w:r>
          </w:p>
        </w:tc>
        <w:tc>
          <w:tcPr>
            <w:tcW w:type="dxa" w:w="4968"/>
            <w:vAlign w:val="top"/>
          </w:tcPr>
          <w:p>
            <w:pPr>
              <w:spacing w:after="40"/>
            </w:pPr>
            <w:r>
              <w:rPr>
                <w:b w:val="0"/>
                <w:sz w:val="15"/>
              </w:rPr>
              <w:t>Required tensor traits are not tied to one domain ABI.</w:t>
            </w:r>
          </w:p>
        </w:tc>
      </w:tr>
      <w:tr>
        <w:trPr>
          <w:cantSplit/>
        </w:trPr>
        <w:tc>
          <w:tcPr>
            <w:tcW w:type="dxa" w:w="4968"/>
            <w:vAlign w:val="top"/>
          </w:tcPr>
          <w:p>
            <w:pPr>
              <w:spacing w:after="40"/>
            </w:pPr>
            <w:r>
              <w:rPr>
                <w:b w:val="0"/>
                <w:sz w:val="15"/>
              </w:rPr>
              <w:t>Shape expressibility</w:t>
            </w:r>
          </w:p>
        </w:tc>
        <w:tc>
          <w:tcPr>
            <w:tcW w:type="dxa" w:w="4968"/>
            <w:vAlign w:val="top"/>
          </w:tcPr>
          <w:p>
            <w:pPr>
              <w:spacing w:after="40"/>
            </w:pPr>
            <w:r>
              <w:rPr>
                <w:b w:val="0"/>
                <w:sz w:val="15"/>
              </w:rPr>
              <w:t>Shape rules are expressible through TensorShapeDescriptor and ShapeConstraintIR.</w:t>
            </w:r>
          </w:p>
        </w:tc>
      </w:tr>
      <w:tr>
        <w:trPr>
          <w:cantSplit/>
        </w:trPr>
        <w:tc>
          <w:tcPr>
            <w:tcW w:type="dxa" w:w="4968"/>
            <w:vAlign w:val="top"/>
          </w:tcPr>
          <w:p>
            <w:pPr>
              <w:spacing w:after="40"/>
            </w:pPr>
            <w:r>
              <w:rPr>
                <w:b w:val="0"/>
                <w:sz w:val="15"/>
              </w:rPr>
              <w:t>Effect expressibility</w:t>
            </w:r>
          </w:p>
        </w:tc>
        <w:tc>
          <w:tcPr>
            <w:tcW w:type="dxa" w:w="4968"/>
            <w:vAlign w:val="top"/>
          </w:tcPr>
          <w:p>
            <w:pPr>
              <w:spacing w:after="40"/>
            </w:pPr>
            <w:r>
              <w:rPr>
                <w:b w:val="0"/>
                <w:sz w:val="15"/>
              </w:rPr>
              <w:t>Side effects are absent or expressible through common EffectIR.</w:t>
            </w:r>
          </w:p>
        </w:tc>
      </w:tr>
      <w:tr>
        <w:trPr>
          <w:cantSplit/>
        </w:trPr>
        <w:tc>
          <w:tcPr>
            <w:tcW w:type="dxa" w:w="4968"/>
            <w:vAlign w:val="top"/>
          </w:tcPr>
          <w:p>
            <w:pPr>
              <w:spacing w:after="40"/>
            </w:pPr>
            <w:r>
              <w:rPr>
                <w:b w:val="0"/>
                <w:sz w:val="15"/>
              </w:rPr>
              <w:t>Lowering reuse</w:t>
            </w:r>
          </w:p>
        </w:tc>
        <w:tc>
          <w:tcPr>
            <w:tcW w:type="dxa" w:w="4968"/>
            <w:vAlign w:val="top"/>
          </w:tcPr>
          <w:p>
            <w:pPr>
              <w:spacing w:after="40"/>
            </w:pPr>
            <w:r>
              <w:rPr>
                <w:b w:val="0"/>
                <w:sz w:val="15"/>
              </w:rPr>
              <w:t>The lowering can be shared across multiple backends or target families.</w:t>
            </w:r>
          </w:p>
        </w:tc>
      </w:tr>
      <w:tr>
        <w:trPr>
          <w:cantSplit/>
        </w:trPr>
        <w:tc>
          <w:tcPr>
            <w:tcW w:type="dxa" w:w="4968"/>
            <w:vAlign w:val="top"/>
          </w:tcPr>
          <w:p>
            <w:pPr>
              <w:spacing w:after="40"/>
            </w:pPr>
            <w:r>
              <w:rPr>
                <w:b w:val="0"/>
                <w:sz w:val="15"/>
              </w:rPr>
              <w:t>Wrapper compatibility</w:t>
            </w:r>
          </w:p>
        </w:tc>
        <w:tc>
          <w:tcPr>
            <w:tcW w:type="dxa" w:w="4968"/>
            <w:vAlign w:val="top"/>
          </w:tcPr>
          <w:p>
            <w:pPr>
              <w:spacing w:after="40"/>
            </w:pPr>
            <w:r>
              <w:rPr>
                <w:b w:val="0"/>
                <w:sz w:val="15"/>
              </w:rPr>
              <w:t>Domain-specific contracts can wrap the op rather than redefine it.</w:t>
            </w:r>
          </w:p>
        </w:tc>
      </w:tr>
      <w:tr>
        <w:trPr>
          <w:cantSplit/>
        </w:trPr>
        <w:tc>
          <w:tcPr>
            <w:tcW w:type="dxa" w:w="4968"/>
            <w:vAlign w:val="top"/>
          </w:tcPr>
          <w:p>
            <w:pPr>
              <w:spacing w:after="40"/>
            </w:pPr>
            <w:r>
              <w:rPr>
                <w:b w:val="0"/>
                <w:sz w:val="15"/>
              </w:rPr>
              <w:t>Gatekeeper preservation</w:t>
            </w:r>
          </w:p>
        </w:tc>
        <w:tc>
          <w:tcPr>
            <w:tcW w:type="dxa" w:w="4968"/>
            <w:vAlign w:val="top"/>
          </w:tcPr>
          <w:p>
            <w:pPr>
              <w:spacing w:after="40"/>
            </w:pPr>
            <w:r>
              <w:rPr>
                <w:b w:val="0"/>
                <w:sz w:val="15"/>
              </w:rPr>
              <w:t>Promotion does not hide any compatibility check required by a domain gatekeeper.</w:t>
            </w:r>
          </w:p>
        </w:tc>
      </w:tr>
    </w:tbl>
    <w:p>
      <w:pPr>
        <w:pStyle w:val="Heading2"/>
      </w:pPr>
      <w:r>
        <w:t>6.11 Non-Promotion Criteria</w:t>
      </w:r>
    </w:p>
    <w:p>
      <w:pPr/>
      <w:r>
        <w:t>An operation shall remain domain-specific when promotion would erase domain meaning or hide a verifier-relevant distinction.</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top"/>
            <w:shd w:fill="D9EAF7"/>
          </w:tcPr>
          <w:p>
            <w:pPr>
              <w:spacing w:after="40"/>
            </w:pPr>
            <w:r>
              <w:rPr>
                <w:b/>
                <w:sz w:val="15"/>
              </w:rPr>
              <w:t>Do not promote if</w:t>
            </w:r>
          </w:p>
        </w:tc>
        <w:tc>
          <w:tcPr>
            <w:tcW w:type="dxa" w:w="4968"/>
            <w:vAlign w:val="top"/>
            <w:shd w:fill="D9EAF7"/>
          </w:tcPr>
          <w:p>
            <w:pPr>
              <w:spacing w:after="40"/>
            </w:pPr>
            <w:r>
              <w:rPr>
                <w:b/>
                <w:sz w:val="15"/>
              </w:rPr>
              <w:t>Example</w:t>
            </w:r>
          </w:p>
        </w:tc>
      </w:tr>
      <w:tr>
        <w:trPr>
          <w:cantSplit/>
        </w:trPr>
        <w:tc>
          <w:tcPr>
            <w:tcW w:type="dxa" w:w="4968"/>
            <w:vAlign w:val="top"/>
          </w:tcPr>
          <w:p>
            <w:pPr>
              <w:spacing w:after="40"/>
            </w:pPr>
            <w:r>
              <w:rPr>
                <w:b w:val="0"/>
                <w:sz w:val="15"/>
              </w:rPr>
              <w:t>The op carries domain-specific ABI meaning.</w:t>
            </w:r>
          </w:p>
        </w:tc>
        <w:tc>
          <w:tcPr>
            <w:tcW w:type="dxa" w:w="4968"/>
            <w:vAlign w:val="top"/>
          </w:tcPr>
          <w:p>
            <w:pPr>
              <w:spacing w:after="40"/>
            </w:pPr>
            <w:r>
              <w:rPr>
                <w:b w:val="0"/>
                <w:sz w:val="15"/>
              </w:rPr>
              <w:t>cnn.preprocess_contract, transformer.tokenizer_contract</w:t>
            </w:r>
          </w:p>
        </w:tc>
      </w:tr>
      <w:tr>
        <w:trPr>
          <w:cantSplit/>
        </w:trPr>
        <w:tc>
          <w:tcPr>
            <w:tcW w:type="dxa" w:w="4968"/>
            <w:vAlign w:val="top"/>
          </w:tcPr>
          <w:p>
            <w:pPr>
              <w:spacing w:after="40"/>
            </w:pPr>
            <w:r>
              <w:rPr>
                <w:b w:val="0"/>
                <w:sz w:val="15"/>
              </w:rPr>
              <w:t>Correctness depends on domain-specific runtime state.</w:t>
            </w:r>
          </w:p>
        </w:tc>
        <w:tc>
          <w:tcPr>
            <w:tcW w:type="dxa" w:w="4968"/>
            <w:vAlign w:val="top"/>
          </w:tcPr>
          <w:p>
            <w:pPr>
              <w:spacing w:after="40"/>
            </w:pPr>
            <w:r>
              <w:rPr>
                <w:b w:val="0"/>
                <w:sz w:val="15"/>
              </w:rPr>
              <w:t>transformer.kv_cache_append, transformer.linear_state_update</w:t>
            </w:r>
          </w:p>
        </w:tc>
      </w:tr>
      <w:tr>
        <w:trPr>
          <w:cantSplit/>
        </w:trPr>
        <w:tc>
          <w:tcPr>
            <w:tcW w:type="dxa" w:w="4968"/>
            <w:vAlign w:val="top"/>
          </w:tcPr>
          <w:p>
            <w:pPr>
              <w:spacing w:after="40"/>
            </w:pPr>
            <w:r>
              <w:rPr>
                <w:b w:val="0"/>
                <w:sz w:val="15"/>
              </w:rPr>
              <w:t>The shape formula depends on domain-specific interpretation.</w:t>
            </w:r>
          </w:p>
        </w:tc>
        <w:tc>
          <w:tcPr>
            <w:tcW w:type="dxa" w:w="4968"/>
            <w:vAlign w:val="top"/>
          </w:tcPr>
          <w:p>
            <w:pPr>
              <w:spacing w:after="40"/>
            </w:pPr>
            <w:r>
              <w:rPr>
                <w:b w:val="0"/>
                <w:sz w:val="15"/>
              </w:rPr>
              <w:t>cnn.conv2d padding/stride/dilation; transformer.attention mask/position semantics</w:t>
            </w:r>
          </w:p>
        </w:tc>
      </w:tr>
      <w:tr>
        <w:trPr>
          <w:cantSplit/>
        </w:trPr>
        <w:tc>
          <w:tcPr>
            <w:tcW w:type="dxa" w:w="4968"/>
            <w:vAlign w:val="top"/>
          </w:tcPr>
          <w:p>
            <w:pPr>
              <w:spacing w:after="40"/>
            </w:pPr>
            <w:r>
              <w:rPr>
                <w:b w:val="0"/>
                <w:sz w:val="15"/>
              </w:rPr>
              <w:t>The op requires domain-specific conformance tests.</w:t>
            </w:r>
          </w:p>
        </w:tc>
        <w:tc>
          <w:tcPr>
            <w:tcW w:type="dxa" w:w="4968"/>
            <w:vAlign w:val="top"/>
          </w:tcPr>
          <w:p>
            <w:pPr>
              <w:spacing w:after="40"/>
            </w:pPr>
            <w:r>
              <w:rPr>
                <w:b w:val="0"/>
                <w:sz w:val="15"/>
              </w:rPr>
              <w:t>cnn.halo_exchange, transformer.logprob_replay</w:t>
            </w:r>
          </w:p>
        </w:tc>
      </w:tr>
      <w:tr>
        <w:trPr>
          <w:cantSplit/>
        </w:trPr>
        <w:tc>
          <w:tcPr>
            <w:tcW w:type="dxa" w:w="4968"/>
            <w:vAlign w:val="top"/>
          </w:tcPr>
          <w:p>
            <w:pPr>
              <w:spacing w:after="40"/>
            </w:pPr>
            <w:r>
              <w:rPr>
                <w:b w:val="0"/>
                <w:sz w:val="15"/>
              </w:rPr>
              <w:t>Promotion would hide a gatekeeper check.</w:t>
            </w:r>
          </w:p>
        </w:tc>
        <w:tc>
          <w:tcPr>
            <w:tcW w:type="dxa" w:w="4968"/>
            <w:vAlign w:val="top"/>
          </w:tcPr>
          <w:p>
            <w:pPr>
              <w:spacing w:after="40"/>
            </w:pPr>
            <w:r>
              <w:rPr>
                <w:b w:val="0"/>
                <w:sz w:val="15"/>
              </w:rPr>
              <w:t>cnn.conv2d lowered before padding/layout verification; transformer.attention lowered before attention contract verification</w:t>
            </w:r>
          </w:p>
        </w:tc>
      </w:tr>
      <w:tr>
        <w:trPr>
          <w:cantSplit/>
        </w:trPr>
        <w:tc>
          <w:tcPr>
            <w:tcW w:type="dxa" w:w="4968"/>
            <w:vAlign w:val="top"/>
          </w:tcPr>
          <w:p>
            <w:pPr>
              <w:spacing w:after="40"/>
            </w:pPr>
            <w:r>
              <w:rPr>
                <w:b w:val="0"/>
                <w:sz w:val="15"/>
              </w:rPr>
              <w:t>Implementation similarity does not imply semantic equivalence.</w:t>
            </w:r>
          </w:p>
        </w:tc>
        <w:tc>
          <w:tcPr>
            <w:tcW w:type="dxa" w:w="4968"/>
            <w:vAlign w:val="top"/>
          </w:tcPr>
          <w:p>
            <w:pPr>
              <w:spacing w:after="40"/>
            </w:pPr>
            <w:r>
              <w:rPr>
                <w:b w:val="0"/>
                <w:sz w:val="15"/>
              </w:rPr>
              <w:t>CNN group convolution and Transformer MoE grouped execution</w:t>
            </w:r>
          </w:p>
        </w:tc>
      </w:tr>
    </w:tbl>
    <w:p>
      <w:pPr>
        <w:pStyle w:val="Heading2"/>
      </w:pPr>
      <w:r>
        <w:t>6.12 Partial Promotion</w:t>
      </w:r>
    </w:p>
    <w:p>
      <w:pPr/>
      <w:r>
        <w:t>Partial promotion is the preferred mechanism for semantically rich domain operations. A domain op remains visible for verification, then lowers into common operations after its domain contract is certified.</w:t>
      </w:r>
    </w:p>
    <w:p>
      <w:pPr>
        <w:spacing w:before="40" w:after="100"/>
        <w:ind w:left="360"/>
      </w:pPr>
      <w:r>
        <w:rPr>
          <w:rFonts w:ascii="Courier New" w:hAnsi="Courier New" w:eastAsia="Courier New"/>
          <w:sz w:val="16"/>
        </w:rPr>
        <w:t>cnn.conv2d</w:t>
        <w:br/>
        <w:t xml:space="preserve">  verify: padding, stride, dilation, image layout, groups</w:t>
        <w:br/>
        <w:t xml:space="preserve">  lower: common.windowed_contraction -&gt; common.matmul_like/common.gemm -&gt; target kernel</w:t>
        <w:br/>
        <w:br/>
        <w:t>transformer.attention</w:t>
        <w:br/>
        <w:t xml:space="preserve">  verify: mask, position encoding, head layout, runtime-state ABI</w:t>
        <w:br/>
        <w:t xml:space="preserve">  lower: common.matmul -&gt; common.softmax -&gt; common.matmul -&gt; runtime-state update</w:t>
        <w:br/>
        <w:br/>
        <w:t>cnn.pool2d</w:t>
        <w:br/>
        <w:t xml:space="preserve">  verify: window, padding, ceil/floor behavior</w:t>
        <w:br/>
        <w:t xml:space="preserve">  lower: common.window_reduce</w:t>
        <w:br/>
        <w:br/>
        <w:t>transformer.rms_norm / transformer.layer_norm</w:t>
        <w:br/>
        <w:t xml:space="preserve">  verify: norm axis, epsilon, checkpoint mapping</w:t>
        <w:br/>
        <w:t xml:space="preserve">  lower: common.normalization_base</w:t>
      </w:r>
    </w:p>
    <w:p>
      <w:pPr>
        <w:pStyle w:val="Heading2"/>
      </w:pPr>
      <w:r>
        <w:t>6.13 Promotion Registry and Versioning</w:t>
      </w:r>
    </w:p>
    <w:p>
      <w:pPr/>
      <w:r>
        <w:t>Promotion shall be explicit and versioned. The promotion registry records source domain ops, promoted common op, required common semantics, retained domain wrappers, diagnostics, and compatibility version. This prevents silent changes when a common op evolves.</w:t>
      </w:r>
    </w:p>
    <w:p>
      <w:pPr>
        <w:spacing w:before="40" w:after="100"/>
        <w:ind w:left="360"/>
      </w:pPr>
      <w:r>
        <w:rPr>
          <w:rFonts w:ascii="Courier New" w:hAnsi="Courier New" w:eastAsia="Courier New"/>
          <w:sz w:val="16"/>
        </w:rPr>
        <w:t>op_promotion:</w:t>
        <w:br/>
        <w:t xml:space="preserve">  source_ops:</w:t>
        <w:br/>
        <w:t xml:space="preserve">    - cnn.residual_add</w:t>
        <w:br/>
        <w:t xml:space="preserve">    - transformer.residual_add</w:t>
        <w:br/>
        <w:t xml:space="preserve">  promoted_op: common.residual_add</w:t>
        <w:br/>
        <w:t xml:space="preserve">  required_common_semantics:</w:t>
        <w:br/>
        <w:t xml:space="preserve">    - same_logical_shape_or_declared_projection</w:t>
        <w:br/>
        <w:t xml:space="preserve">    - same_dtype_or_declared_cast</w:t>
        <w:br/>
        <w:t xml:space="preserve">    - elementwise_add</w:t>
        <w:br/>
        <w:t xml:space="preserve">    - residual_lineage_preserved</w:t>
        <w:br/>
        <w:t xml:space="preserve">  domain_wrappers:</w:t>
        <w:br/>
        <w:t xml:space="preserve">    cnn.residual_add: [residual_block_contract]</w:t>
        <w:br/>
        <w:t xml:space="preserve">    transformer.residual_add: [transformer_block_contract]</w:t>
        <w:br/>
        <w:t xml:space="preserve">  version: common.residual_add.v1</w:t>
      </w:r>
    </w:p>
    <w:p>
      <w:pPr>
        <w:pStyle w:val="Heading2"/>
      </w:pPr>
      <w:r>
        <w:t>6.14 Promotion Diagnostics</w:t>
      </w:r>
    </w:p>
    <w:p>
      <w:pPr/>
      <w:r>
        <w:t>Promotion failures should use stable diagnostics so that domain authors know whether an op should stay domain-specific, be partially promoted, or be promoted with wrappers.</w:t>
      </w:r>
    </w:p>
    <w:p>
      <w:pPr>
        <w:spacing w:before="40" w:after="100"/>
        <w:ind w:left="360"/>
      </w:pPr>
      <w:r>
        <w:rPr>
          <w:rFonts w:ascii="Courier New" w:hAnsi="Courier New" w:eastAsia="Courier New"/>
          <w:sz w:val="16"/>
        </w:rPr>
        <w:t>CPROM-001 PromotionCandidateMissingCrossDomainEvidence</w:t>
        <w:br/>
        <w:t>CPROM-002 DomainSpecificSemanticLeak</w:t>
        <w:br/>
        <w:t>CPROM-003 PromotedOpMissingShapeFormula</w:t>
        <w:br/>
        <w:t>CPROM-004 PromotedOpMissingEffectModel</w:t>
        <w:br/>
        <w:t>CPROM-005 DomainWrapperRequired</w:t>
        <w:br/>
        <w:t>CPROM-006 PromotionWouldHideGatekeeperCheck</w:t>
        <w:br/>
        <w:t>CPROM-007 LoweringConflictAcrossDomains</w:t>
        <w:br/>
        <w:t>CPROM-008 TraitMismatchAcrossPromotionSources</w:t>
        <w:br/>
        <w:t>CPROM-009 CommonOpVersionMismatch</w:t>
        <w:br/>
        <w:t>CPROM-010 DomainWrapperMissingAfterPromotion</w:t>
      </w:r>
    </w:p>
    <w:p>
      <w:pPr>
        <w:pStyle w:val="Heading2"/>
      </w:pPr>
      <w:r>
        <w:t>6.15 Examples Across ResNet/CNN and Transformer</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vAlign w:val="top"/>
            <w:shd w:fill="D9EAF7"/>
          </w:tcPr>
          <w:p>
            <w:pPr>
              <w:spacing w:after="40"/>
            </w:pPr>
            <w:r>
              <w:rPr>
                <w:b/>
                <w:sz w:val="15"/>
              </w:rPr>
              <w:t>CNN construct</w:t>
            </w:r>
          </w:p>
        </w:tc>
        <w:tc>
          <w:tcPr>
            <w:tcW w:type="dxa" w:w="3312"/>
            <w:vAlign w:val="top"/>
            <w:shd w:fill="D9EAF7"/>
          </w:tcPr>
          <w:p>
            <w:pPr>
              <w:spacing w:after="40"/>
            </w:pPr>
            <w:r>
              <w:rPr>
                <w:b/>
                <w:sz w:val="15"/>
              </w:rPr>
              <w:t>Transformer construct</w:t>
            </w:r>
          </w:p>
        </w:tc>
        <w:tc>
          <w:tcPr>
            <w:tcW w:type="dxa" w:w="3312"/>
            <w:vAlign w:val="top"/>
            <w:shd w:fill="D9EAF7"/>
          </w:tcPr>
          <w:p>
            <w:pPr>
              <w:spacing w:after="40"/>
            </w:pPr>
            <w:r>
              <w:rPr>
                <w:b/>
                <w:sz w:val="15"/>
              </w:rPr>
              <w:t>Promotion decision</w:t>
            </w:r>
          </w:p>
        </w:tc>
      </w:tr>
      <w:tr>
        <w:trPr>
          <w:cantSplit/>
        </w:trPr>
        <w:tc>
          <w:tcPr>
            <w:tcW w:type="dxa" w:w="3312"/>
            <w:vAlign w:val="top"/>
          </w:tcPr>
          <w:p>
            <w:pPr>
              <w:spacing w:after="40"/>
            </w:pPr>
            <w:r>
              <w:rPr>
                <w:b w:val="0"/>
                <w:sz w:val="15"/>
              </w:rPr>
              <w:t>cnn.linear</w:t>
            </w:r>
          </w:p>
        </w:tc>
        <w:tc>
          <w:tcPr>
            <w:tcW w:type="dxa" w:w="3312"/>
            <w:vAlign w:val="top"/>
          </w:tcPr>
          <w:p>
            <w:pPr>
              <w:spacing w:after="40"/>
            </w:pPr>
            <w:r>
              <w:rPr>
                <w:b w:val="0"/>
                <w:sz w:val="15"/>
              </w:rPr>
              <w:t>transformer.linear / q_proj / mlp projections</w:t>
            </w:r>
          </w:p>
        </w:tc>
        <w:tc>
          <w:tcPr>
            <w:tcW w:type="dxa" w:w="3312"/>
            <w:vAlign w:val="top"/>
          </w:tcPr>
          <w:p>
            <w:pPr>
              <w:spacing w:after="40"/>
            </w:pPr>
            <w:r>
              <w:rPr>
                <w:b w:val="0"/>
                <w:sz w:val="15"/>
              </w:rPr>
              <w:t>Promote common.linear; keep domain wrappers for head or checkpoint semantics.</w:t>
            </w:r>
          </w:p>
        </w:tc>
      </w:tr>
      <w:tr>
        <w:trPr>
          <w:cantSplit/>
        </w:trPr>
        <w:tc>
          <w:tcPr>
            <w:tcW w:type="dxa" w:w="3312"/>
            <w:vAlign w:val="top"/>
          </w:tcPr>
          <w:p>
            <w:pPr>
              <w:spacing w:after="40"/>
            </w:pPr>
            <w:r>
              <w:rPr>
                <w:b w:val="0"/>
                <w:sz w:val="15"/>
              </w:rPr>
              <w:t>cnn.residual_add</w:t>
            </w:r>
          </w:p>
        </w:tc>
        <w:tc>
          <w:tcPr>
            <w:tcW w:type="dxa" w:w="3312"/>
            <w:vAlign w:val="top"/>
          </w:tcPr>
          <w:p>
            <w:pPr>
              <w:spacing w:after="40"/>
            </w:pPr>
            <w:r>
              <w:rPr>
                <w:b w:val="0"/>
                <w:sz w:val="15"/>
              </w:rPr>
              <w:t>transformer.residual_add</w:t>
            </w:r>
          </w:p>
        </w:tc>
        <w:tc>
          <w:tcPr>
            <w:tcW w:type="dxa" w:w="3312"/>
            <w:vAlign w:val="top"/>
          </w:tcPr>
          <w:p>
            <w:pPr>
              <w:spacing w:after="40"/>
            </w:pPr>
            <w:r>
              <w:rPr>
                <w:b w:val="0"/>
                <w:sz w:val="15"/>
              </w:rPr>
              <w:t>Promote common.residual_add with residual lineage and shape checks.</w:t>
            </w:r>
          </w:p>
        </w:tc>
      </w:tr>
      <w:tr>
        <w:trPr>
          <w:cantSplit/>
        </w:trPr>
        <w:tc>
          <w:tcPr>
            <w:tcW w:type="dxa" w:w="3312"/>
            <w:vAlign w:val="top"/>
          </w:tcPr>
          <w:p>
            <w:pPr>
              <w:spacing w:after="40"/>
            </w:pPr>
            <w:r>
              <w:rPr>
                <w:b w:val="0"/>
                <w:sz w:val="15"/>
              </w:rPr>
              <w:t>cnn.layout_cast</w:t>
            </w:r>
          </w:p>
        </w:tc>
        <w:tc>
          <w:tcPr>
            <w:tcW w:type="dxa" w:w="3312"/>
            <w:vAlign w:val="top"/>
          </w:tcPr>
          <w:p>
            <w:pPr>
              <w:spacing w:after="40"/>
            </w:pPr>
            <w:r>
              <w:rPr>
                <w:b w:val="0"/>
                <w:sz w:val="15"/>
              </w:rPr>
              <w:t>transformer.layout_cast</w:t>
            </w:r>
          </w:p>
        </w:tc>
        <w:tc>
          <w:tcPr>
            <w:tcW w:type="dxa" w:w="3312"/>
            <w:vAlign w:val="top"/>
          </w:tcPr>
          <w:p>
            <w:pPr>
              <w:spacing w:after="40"/>
            </w:pPr>
            <w:r>
              <w:rPr>
                <w:b w:val="0"/>
                <w:sz w:val="15"/>
              </w:rPr>
              <w:t>Promote common.layout_cast; preserve domain layout contracts.</w:t>
            </w:r>
          </w:p>
        </w:tc>
      </w:tr>
      <w:tr>
        <w:trPr>
          <w:cantSplit/>
        </w:trPr>
        <w:tc>
          <w:tcPr>
            <w:tcW w:type="dxa" w:w="3312"/>
            <w:vAlign w:val="top"/>
          </w:tcPr>
          <w:p>
            <w:pPr>
              <w:spacing w:after="40"/>
            </w:pPr>
            <w:r>
              <w:rPr>
                <w:b w:val="0"/>
                <w:sz w:val="15"/>
              </w:rPr>
              <w:t>cnn.conv2d</w:t>
            </w:r>
          </w:p>
        </w:tc>
        <w:tc>
          <w:tcPr>
            <w:tcW w:type="dxa" w:w="3312"/>
            <w:vAlign w:val="top"/>
          </w:tcPr>
          <w:p>
            <w:pPr>
              <w:spacing w:after="40"/>
            </w:pPr>
            <w:r>
              <w:rPr>
                <w:b w:val="0"/>
                <w:sz w:val="15"/>
              </w:rPr>
              <w:t>transformer.attention</w:t>
            </w:r>
          </w:p>
        </w:tc>
        <w:tc>
          <w:tcPr>
            <w:tcW w:type="dxa" w:w="3312"/>
            <w:vAlign w:val="top"/>
          </w:tcPr>
          <w:p>
            <w:pPr>
              <w:spacing w:after="40"/>
            </w:pPr>
            <w:r>
              <w:rPr>
                <w:b w:val="0"/>
                <w:sz w:val="15"/>
              </w:rPr>
              <w:t>Do not fully promote; partially lower to common tensor contractions after verification.</w:t>
            </w:r>
          </w:p>
        </w:tc>
      </w:tr>
      <w:tr>
        <w:trPr>
          <w:cantSplit/>
        </w:trPr>
        <w:tc>
          <w:tcPr>
            <w:tcW w:type="dxa" w:w="3312"/>
            <w:vAlign w:val="top"/>
          </w:tcPr>
          <w:p>
            <w:pPr>
              <w:spacing w:after="40"/>
            </w:pPr>
            <w:r>
              <w:rPr>
                <w:b w:val="0"/>
                <w:sz w:val="15"/>
              </w:rPr>
              <w:t>cnn.pool2d</w:t>
            </w:r>
          </w:p>
        </w:tc>
        <w:tc>
          <w:tcPr>
            <w:tcW w:type="dxa" w:w="3312"/>
            <w:vAlign w:val="top"/>
          </w:tcPr>
          <w:p>
            <w:pPr>
              <w:spacing w:after="40"/>
            </w:pPr>
            <w:r>
              <w:rPr>
                <w:b w:val="0"/>
                <w:sz w:val="15"/>
              </w:rPr>
              <w:t>sequence pooling or reduction</w:t>
            </w:r>
          </w:p>
        </w:tc>
        <w:tc>
          <w:tcPr>
            <w:tcW w:type="dxa" w:w="3312"/>
            <w:vAlign w:val="top"/>
          </w:tcPr>
          <w:p>
            <w:pPr>
              <w:spacing w:after="40"/>
            </w:pPr>
            <w:r>
              <w:rPr>
                <w:b w:val="0"/>
                <w:sz w:val="15"/>
              </w:rPr>
              <w:t>Partially promote as common.window_reduce or common.reduce_mean.</w:t>
            </w:r>
          </w:p>
        </w:tc>
      </w:tr>
      <w:tr>
        <w:trPr>
          <w:cantSplit/>
        </w:trPr>
        <w:tc>
          <w:tcPr>
            <w:tcW w:type="dxa" w:w="3312"/>
            <w:vAlign w:val="top"/>
          </w:tcPr>
          <w:p>
            <w:pPr>
              <w:spacing w:after="40"/>
            </w:pPr>
            <w:r>
              <w:rPr>
                <w:b w:val="0"/>
                <w:sz w:val="15"/>
              </w:rPr>
              <w:t>cnn.halo_exchange</w:t>
            </w:r>
          </w:p>
        </w:tc>
        <w:tc>
          <w:tcPr>
            <w:tcW w:type="dxa" w:w="3312"/>
            <w:vAlign w:val="top"/>
          </w:tcPr>
          <w:p>
            <w:pPr>
              <w:spacing w:after="40"/>
            </w:pPr>
            <w:r>
              <w:rPr>
                <w:b w:val="0"/>
                <w:sz w:val="15"/>
              </w:rPr>
              <w:t>transformer context/KV exchange</w:t>
            </w:r>
          </w:p>
        </w:tc>
        <w:tc>
          <w:tcPr>
            <w:tcW w:type="dxa" w:w="3312"/>
            <w:vAlign w:val="top"/>
          </w:tcPr>
          <w:p>
            <w:pPr>
              <w:spacing w:after="40"/>
            </w:pPr>
            <w:r>
              <w:rPr>
                <w:b w:val="0"/>
                <w:sz w:val="15"/>
              </w:rPr>
              <w:t>Promote only generic exchange/collective intent; keep domain semantics.</w:t>
            </w:r>
          </w:p>
        </w:tc>
      </w:tr>
      <w:tr>
        <w:trPr>
          <w:cantSplit/>
        </w:trPr>
        <w:tc>
          <w:tcPr>
            <w:tcW w:type="dxa" w:w="3312"/>
            <w:vAlign w:val="top"/>
          </w:tcPr>
          <w:p>
            <w:pPr>
              <w:spacing w:after="40"/>
            </w:pPr>
            <w:r>
              <w:rPr>
                <w:b w:val="0"/>
                <w:sz w:val="15"/>
              </w:rPr>
              <w:t>cnn.preprocess_contract</w:t>
            </w:r>
          </w:p>
        </w:tc>
        <w:tc>
          <w:tcPr>
            <w:tcW w:type="dxa" w:w="3312"/>
            <w:vAlign w:val="top"/>
          </w:tcPr>
          <w:p>
            <w:pPr>
              <w:spacing w:after="40"/>
            </w:pPr>
            <w:r>
              <w:rPr>
                <w:b w:val="0"/>
                <w:sz w:val="15"/>
              </w:rPr>
              <w:t>transformer.tokenizer_contract</w:t>
            </w:r>
          </w:p>
        </w:tc>
        <w:tc>
          <w:tcPr>
            <w:tcW w:type="dxa" w:w="3312"/>
            <w:vAlign w:val="top"/>
          </w:tcPr>
          <w:p>
            <w:pPr>
              <w:spacing w:after="40"/>
            </w:pPr>
            <w:r>
              <w:rPr>
                <w:b w:val="0"/>
                <w:sz w:val="15"/>
              </w:rPr>
              <w:t>Do not promote content; promote common contract mechanism only.</w:t>
            </w:r>
          </w:p>
        </w:tc>
      </w:tr>
    </w:tbl>
    <w:p>
      <w:r>
        <w:br w:type="page"/>
      </w:r>
    </w:p>
    <w:p>
      <w:pPr/>
      <w:r>
        <w:t>The following examples show how the canonical opcode record applies across domain and common-substrate ownership.</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rPr>
          <w:cantSplit/>
          <w:tblHeader w:val="true"/>
        </w:trPr>
        <w:tc>
          <w:tcPr>
            <w:tcW w:type="dxa" w:w="1656"/>
            <w:vAlign w:val="top"/>
            <w:shd w:fill="D9EAF7"/>
          </w:tcPr>
          <w:p>
            <w:r>
              <w:rPr>
                <w:sz w:val="14"/>
              </w:rPr>
            </w:r>
            <w:r>
              <w:rPr>
                <w:b/>
                <w:sz w:val="14"/>
              </w:rPr>
              <w:t>Source construct</w:t>
            </w:r>
          </w:p>
        </w:tc>
        <w:tc>
          <w:tcPr>
            <w:tcW w:type="dxa" w:w="1656"/>
            <w:vAlign w:val="top"/>
            <w:shd w:fill="D9EAF7"/>
          </w:tcPr>
          <w:p>
            <w:r>
              <w:rPr>
                <w:sz w:val="14"/>
              </w:rPr>
            </w:r>
            <w:r>
              <w:rPr>
                <w:b/>
                <w:sz w:val="14"/>
              </w:rPr>
              <w:t>DSC opcode</w:t>
            </w:r>
          </w:p>
        </w:tc>
        <w:tc>
          <w:tcPr>
            <w:tcW w:type="dxa" w:w="1656"/>
            <w:vAlign w:val="top"/>
            <w:shd w:fill="D9EAF7"/>
          </w:tcPr>
          <w:p>
            <w:r>
              <w:rPr>
                <w:sz w:val="14"/>
              </w:rPr>
            </w:r>
            <w:r>
              <w:rPr>
                <w:b/>
                <w:sz w:val="14"/>
              </w:rPr>
              <w:t>Owner</w:t>
            </w:r>
          </w:p>
        </w:tc>
        <w:tc>
          <w:tcPr>
            <w:tcW w:type="dxa" w:w="1656"/>
            <w:vAlign w:val="top"/>
            <w:shd w:fill="D9EAF7"/>
          </w:tcPr>
          <w:p>
            <w:r>
              <w:rPr>
                <w:sz w:val="14"/>
              </w:rPr>
            </w:r>
            <w:r>
              <w:rPr>
                <w:b/>
                <w:sz w:val="14"/>
              </w:rPr>
              <w:t>num_operand</w:t>
            </w:r>
          </w:p>
        </w:tc>
        <w:tc>
          <w:tcPr>
            <w:tcW w:type="dxa" w:w="1656"/>
            <w:vAlign w:val="top"/>
            <w:shd w:fill="D9EAF7"/>
          </w:tcPr>
          <w:p>
            <w:r>
              <w:rPr>
                <w:sz w:val="14"/>
              </w:rPr>
            </w:r>
            <w:r>
              <w:rPr>
                <w:b/>
                <w:sz w:val="14"/>
              </w:rPr>
              <w:t>Attribute boundary</w:t>
            </w:r>
          </w:p>
        </w:tc>
        <w:tc>
          <w:tcPr>
            <w:tcW w:type="dxa" w:w="1656"/>
            <w:vAlign w:val="top"/>
            <w:shd w:fill="D9EAF7"/>
          </w:tcPr>
          <w:p>
            <w:r>
              <w:rPr>
                <w:sz w:val="14"/>
              </w:rPr>
            </w:r>
            <w:r>
              <w:rPr>
                <w:b/>
                <w:sz w:val="14"/>
              </w:rPr>
              <w:t>Descriptor / metadata boundary</w:t>
            </w:r>
          </w:p>
        </w:tc>
      </w:tr>
      <w:tr>
        <w:trPr>
          <w:cantSplit/>
        </w:trPr>
        <w:tc>
          <w:tcPr>
            <w:tcW w:type="dxa" w:w="1656"/>
            <w:vAlign w:val="top"/>
          </w:tcPr>
          <w:p>
            <w:r>
              <w:rPr>
                <w:sz w:val="14"/>
              </w:rPr>
            </w:r>
            <w:r>
              <w:rPr>
                <w:b w:val="0"/>
                <w:sz w:val="14"/>
              </w:rPr>
              <w:t>ONNX Relu / PyTorch ReLU</w:t>
            </w:r>
          </w:p>
        </w:tc>
        <w:tc>
          <w:tcPr>
            <w:tcW w:type="dxa" w:w="1656"/>
            <w:vAlign w:val="top"/>
          </w:tcPr>
          <w:p>
            <w:r>
              <w:rPr>
                <w:sz w:val="14"/>
              </w:rPr>
            </w:r>
            <w:r>
              <w:rPr>
                <w:b w:val="0"/>
                <w:sz w:val="14"/>
              </w:rPr>
              <w:t>common.relu</w:t>
            </w:r>
          </w:p>
        </w:tc>
        <w:tc>
          <w:tcPr>
            <w:tcW w:type="dxa" w:w="1656"/>
            <w:vAlign w:val="top"/>
          </w:tcPr>
          <w:p>
            <w:r>
              <w:rPr>
                <w:sz w:val="14"/>
              </w:rPr>
            </w:r>
            <w:r>
              <w:rPr>
                <w:b w:val="0"/>
                <w:sz w:val="14"/>
              </w:rPr>
              <w:t>Common</w:t>
            </w:r>
          </w:p>
        </w:tc>
        <w:tc>
          <w:tcPr>
            <w:tcW w:type="dxa" w:w="1656"/>
            <w:vAlign w:val="top"/>
          </w:tcPr>
          <w:p>
            <w:r>
              <w:rPr>
                <w:sz w:val="14"/>
              </w:rPr>
            </w:r>
            <w:r>
              <w:rPr>
                <w:b w:val="0"/>
                <w:sz w:val="14"/>
              </w:rPr>
              <w:t>1</w:t>
            </w:r>
          </w:p>
        </w:tc>
        <w:tc>
          <w:tcPr>
            <w:tcW w:type="dxa" w:w="1656"/>
            <w:vAlign w:val="top"/>
          </w:tcPr>
          <w:p>
            <w:r>
              <w:rPr>
                <w:sz w:val="14"/>
              </w:rPr>
            </w:r>
            <w:r>
              <w:rPr>
                <w:b w:val="0"/>
                <w:sz w:val="14"/>
              </w:rPr>
              <w:t>activation rule is semantic</w:t>
            </w:r>
          </w:p>
        </w:tc>
        <w:tc>
          <w:tcPr>
            <w:tcW w:type="dxa" w:w="1656"/>
            <w:vAlign w:val="top"/>
          </w:tcPr>
          <w:p>
            <w:r>
              <w:rPr>
                <w:sz w:val="14"/>
              </w:rPr>
            </w:r>
            <w:r>
              <w:rPr>
                <w:b w:val="0"/>
                <w:sz w:val="14"/>
              </w:rPr>
              <w:t>source op and fusion role are metadata</w:t>
            </w:r>
          </w:p>
        </w:tc>
      </w:tr>
      <w:tr>
        <w:trPr>
          <w:cantSplit/>
        </w:trPr>
        <w:tc>
          <w:tcPr>
            <w:tcW w:type="dxa" w:w="1656"/>
            <w:vAlign w:val="top"/>
          </w:tcPr>
          <w:p>
            <w:r>
              <w:rPr>
                <w:sz w:val="14"/>
              </w:rPr>
            </w:r>
            <w:r>
              <w:rPr>
                <w:b w:val="0"/>
                <w:sz w:val="14"/>
              </w:rPr>
              <w:t>ONNX Conv / PyTorch Conv2d</w:t>
            </w:r>
          </w:p>
        </w:tc>
        <w:tc>
          <w:tcPr>
            <w:tcW w:type="dxa" w:w="1656"/>
            <w:vAlign w:val="top"/>
          </w:tcPr>
          <w:p>
            <w:r>
              <w:rPr>
                <w:sz w:val="14"/>
              </w:rPr>
            </w:r>
            <w:r>
              <w:rPr>
                <w:b w:val="0"/>
                <w:sz w:val="14"/>
              </w:rPr>
              <w:t>cnn.conv2d</w:t>
            </w:r>
          </w:p>
        </w:tc>
        <w:tc>
          <w:tcPr>
            <w:tcW w:type="dxa" w:w="1656"/>
            <w:vAlign w:val="top"/>
          </w:tcPr>
          <w:p>
            <w:r>
              <w:rPr>
                <w:sz w:val="14"/>
              </w:rPr>
            </w:r>
            <w:r>
              <w:rPr>
                <w:b w:val="0"/>
                <w:sz w:val="14"/>
              </w:rPr>
              <w:t>CNN domain</w:t>
            </w:r>
          </w:p>
        </w:tc>
        <w:tc>
          <w:tcPr>
            <w:tcW w:type="dxa" w:w="1656"/>
            <w:vAlign w:val="top"/>
          </w:tcPr>
          <w:p>
            <w:r>
              <w:rPr>
                <w:sz w:val="14"/>
              </w:rPr>
            </w:r>
            <w:r>
              <w:rPr>
                <w:b w:val="0"/>
                <w:sz w:val="14"/>
              </w:rPr>
              <w:t>2_or_3</w:t>
            </w:r>
          </w:p>
        </w:tc>
        <w:tc>
          <w:tcPr>
            <w:tcW w:type="dxa" w:w="1656"/>
            <w:vAlign w:val="top"/>
          </w:tcPr>
          <w:p>
            <w:r>
              <w:rPr>
                <w:sz w:val="14"/>
              </w:rPr>
            </w:r>
            <w:r>
              <w:rPr>
                <w:b w:val="0"/>
                <w:sz w:val="14"/>
              </w:rPr>
              <w:t>kernel, stride, pad, dilation, group are semantic attributes</w:t>
            </w:r>
          </w:p>
        </w:tc>
        <w:tc>
          <w:tcPr>
            <w:tcW w:type="dxa" w:w="1656"/>
            <w:vAlign w:val="top"/>
          </w:tcPr>
          <w:p>
            <w:r>
              <w:rPr>
                <w:sz w:val="14"/>
              </w:rPr>
            </w:r>
            <w:r>
              <w:rPr>
                <w:b w:val="0"/>
                <w:sz w:val="14"/>
              </w:rPr>
              <w:t>feature-map and weight layouts are descriptors/contracts; source layer and algorithm hint are metadata</w:t>
            </w:r>
          </w:p>
        </w:tc>
      </w:tr>
      <w:tr>
        <w:trPr>
          <w:cantSplit/>
        </w:trPr>
        <w:tc>
          <w:tcPr>
            <w:tcW w:type="dxa" w:w="1656"/>
            <w:vAlign w:val="top"/>
          </w:tcPr>
          <w:p>
            <w:r>
              <w:rPr>
                <w:sz w:val="14"/>
              </w:rPr>
            </w:r>
            <w:r>
              <w:rPr>
                <w:b w:val="0"/>
                <w:sz w:val="14"/>
              </w:rPr>
              <w:t>ONNX BatchNormalization / PyTorch BatchNorm2d inference</w:t>
            </w:r>
          </w:p>
        </w:tc>
        <w:tc>
          <w:tcPr>
            <w:tcW w:type="dxa" w:w="1656"/>
            <w:vAlign w:val="top"/>
          </w:tcPr>
          <w:p>
            <w:r>
              <w:rPr>
                <w:sz w:val="14"/>
              </w:rPr>
            </w:r>
            <w:r>
              <w:rPr>
                <w:b w:val="0"/>
                <w:sz w:val="14"/>
              </w:rPr>
              <w:t>cnn.batch_norm_infer</w:t>
            </w:r>
          </w:p>
        </w:tc>
        <w:tc>
          <w:tcPr>
            <w:tcW w:type="dxa" w:w="1656"/>
            <w:vAlign w:val="top"/>
          </w:tcPr>
          <w:p>
            <w:r>
              <w:rPr>
                <w:sz w:val="14"/>
              </w:rPr>
            </w:r>
            <w:r>
              <w:rPr>
                <w:b w:val="0"/>
                <w:sz w:val="14"/>
              </w:rPr>
              <w:t>CNN domain</w:t>
            </w:r>
          </w:p>
        </w:tc>
        <w:tc>
          <w:tcPr>
            <w:tcW w:type="dxa" w:w="1656"/>
            <w:vAlign w:val="top"/>
          </w:tcPr>
          <w:p>
            <w:r>
              <w:rPr>
                <w:sz w:val="14"/>
              </w:rPr>
            </w:r>
            <w:r>
              <w:rPr>
                <w:b w:val="0"/>
                <w:sz w:val="14"/>
              </w:rPr>
              <w:t>5</w:t>
            </w:r>
          </w:p>
        </w:tc>
        <w:tc>
          <w:tcPr>
            <w:tcW w:type="dxa" w:w="1656"/>
            <w:vAlign w:val="top"/>
          </w:tcPr>
          <w:p>
            <w:r>
              <w:rPr>
                <w:sz w:val="14"/>
              </w:rPr>
            </w:r>
            <w:r>
              <w:rPr>
                <w:b w:val="0"/>
                <w:sz w:val="14"/>
              </w:rPr>
              <w:t>epsilon, momentum, training_mode, channel_axis are attributes</w:t>
            </w:r>
          </w:p>
        </w:tc>
        <w:tc>
          <w:tcPr>
            <w:tcW w:type="dxa" w:w="1656"/>
            <w:vAlign w:val="top"/>
          </w:tcPr>
          <w:p>
            <w:r>
              <w:rPr>
                <w:sz w:val="14"/>
              </w:rPr>
            </w:r>
            <w:r>
              <w:rPr>
                <w:b w:val="0"/>
                <w:sz w:val="14"/>
              </w:rPr>
              <w:t>running-stat provenance and conv-fold candidate are metadata; same-shape/channel contract is a contract</w:t>
            </w:r>
          </w:p>
        </w:tc>
      </w:tr>
      <w:tr>
        <w:trPr>
          <w:cantSplit/>
        </w:trPr>
        <w:tc>
          <w:tcPr>
            <w:tcW w:type="dxa" w:w="1656"/>
            <w:vAlign w:val="top"/>
          </w:tcPr>
          <w:p>
            <w:r>
              <w:rPr>
                <w:sz w:val="14"/>
              </w:rPr>
            </w:r>
            <w:r>
              <w:rPr>
                <w:b w:val="0"/>
                <w:sz w:val="14"/>
              </w:rPr>
              <w:t>ONNX Add used as residual merge</w:t>
            </w:r>
          </w:p>
        </w:tc>
        <w:tc>
          <w:tcPr>
            <w:tcW w:type="dxa" w:w="1656"/>
            <w:vAlign w:val="top"/>
          </w:tcPr>
          <w:p>
            <w:r>
              <w:rPr>
                <w:sz w:val="14"/>
              </w:rPr>
            </w:r>
            <w:r>
              <w:rPr>
                <w:b w:val="0"/>
                <w:sz w:val="14"/>
              </w:rPr>
              <w:t>common.residual_add + cnn.residual_path_contract</w:t>
            </w:r>
          </w:p>
        </w:tc>
        <w:tc>
          <w:tcPr>
            <w:tcW w:type="dxa" w:w="1656"/>
            <w:vAlign w:val="top"/>
          </w:tcPr>
          <w:p>
            <w:r>
              <w:rPr>
                <w:sz w:val="14"/>
              </w:rPr>
            </w:r>
            <w:r>
              <w:rPr>
                <w:b w:val="0"/>
                <w:sz w:val="14"/>
              </w:rPr>
              <w:t>Common plus CNN wrapper</w:t>
            </w:r>
          </w:p>
        </w:tc>
        <w:tc>
          <w:tcPr>
            <w:tcW w:type="dxa" w:w="1656"/>
            <w:vAlign w:val="top"/>
          </w:tcPr>
          <w:p>
            <w:r>
              <w:rPr>
                <w:sz w:val="14"/>
              </w:rPr>
            </w:r>
            <w:r>
              <w:rPr>
                <w:b w:val="0"/>
                <w:sz w:val="14"/>
              </w:rPr>
              <w:t>2</w:t>
            </w:r>
          </w:p>
        </w:tc>
        <w:tc>
          <w:tcPr>
            <w:tcW w:type="dxa" w:w="1656"/>
            <w:vAlign w:val="top"/>
          </w:tcPr>
          <w:p>
            <w:r>
              <w:rPr>
                <w:sz w:val="14"/>
              </w:rPr>
            </w:r>
            <w:r>
              <w:rPr>
                <w:b w:val="0"/>
                <w:sz w:val="14"/>
              </w:rPr>
              <w:t>addition rule and dtype policy are common attributes</w:t>
            </w:r>
          </w:p>
        </w:tc>
        <w:tc>
          <w:tcPr>
            <w:tcW w:type="dxa" w:w="1656"/>
            <w:vAlign w:val="top"/>
          </w:tcPr>
          <w:p>
            <w:r>
              <w:rPr>
                <w:sz w:val="14"/>
              </w:rPr>
            </w:r>
            <w:r>
              <w:rPr>
                <w:b w:val="0"/>
                <w:sz w:val="14"/>
              </w:rPr>
              <w:t>main/shortcut lineage is descriptor/contract state; block id is metadata</w:t>
            </w:r>
          </w:p>
        </w:tc>
      </w:tr>
      <w:tr>
        <w:trPr>
          <w:cantSplit/>
        </w:trPr>
        <w:tc>
          <w:tcPr>
            <w:tcW w:type="dxa" w:w="1656"/>
            <w:vAlign w:val="top"/>
          </w:tcPr>
          <w:p>
            <w:r>
              <w:rPr>
                <w:sz w:val="14"/>
              </w:rPr>
            </w:r>
            <w:r>
              <w:rPr>
                <w:b w:val="0"/>
                <w:sz w:val="14"/>
              </w:rPr>
              <w:t>torchvision BasicBlock</w:t>
            </w:r>
          </w:p>
        </w:tc>
        <w:tc>
          <w:tcPr>
            <w:tcW w:type="dxa" w:w="1656"/>
            <w:vAlign w:val="top"/>
          </w:tcPr>
          <w:p>
            <w:r>
              <w:rPr>
                <w:sz w:val="14"/>
              </w:rPr>
            </w:r>
            <w:r>
              <w:rPr>
                <w:b w:val="0"/>
                <w:sz w:val="14"/>
              </w:rPr>
              <w:t>cnn.resnet.basic_block</w:t>
            </w:r>
          </w:p>
        </w:tc>
        <w:tc>
          <w:tcPr>
            <w:tcW w:type="dxa" w:w="1656"/>
            <w:vAlign w:val="top"/>
          </w:tcPr>
          <w:p>
            <w:r>
              <w:rPr>
                <w:sz w:val="14"/>
              </w:rPr>
            </w:r>
            <w:r>
              <w:rPr>
                <w:b w:val="0"/>
                <w:sz w:val="14"/>
              </w:rPr>
              <w:t>ResNet structural domain</w:t>
            </w:r>
          </w:p>
        </w:tc>
        <w:tc>
          <w:tcPr>
            <w:tcW w:type="dxa" w:w="1656"/>
            <w:vAlign w:val="top"/>
          </w:tcPr>
          <w:p>
            <w:r>
              <w:rPr>
                <w:sz w:val="14"/>
              </w:rPr>
            </w:r>
            <w:r>
              <w:rPr>
                <w:b w:val="0"/>
                <w:sz w:val="14"/>
              </w:rPr>
              <w:t>1</w:t>
            </w:r>
          </w:p>
        </w:tc>
        <w:tc>
          <w:tcPr>
            <w:tcW w:type="dxa" w:w="1656"/>
            <w:vAlign w:val="top"/>
          </w:tcPr>
          <w:p>
            <w:r>
              <w:rPr>
                <w:sz w:val="14"/>
              </w:rPr>
            </w:r>
            <w:r>
              <w:rPr>
                <w:b w:val="0"/>
                <w:sz w:val="14"/>
              </w:rPr>
              <w:t>planes, stride, expansion are structural attributes</w:t>
            </w:r>
          </w:p>
        </w:tc>
        <w:tc>
          <w:tcPr>
            <w:tcW w:type="dxa" w:w="1656"/>
            <w:vAlign w:val="top"/>
          </w:tcPr>
          <w:p>
            <w:r>
              <w:rPr>
                <w:sz w:val="14"/>
              </w:rPr>
            </w:r>
            <w:r>
              <w:rPr>
                <w:b w:val="0"/>
                <w:sz w:val="14"/>
              </w:rPr>
              <w:t>main-path/shortcut-path descriptors and residual contract are semantic; source path is metadata</w:t>
            </w:r>
          </w:p>
        </w:tc>
      </w:tr>
    </w:tbl>
    <w:p>
      <w:pPr/>
      <w:r>
        <w:t>The following examples reuse the API separation above. They are examples of opcode ownership, not the primary definition of tensor type. TensorDescriptorIR remains the value-state authority; opcode attributes remain operation-defining parameters; metadata remains compiler-control-plane context.</w:t>
      </w:r>
    </w:p>
    <w:p>
      <w:pPr/>
      <w:r>
        <w:t>Example opcode API separation:</w:t>
        <w:br/>
        <w:t xml:space="preserve">  op.getOperand(i)                  -&gt; runtime/dataflow value</w:t>
        <w:br/>
        <w:t xml:space="preserve">  op.getAttribute(name)             -&gt; static semantic operation parameter</w:t>
        <w:br/>
        <w:t xml:space="preserve">  compiler.getTensorDescriptor(v)   -&gt; semantic tensor value-state descriptor</w:t>
        <w:br/>
        <w:t xml:space="preserve">  op.getContract(name)              -&gt; legality or ABI predicate</w:t>
        <w:br/>
        <w:t xml:space="preserve">  op.getMetadata(name)              -&gt; provenance, diagnostics, lowering hint, pass history</w:t>
      </w:r>
    </w:p>
    <w:p>
      <w:pPr>
        <w:pStyle w:val="Heading2"/>
      </w:pPr>
      <w:r>
        <w:t>6.16 Final Architectural Rule</w:t>
      </w:r>
    </w:p>
    <w:p>
      <w:pPr/>
      <w:r>
        <w:t>Domain ops start in their domain namespace. When two or more domains use an operation with domain-neutral semantics, the compiler may promote it to the Common Compiler Substrate. The promoted op owns common operand, attribute, effect, contract, and lowering semantics. Domain wrappers remain responsible for domain-specific ABI, gatekeeping, conformance tests, and diagnostics. Every opcode definition must explicitly separate operands, semantic opcode attributes, tensor descriptors, contracts, metadata, effects, and lowering policy. TensorDescriptorIR is the semantic value-state model for tensors and is composed of type core, traits, representation descriptors, and lineage metadata. Implementations may store descriptors in metadata infrastructure, but architecturally tensor type information must not be treated as untyped auxiliary context. Metadata may guide provenance, diagnostics, pass ownership, optimization, profiling, and lowering, but it must not hide operation-defining semantics or tensor value-state semantics.</w:t>
      </w:r>
    </w:p>
    <w:p>
      <w:pPr>
        <w:pStyle w:val="Heading1"/>
      </w:pPr>
      <w:r>
        <w:br w:type="page"/>
      </w:r>
      <w:r>
        <w:t>Chapter 7. Python DSL Frontend and Very-High-Level WHIRL Ingestion Architecture</w:t>
      </w:r>
    </w:p>
    <w:p>
      <w:pPr>
        <w:pStyle w:val="Heading2"/>
      </w:pPr>
      <w:r>
        <w:t>7.1 Purpose and Design Objective</w:t>
      </w:r>
    </w:p>
    <w:p>
      <w:pPr/>
      <w:r>
        <w:t>This chapter defines the ingestion architecture that allows a Python process to act as a domain-specific language front end for the Open64-based DSC compiler. The objective is to let Python capture model intent, normalize it into an analyzable graph, and emit a binary very-high-level WHIRL artifact that the Open64 driver can consume in the same architectural role that clang2whirl provides for C/C++ input.</w:t>
      </w:r>
    </w:p>
    <w:p>
      <w:pPr/>
      <w:r>
        <w:t>The design is inspired by the PyTorch/XLA StableHLO export pattern, where Python captures a PyTorch program, a Python adapter/interpreter coordinates graph conversion, a compiled extension owns the lower-level compiler/runtime interface, and a serialized StableHLO artifact is passed to an XLA/PJRT compilation path. DSC adopts the architectural pattern, not the StableHLO opcode set. The DSC target is binary WHIRL with domain operators, tensor descriptors, contracts, and metadata preserved. See Appendix I for the detailed research summary.</w:t>
      </w:r>
    </w:p>
    <w:p>
      <w:pPr>
        <w:pStyle w:val="Heading2"/>
      </w:pPr>
      <w:r>
        <w:t>7.2 Architectural Position: Python Is a Front End, Not the Compiler Middle End</w:t>
      </w:r>
    </w:p>
    <w:p>
      <w:pPr/>
      <w:r>
        <w:t>Python should be treated as a source-language front end for DSL authoring, model capture, and import-time normalization. The Python process may use torch.export, FX, a dedicated DSC Python DSL, or another capture mechanism. After capture, the Python front end must produce a compiler artifact. It must not remain in the critical compiler middle-end path.</w:t>
      </w:r>
    </w:p>
    <w:p>
      <w:pPr/>
      <w:r>
        <w:t>Front-end boundary:</w:t>
      </w:r>
    </w:p>
    <w:p>
      <w:pPr>
        <w:pStyle w:val="CodeBlock"/>
      </w:pPr>
      <w:r>
        <w:t>Python model / DSL</w:t>
        <w:br/>
        <w:t xml:space="preserve">  -&gt; torch.export / FX / DSC capture graph</w:t>
        <w:br/>
        <w:t xml:space="preserve">  -&gt; WhirlExportInterpreter</w:t>
        <w:br/>
        <w:t xml:space="preserve">  -&gt; C++ WHIRL builder extension</w:t>
        <w:br/>
        <w:t xml:space="preserve">  -&gt; binary very-high-level WHIRL</w:t>
        <w:br/>
        <w:t xml:space="preserve">  -&gt; opencc / Open64 middle end and backend</w:t>
      </w:r>
    </w:p>
    <w:p>
      <w:pPr/>
      <w:r>
        <w:t>The output of this phase is a binary WHIRL file or WHIRL bundle. The Open64 driver should be able to consume it without depending on the original Python interpreter, just as OpenCC can consume WHIRL produced by a C/C++ front end.</w:t>
      </w:r>
    </w:p>
    <w:p>
      <w:pPr>
        <w:pStyle w:val="Heading2"/>
      </w:pPr>
      <w:r>
        <w:t>7.3 Very-High-Level WHIRL Uses First-Class Operators</w:t>
      </w:r>
    </w:p>
    <w:p>
      <w:pPr/>
      <w:r>
        <w:t>Very-high-level DSC operations shall be represented as first-class WHIRL operators, not as intrinsic-call placeholders at ingestion time. This preserves domain semantics, enables direct verifier ownership, and allows the compiler to reason about operator legality before lowering. It also gives Open64 a target-independent optimization window in which high-level operators can be canonicalized, fused, simplified, and prepared for parallelization before target-specific intrinsic ops or runtime calls are introduced. Intrinsic operations remain useful later, but they should be introduced by an explicit lowering pass after the gatekeeper has verified the high-level operators and tensor descriptors and after target-independent optimization has preserved or improved semantic structure.</w:t>
      </w:r>
    </w:p>
    <w:p>
      <w:pPr/>
      <w:r>
        <w:t>Operator-first rule:</w:t>
      </w:r>
    </w:p>
    <w:p>
      <w:pPr>
        <w:pStyle w:val="CodeBlock"/>
      </w:pPr>
      <w:r>
        <w:t>Python DSL / exported graph</w:t>
        <w:br/>
        <w:t xml:space="preserve">  -&gt; very-high-level WHIRL operators</w:t>
        <w:br/>
        <w:t xml:space="preserve">       OPR_DSC_CNN_CONV2D</w:t>
        <w:br/>
        <w:t xml:space="preserve">       OPR_DSC_BATCH_NORM_INFER</w:t>
        <w:br/>
        <w:t xml:space="preserve">       OPR_DSC_RESIDUAL_ADD</w:t>
        <w:br/>
        <w:t xml:space="preserve">       OPR_DSC_TRANSFORMER_ATTENTION</w:t>
        <w:br/>
        <w:t xml:space="preserve">       OPR_DSC_COMMON_MATMUL</w:t>
        <w:br/>
        <w:t xml:space="preserve">  -&gt; gatekeeper verification</w:t>
        <w:br/>
        <w:t xml:space="preserve">  -&gt; target-independent operator optimization</w:t>
        <w:br/>
        <w:t xml:space="preserve">       canonicalization</w:t>
        <w:br/>
        <w:t xml:space="preserve">       algebraic simplification</w:t>
        <w:br/>
        <w:t xml:space="preserve">       domain/common operator fusion</w:t>
        <w:br/>
        <w:t xml:space="preserve">       shape/layout normalization</w:t>
        <w:br/>
        <w:t xml:space="preserve">  -&gt; parallelization planning</w:t>
        <w:br/>
        <w:t xml:space="preserve">       intra-device tiling</w:t>
        <w:br/>
        <w:t xml:space="preserve">       scale-up sharding</w:t>
        <w:br/>
        <w:t xml:space="preserve">       scale-out partitioning</w:t>
        <w:br/>
        <w:t xml:space="preserve">  -&gt; common lowering</w:t>
        <w:br/>
        <w:t xml:space="preserve">  -&gt; intrinsic_op / runtime call / target kernel only when appropriate</w:t>
      </w:r>
    </w:p>
    <w:p>
      <w:pPr/>
      <w:r>
        <w:t>The central distinction is semantic. A first-class high-level operator owns operands, opcode attributes, tensor descriptor requirements, effects, contracts, and diagnostics. It also exposes enough structure for target-independent Open64 optimizations such as operator fusion, residual-path simplification, layout normalization, and pre-parallelization analysis. An intrinsic op usually represents a lowered ABI or target runtime operation. Using intrinsic ops too early would obscure the difference between domain semantic legality, common operator optimization, parallelization choice, and backend implementation choice.</w:t>
      </w:r>
    </w:p>
    <w:p>
      <w:pPr>
        <w:pStyle w:val="Heading2"/>
      </w:pPr>
      <w:r>
        <w:t>7.4 Operator-to-Intrinsic Lowering Is an Explicit Compiler Phase</w:t>
      </w:r>
    </w:p>
    <w:p>
      <w:pPr/>
      <w:r>
        <w:t>The compiler may translate very-high-level operators to intrinsic ops, runtime calls, library calls, or target-specific kernels. However, this translation is a lowering decision and must not be confused with ingestion. The ingestion artifact should retain high-level operators long enough for domain gatekeepers, promotion policy, target-independent operator optimizations, and parallelization planning to operate.</w:t>
      </w:r>
    </w:p>
    <w:p>
      <w:pPr/>
      <w:r>
        <w:t>Lowering sequence:</w:t>
      </w:r>
    </w:p>
    <w:p>
      <w:pPr>
        <w:pStyle w:val="CodeBlock"/>
      </w:pPr>
      <w:r>
        <w:t>OPR_DSC_CNN_CONV2D</w:t>
        <w:br/>
        <w:t xml:space="preserve">  verify: image layout, channel contract, padding, stride, dilation, groups</w:t>
        <w:br/>
        <w:t xml:space="preserve">  optimize: fuse with batch_norm/relu where legal, normalize padding/layout, select common convolution form</w:t>
        <w:br/>
        <w:t xml:space="preserve">  parallelize: choose tile ownership, memory hierarchy, and scale-up/scale-out sharding if required</w:t>
        <w:br/>
        <w:t xml:space="preserve">  lower: common.windowed_contraction</w:t>
        <w:br/>
        <w:t xml:space="preserve">  lower: loop/tile/memory hierarchy IR or intrinsic_op</w:t>
        <w:br/>
        <w:t xml:space="preserve">  lower: backend-specific kernel/library path</w:t>
        <w:br/>
        <w:br/>
        <w:t>OPR_DSC_COMMON_MATMUL</w:t>
        <w:br/>
        <w:t xml:space="preserve">  verify: tensor descriptor, dtype, shape, layout, bandwidth contract</w:t>
        <w:br/>
        <w:t xml:space="preserve">  optimize: canonicalize transpose/bias/fusion patterns and preserve algebraic intent</w:t>
        <w:br/>
        <w:t xml:space="preserve">  parallelize: select intra-device tiling, tensor sharding, collective intent, and placement</w:t>
        <w:br/>
        <w:t xml:space="preserve">  lower: tiled GEMM / target intrinsic / runtime library call</w:t>
      </w:r>
    </w:p>
    <w:p>
      <w:pPr/>
      <w:r>
        <w:t>This rule mirrors the broader DSC philosophy from Chapter 5: semantic intent should be preserved first; target-independent optimization should run while high-level operator structure is still visible; parallelization should be chosen from verified tensor and operator state; and implementation-specific execution forms should be introduced only after correctness, contracts, and optimization opportunities have been processed.</w:t>
      </w:r>
    </w:p>
    <w:p>
      <w:pPr>
        <w:pStyle w:val="Heading2"/>
      </w:pPr>
      <w:r>
        <w:t>7.5 Package and Library Boundary</w:t>
      </w:r>
    </w:p>
    <w:p>
      <w:pPr/>
      <w:r>
        <w:t>The recommended package structure separates Python orchestration from C++ WHIRL construction. Python captures and interprets the model graph. The C++ library owns WHIRL node creation, type-table creation, symbol-table construction, tensor descriptor registration, attribute encoding, contract encoding, metadata encoding, and mapped binary-image finalization. Because Open64 does not intend to run with a mix of incompatible in-memory and persisted data representations, the binary artifact should be created as a memory-mapped WHIRL image whose finalization is primarily a flush/unmap boundary rather than a format-converting serializer.</w:t>
      </w:r>
      <w:r>
        <w:t xml:space="preserve"> The final component should be named WhirlMappedImageFinalizer to reflect this design choice.</w:t>
      </w:r>
    </w:p>
    <w:p>
      <w:pPr/>
      <w:r>
        <w:t>Recommended package structure:</w:t>
      </w:r>
    </w:p>
    <w:p>
      <w:pPr>
        <w:pStyle w:val="CodeBlock"/>
      </w:pPr>
      <w:r>
        <w:t>open64_dsc/</w:t>
        <w:br/>
        <w:t xml:space="preserve">  __init__.py</w:t>
        <w:br/>
        <w:t xml:space="preserve">  export.py                 # Python API: export_to_whirl, save_as_whirl</w:t>
        <w:br/>
        <w:t xml:space="preserve">  interpreter.py            # WhirlExportInterpreter over FX / ExportedProgram / DSL graph</w:t>
        <w:br/>
        <w:t xml:space="preserve">  mapping/                  # PyTorch/ONNX/DSC op to WHIRL operator mapping</w:t>
        <w:br/>
        <w:t xml:space="preserve">  options.py                # WhirlExportOptions</w:t>
        <w:br/>
        <w:t xml:space="preserve">  _whirl.so                 # compiled C++ extension</w:t>
        <w:br/>
        <w:br/>
        <w:t>libopen64_whirl_builder.so</w:t>
        <w:br/>
        <w:t xml:space="preserve">  WhirlBuilderContext</w:t>
        <w:br/>
        <w:t xml:space="preserve">  WhirlTensorDescriptorBuilder</w:t>
        <w:br/>
        <w:t xml:space="preserve">  WhirlOperatorBuilder</w:t>
        <w:br/>
        <w:t xml:space="preserve">  WhirlMappedImageFinalizer</w:t>
      </w:r>
    </w:p>
    <w:p>
      <w:pPr/>
      <w:r>
        <w:t>The Python package should be thin. It should not implement the WHIRL object model in Python. It should drive capture, classification, and source-level mapping, then call the C++ builder API to construct the compiler artifact.</w:t>
      </w:r>
    </w:p>
    <w:p>
      <w:pPr>
        <w:pStyle w:val="Heading2"/>
      </w:pPr>
      <w:r>
        <w:t>7.6 Python API Surface</w:t>
      </w:r>
    </w:p>
    <w:p>
      <w:pPr/>
      <w:r>
        <w:t>The first public Python API should be intentionally small and stable. The goal is to make the Python process a front-end driver that emits a binary compiler artifact and optional inspection artifacts.</w:t>
      </w:r>
    </w:p>
    <w:p>
      <w:pPr/>
      <w:r>
        <w:t>Python API sketch:</w:t>
      </w:r>
    </w:p>
    <w:p>
      <w:pPr>
        <w:pStyle w:val="CodeBlock"/>
      </w:pPr>
      <w:r>
        <w:t>from open64_dsc import export_to_whirl, save_as_whirl</w:t>
        <w:br/>
        <w:t>from open64_dsc.options import WhirlExportOptions</w:t>
        <w:br/>
        <w:br/>
        <w:t>exported = torch.export.export(model, sample_inputs)</w:t>
        <w:br/>
        <w:br/>
        <w:t>whirl_module = export_to_whirl(</w:t>
        <w:br/>
        <w:t xml:space="preserve">    exported,</w:t>
        <w:br/>
        <w:t xml:space="preserve">    options=WhirlExportOptions(</w:t>
        <w:br/>
        <w:t xml:space="preserve">        preserve_domain_ops=True,</w:t>
        <w:br/>
        <w:t xml:space="preserve">        emit_tensor_descriptors=True,</w:t>
        <w:br/>
        <w:t xml:space="preserve">        emit_contracts=True,</w:t>
        <w:br/>
        <w:t xml:space="preserve">        emit_source_metadata=True,</w:t>
        <w:br/>
        <w:t xml:space="preserve">        output_format="binary_whirl",</w:t>
        <w:br/>
        <w:t xml:space="preserve">        weight_policy="external_npz"))</w:t>
        <w:br/>
        <w:br/>
        <w:t>whirl_module.save("resnet18.B")</w:t>
        <w:br/>
        <w:t>print(whirl_module.get_whirl_text())</w:t>
      </w:r>
    </w:p>
    <w:p>
      <w:pPr/>
      <w:r>
        <w:t>The front-end object should expose binary output, a readable WHIRL dump, tensor descriptor inspection, and bundle save/load operations. The readable dump is diagnostic; the binary WHIRL artifact is the compiler input.</w:t>
      </w:r>
    </w:p>
    <w:p>
      <w:pPr>
        <w:pStyle w:val="Heading2"/>
      </w:pPr>
      <w:r>
        <w:t>7.7 C++ Builder API Surface</w:t>
      </w:r>
    </w:p>
    <w:p>
      <w:pPr/>
      <w:r>
        <w:t>The C++ builder API should provide a stable construction interface that hides Open64 internal table layout from Python while still producing canonical Open64-compatible WHIRL. The API should create modules, functions, symbols, types, tensor descriptors, operators, attributes, contracts, and metadata sections.</w:t>
      </w:r>
    </w:p>
    <w:p>
      <w:pPr/>
      <w:r>
        <w:t>C++ builder sketch:</w:t>
      </w:r>
    </w:p>
    <w:p>
      <w:pPr>
        <w:pStyle w:val="CodeBlock"/>
      </w:pPr>
      <w:r>
        <w:t>class WhirlBuilderContext {</w:t>
        <w:br/>
        <w:t>public:</w:t>
        <w:br/>
        <w:t xml:space="preserve">  ModuleHandle CreateModule(std::string name);</w:t>
        <w:br/>
        <w:t xml:space="preserve">  FunctionHandle CreateFunction(ModuleHandle module, FunctionSignature signature);</w:t>
        <w:br/>
        <w:br/>
        <w:t xml:space="preserve">  TypeHandle CreateTensorType(TensorTypeCore core);</w:t>
        <w:br/>
        <w:t xml:space="preserve">  DescriptorHandle CreateTensorDescriptor(TensorDescriptorIR descriptor);</w:t>
        <w:br/>
        <w:t xml:space="preserve">  SymbolHandle CreateSymbol(std::string name, TypeHandle type, SymbolRole role);</w:t>
        <w:br/>
        <w:br/>
        <w:t xml:space="preserve">  NodeHandle CreateOperator(FunctionHandle function,</w:t>
        <w:br/>
        <w:t xml:space="preserve">                            DscWhirlOperator opcode,</w:t>
        <w:br/>
        <w:t xml:space="preserve">                            ArrayRef&lt;ValueHandle&gt; operands,</w:t>
        <w:br/>
        <w:t xml:space="preserve">                            ArrayRef&lt;Attribute&gt; attributes);</w:t>
        <w:br/>
        <w:br/>
        <w:t xml:space="preserve">  void AttachTensorDescriptor(ValueHandle value, DescriptorHandle descriptor);</w:t>
        <w:br/>
        <w:t xml:space="preserve">  void AttachContract(NodeHandle node, ContractIR contract);</w:t>
        <w:br/>
        <w:t xml:space="preserve">  void AttachMetadata(NodeHandle node, MetadataIR metadata);</w:t>
        <w:br/>
        <w:br/>
        <w:t xml:space="preserve">  void FinalizeMappedImage(ModuleHandle module, MappedWhirlImage &amp;image);</w:t>
        <w:br/>
        <w:t>};</w:t>
      </w:r>
    </w:p>
    <w:p>
      <w:pPr/>
      <w:r>
        <w:t>The API name should use CreateOperator rather than CreateIntrinsic. Intrinsic generation should belong to a later lowering API or pass. Likewise, the artifact-emission component should be named WhirlMappedImageFinalizer rather than legacy format-converting serializer, because the intended implementation is a memory-mapped WHIRL image finalization path, not a semantic serialization transform.</w:t>
      </w:r>
    </w:p>
    <w:p>
      <w:pPr>
        <w:pStyle w:val="Heading2"/>
      </w:pPr>
      <w:r>
        <w:t>7.8 Mapped WHIRL Binary Image and WhirlMappedImageFinalizer</w:t>
      </w:r>
    </w:p>
    <w:p>
      <w:pPr/>
      <w:r>
        <w:t>The binary artifact should be a WHIRL module plus DSC extension sections. The WHIRL tree represents executable and structural IR. The extension sections carry tensor descriptors, opcode attribute records, contracts, source metadata, constants, and version/capability information. The artifact should be treated as a mapped WHIRL binary image: builder passes populate the mapped image, and WhirlMappedImageFinalizer flushes/finalizes/unmaps it for the Open64 driver.</w:t>
      </w:r>
    </w:p>
    <w:p>
      <w:pPr/>
      <w:r>
        <w:t>Recommended binary container:</w:t>
      </w:r>
    </w:p>
    <w:p>
      <w:pPr>
        <w:pStyle w:val="CodeBlock"/>
      </w:pPr>
      <w:r>
        <w:t>BinaryWHIRLModule</w:t>
        <w:br/>
        <w:t xml:space="preserve">  WHIRL tree section</w:t>
        <w:br/>
        <w:t xml:space="preserve">  symbol table section</w:t>
        <w:br/>
        <w:t xml:space="preserve">  type table section</w:t>
        <w:br/>
        <w:t xml:space="preserve">  tensor descriptor table</w:t>
        <w:br/>
        <w:t xml:space="preserve">  opcode attribute table</w:t>
        <w:br/>
        <w:t xml:space="preserve">  contract table</w:t>
        <w:br/>
        <w:t xml:space="preserve">  metadata / provenance table</w:t>
        <w:br/>
        <w:t xml:space="preserve">  constant / weight table</w:t>
        <w:br/>
        <w:t xml:space="preserve">  version and capability section</w:t>
      </w:r>
    </w:p>
    <w:p>
      <w:pPr/>
      <w:r>
        <w:t>The tensor descriptor table is semantically part of the compiler IR even if physically stored in a side table. This follows the Chapter 6 distinction: tensor descriptors may use metadata infrastructure for storage, but architecturally they are typed semantic descriptor state.</w:t>
      </w:r>
    </w:p>
    <w:p>
      <w:pPr>
        <w:pStyle w:val="Heading2"/>
      </w:pPr>
      <w:r>
        <w:t>7.9 Open64 Driver Integration</w:t>
      </w:r>
    </w:p>
    <w:p>
      <w:pPr/>
      <w:r>
        <w:t>The driver should support a staged workflow that mirrors clang2whirl. The Python frontend produces binary WHIRL. The Open64 driver consumes that WHIRL file and runs the DSC middle-end and backend passes.</w:t>
      </w:r>
    </w:p>
    <w:p>
      <w:pPr/>
      <w:r>
        <w:t>Driver modes:</w:t>
      </w:r>
    </w:p>
    <w:p>
      <w:pPr>
        <w:pStyle w:val="CodeBlock"/>
      </w:pPr>
      <w:r>
        <w:t>torch2whirl model.py --entry forward --sample-input shape:1,3,224,224 -o model.B</w:t>
        <w:br/>
        <w:t>opencc -x whirl model.B -O3 -o model.o</w:t>
        <w:br/>
        <w:br/>
        <w:t># Later combined mode</w:t>
        <w:br/>
        <w:t>opencc -frontend=torch2whirl model.py --entry forward --sample-input shape:1,3,224,224 -O3</w:t>
      </w:r>
    </w:p>
    <w:p>
      <w:pPr/>
      <w:r>
        <w:t>The separate two-step mode should be implemented first because it makes artifact boundaries explicit, simplifies debugging, and preserves the Open64 front-end/middle-end separation.</w:t>
      </w:r>
    </w:p>
    <w:p>
      <w:pPr>
        <w:pStyle w:val="Heading2"/>
      </w:pPr>
      <w:r>
        <w:t>7.10 Gatekeeper and Lowering Pipeline</w:t>
      </w:r>
    </w:p>
    <w:p>
      <w:pPr/>
      <w:r>
        <w:t>The first Open64 pass over imported very-high-level WHIRL should be a gatekeeper pass, not a lowering pass. The gatekeeper validates tensor descriptor completeness, operator attributes, domain contracts, dynamic shape guards, layout/sharding/memory contracts, and source mapping. After verification, Open64 should run target-independent operator optimizations such as canonicalization, operator fusion, algebraic simplification, shape/layout normalization, and common-substrate cleanup. Parallelization should then be selected from the optimized high-level/common IR before high-level operators are lowered toward intrinsic ops, loops, or target runtime calls.</w:t>
      </w:r>
    </w:p>
    <w:p>
      <w:pPr/>
      <w:r>
        <w:t>Compiler pipeline:</w:t>
      </w:r>
    </w:p>
    <w:p>
      <w:pPr>
        <w:pStyle w:val="CodeBlock"/>
      </w:pPr>
      <w:r>
        <w:t>binary very-high-level WHIRL</w:t>
        <w:br/>
        <w:t xml:space="preserve">  -&gt; structural validation</w:t>
        <w:br/>
        <w:t xml:space="preserve">  -&gt; TensorDescriptorIR validation</w:t>
        <w:br/>
        <w:t xml:space="preserve">  -&gt; opcode attribute validation</w:t>
        <w:br/>
        <w:t xml:space="preserve">  -&gt; domain gatekeeper</w:t>
        <w:br/>
        <w:t xml:space="preserve">  -&gt; target-independent operator optimization</w:t>
        <w:br/>
        <w:t xml:space="preserve">       canonicalization</w:t>
        <w:br/>
        <w:t xml:space="preserve">       domain/common operator fusion</w:t>
        <w:br/>
        <w:t xml:space="preserve">       algebraic simplification</w:t>
        <w:br/>
        <w:t xml:space="preserve">       shape/layout normalization</w:t>
        <w:br/>
        <w:t xml:space="preserve">  -&gt; common substrate cleanup and promotion/demotion</w:t>
        <w:br/>
        <w:t xml:space="preserve">  -&gt; parallelization planning</w:t>
        <w:br/>
        <w:t xml:space="preserve">       intra-device tiling and locality</w:t>
        <w:br/>
        <w:t xml:space="preserve">       scale-up sharding and collectives</w:t>
        <w:br/>
        <w:t xml:space="preserve">       scale-out partitioning and communication</w:t>
        <w:br/>
        <w:t xml:space="preserve">  -&gt; intrinsic_op / runtime ABI lowering if needed</w:t>
        <w:br/>
        <w:t xml:space="preserve">  -&gt; loop, tile, memory, bandwidth, and target lowering</w:t>
        <w:br/>
        <w:t xml:space="preserve">  -&gt; backend code generation</w:t>
      </w:r>
    </w:p>
    <w:p>
      <w:pPr/>
      <w:r>
        <w:t>This ordering prevents an implementation shortcut from erasing semantic evidence before the compiler has had a chance to verify it. It also preserves the Chapter 5 intent that target-independent optimizations should be performed before the compiler commits to a parallelization strategy or backend ABI.</w:t>
      </w:r>
    </w:p>
    <w:p>
      <w:pPr>
        <w:pStyle w:val="Heading2"/>
      </w:pPr>
      <w:r>
        <w:t>7.11 Initial Vertical Slice</w:t>
      </w:r>
    </w:p>
    <w:p>
      <w:pPr/>
      <w:r>
        <w:t>The first implementation should use a ResNet inference path because it exercises common tensor mechanics, CNN domain operators, residual path contracts, parameter lifting, and binary artifact generation without requiring Transformer runtime state. The required high-level operators are small enough to implement yet rich enough to validate the architectural boundary.</w:t>
      </w:r>
    </w:p>
    <w:p>
      <w:pPr/>
      <w:r>
        <w:t>Recommended first vertical slice:</w:t>
      </w:r>
    </w:p>
    <w:p>
      <w:pPr>
        <w:pStyle w:val="CodeBlock"/>
      </w:pPr>
      <w:r>
        <w:t>OPR_DSC_CNN_CONV2D</w:t>
        <w:br/>
        <w:t>OPR_DSC_BATCH_NORM_INFER</w:t>
        <w:br/>
        <w:t>OPR_DSC_COMMON_RELU</w:t>
        <w:br/>
        <w:t>OPR_DSC_CNN_MAX_POOL2D</w:t>
        <w:br/>
        <w:t>OPR_DSC_COMMON_RESIDUAL_ADD</w:t>
        <w:br/>
        <w:t>OPR_DSC_CNN_GLOBAL_AVG_POOL2D</w:t>
        <w:br/>
        <w:t>OPR_DSC_COMMON_FLATTEN</w:t>
        <w:br/>
        <w:t>OPR_DSC_COMMON_LINEAR</w:t>
        <w:br/>
        <w:t>OPR_DSC_COMMON_OUTPUT_LOGITS</w:t>
      </w:r>
    </w:p>
    <w:p>
      <w:pPr/>
      <w:r>
        <w:t>The frontend should import a torchvision ResNet through torch.export, construct very-high-level WHIRL operators, attach tensor descriptors and source metadata, create the mapped binary WHIRL image, and let Open64 run a gatekeeper and a readable dump pass. Target-independent fusion and normalization should be validated before lowering to intrinsic ops or backend kernels.</w:t>
      </w:r>
    </w:p>
    <w:p>
      <w:pPr>
        <w:pStyle w:val="Heading2"/>
      </w:pPr>
      <w:r>
        <w:t>7.12 Final Architectural Rule</w:t>
      </w:r>
    </w:p>
    <w:p>
      <w:pPr/>
      <w:r>
        <w:t>The Python DSL frontend shall generate very-high-level WHIRL with first-class domain and common operators. Intrinsic ops, runtime calls, and target-specific library calls are lowering products, not the primary ingestion representation. Open64 should use the high-level WHIRL window to run target-independent operator optimization, including fusion, canonicalization, and common-substrate cleanup, then perform parallelization planning before committing to target-specific lowering. The binary WHIRL artifact is the boundary between Python DSL capture and the Open64 compiler pipeline.</w:t>
      </w:r>
    </w:p>
    <w:p>
      <w:r>
        <w:br w:type="page"/>
      </w:r>
    </w:p>
    <w:p>
      <w:pPr>
        <w:pStyle w:val="Heading1"/>
      </w:pPr>
      <w:r>
        <w:rPr>
          <w:b w:val="0"/>
          <w:i w:val="0"/>
        </w:rPr>
        <w:t>Chapter 8. On-Prem LLM Post-Training and Inference Service Architecture</w:t>
      </w:r>
    </w:p>
    <w:p>
      <w:pPr>
        <w:pStyle w:val="Heading2"/>
      </w:pPr>
      <w:r>
        <w:rPr>
          <w:b w:val="0"/>
          <w:i w:val="0"/>
        </w:rPr>
        <w:t>8.1 Purpose and Placement</w:t>
      </w:r>
    </w:p>
    <w:p>
      <w:r>
        <w:rPr>
          <w:b w:val="0"/>
          <w:i w:val="0"/>
        </w:rPr>
        <w:t>This chapter adds the on-premise LLM post-training and inference service architecture to the DSC master design. It is not a replacement for the DSC Common Compiler Substrate. It is a Transformer-domain lifecycle specialization that uses the common tensor, shape, layout, sharding, quantization, dispatch/reduce, runtime-guard, and diagnostic mechanisms defined in Chapters 2, 5, 6, and Appendix D.</w:t>
      </w:r>
    </w:p>
    <w:p>
      <w:r>
        <w:rPr>
          <w:b w:val="0"/>
          <w:i w:val="0"/>
        </w:rPr>
        <w:t>The design target is a private software-business environment in which model artifacts, source code, prompts, rollout traces, adapters, evaluation data, and deployment decisions remain inside the organization boundary. The architecture unifies production inference, RL rollout inference, post-training update, evaluation, and deployment certification under one compiler-visible contract model.</w:t>
      </w:r>
    </w:p>
    <w:p>
      <w:pPr>
        <w:pStyle w:val="Heading2"/>
      </w:pPr>
      <w:r>
        <w:rPr>
          <w:b w:val="0"/>
          <w:i w:val="0"/>
        </w:rPr>
        <w:t>8.2 Terminology Alignment with the DSC Domain Hierarchy</w:t>
      </w:r>
    </w:p>
    <w:p>
      <w:r>
        <w:rPr>
          <w:b w:val="0"/>
          <w:i w:val="0"/>
        </w:rPr>
        <w:t>The phrase Common Compiler Substrate has a precise meaning in DSC: it is domain-neutral and is shared by Transformer, CNN/ResNet, and future domains. Therefore, this chapter uses the term Transformer Lifecycle Semantic Substrate for the LLM-specific Layer 1. This avoids promoting Transformer-specific lifecycle concepts such as tokenizer ABI, attention prefill/decode, KV cache, rollout traces, logprob replay, and adapter ABI into the global common substrate.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b/>
              </w:rPr>
              <w:t>Term</w:t>
            </w:r>
          </w:p>
        </w:tc>
        <w:tc>
          <w:tcPr>
            <w:tcW w:type="dxa" w:w="3312"/>
            <w:vAlign w:val="top"/>
          </w:tcPr>
          <w:p>
            <w:r>
              <w:rPr>
                <w:b/>
              </w:rPr>
              <w:t>Ownership</w:t>
            </w:r>
          </w:p>
        </w:tc>
        <w:tc>
          <w:tcPr>
            <w:tcW w:type="dxa" w:w="3312"/>
            <w:vAlign w:val="top"/>
          </w:tcPr>
          <w:p>
            <w:r>
              <w:rPr>
                <w:b/>
              </w:rPr>
              <w:t>Purpose</w:t>
            </w:r>
          </w:p>
        </w:tc>
      </w:tr>
      <w:tr>
        <w:tc>
          <w:tcPr>
            <w:tcW w:type="dxa" w:w="3312"/>
            <w:vAlign w:val="top"/>
          </w:tcPr>
          <w:p>
            <w:r>
              <w:t>DSC Common Compiler Substrate</w:t>
            </w:r>
          </w:p>
        </w:tc>
        <w:tc>
          <w:tcPr>
            <w:tcW w:type="dxa" w:w="3312"/>
            <w:vAlign w:val="top"/>
          </w:tcPr>
          <w:p>
            <w:r>
              <w:t>ant::compiler::common</w:t>
            </w:r>
          </w:p>
        </w:tc>
        <w:tc>
          <w:tcPr>
            <w:tcW w:type="dxa" w:w="3312"/>
            <w:vAlign w:val="top"/>
          </w:tcPr>
          <w:p>
            <w:r>
              <w:t>Domain-neutral tensor, shape, layout, numeric, quantization, sharding, dispatch/reduce, memory, runtime guard, contract, and diagnostic machinery.</w:t>
            </w:r>
          </w:p>
        </w:tc>
      </w:tr>
      <w:tr>
        <w:tc>
          <w:tcPr>
            <w:tcW w:type="dxa" w:w="3312"/>
            <w:vAlign w:val="top"/>
          </w:tcPr>
          <w:p>
            <w:r>
              <w:t>Transformer Lifecycle Semantic Substrate</w:t>
            </w:r>
          </w:p>
        </w:tc>
        <w:tc>
          <w:tcPr>
            <w:tcW w:type="dxa" w:w="3312"/>
            <w:vAlign w:val="top"/>
          </w:tcPr>
          <w:p>
            <w:r>
              <w:t>ant::domain::transformer and sub-domains</w:t>
            </w:r>
          </w:p>
        </w:tc>
        <w:tc>
          <w:tcPr>
            <w:tcW w:type="dxa" w:w="3312"/>
            <w:vAlign w:val="top"/>
          </w:tcPr>
          <w:p>
            <w:r>
              <w:t>LLM-specific semantic operators, model ABI, tokenizer ABI, attention/runtime-state contracts, generation, RL rollout, adapters, checkpoint ABI, and inference/post-training lifecycle rules.</w:t>
            </w:r>
          </w:p>
        </w:tc>
      </w:tr>
      <w:tr>
        <w:tc>
          <w:tcPr>
            <w:tcW w:type="dxa" w:w="3312"/>
            <w:vAlign w:val="top"/>
          </w:tcPr>
          <w:p>
            <w:r>
              <w:t>Execution Runtime Layer</w:t>
            </w:r>
          </w:p>
        </w:tc>
        <w:tc>
          <w:tcPr>
            <w:tcW w:type="dxa" w:w="3312"/>
            <w:vAlign w:val="top"/>
          </w:tcPr>
          <w:p>
            <w:r>
              <w:t>Runtime plugins and backend namespaces</w:t>
            </w:r>
          </w:p>
        </w:tc>
        <w:tc>
          <w:tcPr>
            <w:tcW w:type="dxa" w:w="3312"/>
            <w:vAlign w:val="top"/>
          </w:tcPr>
          <w:p>
            <w:r>
              <w:t>SGLang, vLLM, TensorRT-LLM, Megatron, NeMo, XLA/PJRT, or other execution engines that run certified plans.</w:t>
            </w:r>
          </w:p>
        </w:tc>
      </w:tr>
    </w:tbl>
    <w:p>
      <w:pPr>
        <w:pStyle w:val="CodeBlock"/>
      </w:pPr>
      <w:r>
        <w:rPr>
          <w:b w:val="0"/>
          <w:i w:val="0"/>
        </w:rPr>
        <w:t>DSC hierarchy:</w:t>
        <w:br/>
        <w:t xml:space="preserve">  ant::compiler::common</w:t>
        <w:br/>
        <w:t xml:space="preserve">    tensor | shape | layout | numeric | quantization | sharding | dispatch_reduce | memory | runtime_guard</w:t>
        <w:br/>
        <w:br/>
        <w:t xml:space="preserve">  ant::domain::transformer</w:t>
        <w:br/>
        <w:t xml:space="preserve">    semantic | generation | attention | runtime_state | checkpoint_abi | adapter_abi | rl_posttraining | inference</w:t>
        <w:br/>
        <w:br/>
        <w:t xml:space="preserve">  ant::domain::cnn</w:t>
        <w:br/>
        <w:t xml:space="preserve">    convolution | pooling | image_layout | preprocessing | residual_blocks | halo_exchange</w:t>
      </w:r>
    </w:p>
    <w:p>
      <w:pPr>
        <w:pStyle w:val="Heading2"/>
      </w:pPr>
      <w:r>
        <w:rPr>
          <w:b w:val="0"/>
          <w:i w:val="0"/>
        </w:rPr>
        <w:t>8.3 Inferred Problem Statement</w:t>
      </w:r>
    </w:p>
    <w:p>
      <w:r>
        <w:rPr>
          <w:b w:val="0"/>
          <w:i w:val="0"/>
        </w:rPr>
        <w:t>Modern on-prem LLM systems are split across training frameworks, rollout engines, inference servers, checkpoint converters, tokenizer packages, quantization tools, and hardware-specific kernels. This fragmentation creates a semantic gap: the same Transformer model must preserve tokenizer identity, chat-template behavior, attention semantics, runtime-state ABI, precision policy, adapter identity, rollout logprob semantics, and deployment behavior across multiple systems.</w:t>
      </w:r>
    </w:p>
    <w:p>
      <w:r>
        <w:rPr>
          <w:b w:val="0"/>
          <w:i w:val="0"/>
        </w:rPr>
        <w:t>The inferred problem is therefore not simply how to run an LLM locally. The problem is how to preserve Transformer-domain meaning while moving between inference serving, RL rollout inference, post-training update, evaluation, and deployment on heterogeneous backends. Existing frameworks cover important pieces, but the end-to-end lifecycle contract remains scattered unless the compiler IR becomes the semantic authority.</w:t>
      </w:r>
    </w:p>
    <w:p>
      <w:pPr>
        <w:pStyle w:val="Heading2"/>
      </w:pPr>
      <w:r>
        <w:rPr>
          <w:b w:val="0"/>
          <w:i w:val="0"/>
        </w:rPr>
        <w:t>8.4 Architecture Value Contribution</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b/>
              </w:rPr>
              <w:t>Value contribution</w:t>
            </w:r>
          </w:p>
        </w:tc>
        <w:tc>
          <w:tcPr>
            <w:tcW w:type="dxa" w:w="4968"/>
            <w:vAlign w:val="top"/>
          </w:tcPr>
          <w:p>
            <w:r>
              <w:rPr>
                <w:b/>
              </w:rPr>
              <w:t>Meaning for DSC</w:t>
            </w:r>
          </w:p>
        </w:tc>
      </w:tr>
      <w:tr>
        <w:tc>
          <w:tcPr>
            <w:tcW w:type="dxa" w:w="4968"/>
            <w:vAlign w:val="top"/>
          </w:tcPr>
          <w:p>
            <w:r>
              <w:t>Private lifecycle control</w:t>
            </w:r>
          </w:p>
        </w:tc>
        <w:tc>
          <w:tcPr>
            <w:tcW w:type="dxa" w:w="4968"/>
            <w:vAlign w:val="top"/>
          </w:tcPr>
          <w:p>
            <w:r>
              <w:t>Keeps model artifacts, proprietary code context, rollout traces, adapters, and deployment tests inside an on-prem boundary.</w:t>
            </w:r>
          </w:p>
        </w:tc>
      </w:tr>
      <w:tr>
        <w:tc>
          <w:tcPr>
            <w:tcW w:type="dxa" w:w="4968"/>
            <w:vAlign w:val="top"/>
          </w:tcPr>
          <w:p>
            <w:r>
              <w:t>Unified Transformer lifecycle semantics</w:t>
            </w:r>
          </w:p>
        </w:tc>
        <w:tc>
          <w:tcPr>
            <w:tcW w:type="dxa" w:w="4968"/>
            <w:vAlign w:val="top"/>
          </w:tcPr>
          <w:p>
            <w:r>
              <w:t>Represents inference, RL rollout, and post-training as sub-domains over one shared Transformer semantic model instead of separate incompatible pipelines.</w:t>
            </w:r>
          </w:p>
        </w:tc>
      </w:tr>
      <w:tr>
        <w:tc>
          <w:tcPr>
            <w:tcW w:type="dxa" w:w="4968"/>
            <w:vAlign w:val="top"/>
          </w:tcPr>
          <w:p>
            <w:r>
              <w:t>Compiler-visible rollout bridge</w:t>
            </w:r>
          </w:p>
        </w:tc>
        <w:tc>
          <w:tcPr>
            <w:tcW w:type="dxa" w:w="4968"/>
            <w:vAlign w:val="top"/>
          </w:tcPr>
          <w:p>
            <w:r>
              <w:t>Treats RL rollout as inference-like generation plus training-like update, so sampling, logprob replay, reward scoring, and actor/reference compatibility are explicit.</w:t>
            </w:r>
          </w:p>
        </w:tc>
      </w:tr>
      <w:tr>
        <w:tc>
          <w:tcPr>
            <w:tcW w:type="dxa" w:w="4968"/>
            <w:vAlign w:val="top"/>
          </w:tcPr>
          <w:p>
            <w:r>
              <w:t>High-level operator preservation</w:t>
            </w:r>
          </w:p>
        </w:tc>
        <w:tc>
          <w:tcPr>
            <w:tcW w:type="dxa" w:w="4968"/>
            <w:vAlign w:val="top"/>
          </w:tcPr>
          <w:p>
            <w:r>
              <w:t>Keeps Transformer lifecycle operators visible until gatekeeper verification, fusion planning, sharding, quantization, and runtime-state contracts are certified.</w:t>
            </w:r>
          </w:p>
        </w:tc>
      </w:tr>
      <w:tr>
        <w:tc>
          <w:tcPr>
            <w:tcW w:type="dxa" w:w="4968"/>
            <w:vAlign w:val="top"/>
          </w:tcPr>
          <w:p>
            <w:r>
              <w:t>Backend plugin strategy</w:t>
            </w:r>
          </w:p>
        </w:tc>
        <w:tc>
          <w:tcPr>
            <w:tcW w:type="dxa" w:w="4968"/>
            <w:vAlign w:val="top"/>
          </w:tcPr>
          <w:p>
            <w:r>
              <w:t>Uses SGLang, vLLM, TensorRT-LLM, Megatron, NeMo, StableHLO/XLA, or PJRT as execution backends rather than as the top-level architecture.</w:t>
            </w:r>
          </w:p>
        </w:tc>
      </w:tr>
      <w:tr>
        <w:tc>
          <w:tcPr>
            <w:tcW w:type="dxa" w:w="4968"/>
            <w:vAlign w:val="top"/>
          </w:tcPr>
          <w:p>
            <w:r>
              <w:t>Quantization gatekeeping</w:t>
            </w:r>
          </w:p>
        </w:tc>
        <w:tc>
          <w:tcPr>
            <w:tcW w:type="dxa" w:w="4968"/>
            <w:vAlign w:val="top"/>
          </w:tcPr>
          <w:p>
            <w:r>
              <w:t>Makes quantization, accumulation dtype, dequantization boundaries, calibration, and precision-sensitive conformance first-class IR state.</w:t>
            </w:r>
          </w:p>
        </w:tc>
      </w:tr>
    </w:tbl>
    <w:p>
      <w:pPr>
        <w:pStyle w:val="Heading2"/>
      </w:pPr>
      <w:r>
        <w:rPr>
          <w:b w:val="0"/>
          <w:i w:val="0"/>
        </w:rPr>
        <w:t>8.5 Three-Layer Architecture</w:t>
      </w:r>
    </w:p>
    <w:p>
      <w:r>
        <w:rPr>
          <w:b w:val="0"/>
          <w:i w:val="0"/>
        </w:rPr>
        <w:t>The on-prem LLM service architecture has three layers. Layer 1 owns Transformer lifecycle semantics. Layer 2 owns lowering, fusion, quantization, sharding, and runtime planning. Layer 3 owns execution runtime personalities. The layers intentionally separate semantic authority from physical backend execution.</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b/>
              </w:rPr>
              <w:t>Layer</w:t>
            </w:r>
          </w:p>
        </w:tc>
        <w:tc>
          <w:tcPr>
            <w:tcW w:type="dxa" w:w="3312"/>
            <w:vAlign w:val="top"/>
          </w:tcPr>
          <w:p>
            <w:r>
              <w:rPr>
                <w:b/>
              </w:rPr>
              <w:t>Name</w:t>
            </w:r>
          </w:p>
        </w:tc>
        <w:tc>
          <w:tcPr>
            <w:tcW w:type="dxa" w:w="3312"/>
            <w:vAlign w:val="top"/>
          </w:tcPr>
          <w:p>
            <w:r>
              <w:rPr>
                <w:b/>
              </w:rPr>
              <w:t>Responsibility</w:t>
            </w:r>
          </w:p>
        </w:tc>
      </w:tr>
      <w:tr>
        <w:tc>
          <w:tcPr>
            <w:tcW w:type="dxa" w:w="3312"/>
            <w:vAlign w:val="top"/>
          </w:tcPr>
          <w:p>
            <w:r>
              <w:t>Layer 1</w:t>
            </w:r>
          </w:p>
        </w:tc>
        <w:tc>
          <w:tcPr>
            <w:tcW w:type="dxa" w:w="3312"/>
            <w:vAlign w:val="top"/>
          </w:tcPr>
          <w:p>
            <w:r>
              <w:t>Transformer Lifecycle Semantic Substrate</w:t>
            </w:r>
          </w:p>
        </w:tc>
        <w:tc>
          <w:tcPr>
            <w:tcW w:type="dxa" w:w="3312"/>
            <w:vAlign w:val="top"/>
          </w:tcPr>
          <w:p>
            <w:r>
              <w:t>Model ABI, tokenizer ABI, chat template, attention semantics, RoPE, runtime-state ABI, generation policy, rollout traces, logprob semantics, adapters, checkpoint ABI, and lifecycle contracts.</w:t>
            </w:r>
          </w:p>
        </w:tc>
      </w:tr>
      <w:tr>
        <w:tc>
          <w:tcPr>
            <w:tcW w:type="dxa" w:w="3312"/>
            <w:vAlign w:val="top"/>
          </w:tcPr>
          <w:p>
            <w:r>
              <w:t>Layer 2</w:t>
            </w:r>
          </w:p>
        </w:tc>
        <w:tc>
          <w:tcPr>
            <w:tcW w:type="dxa" w:w="3312"/>
            <w:vAlign w:val="top"/>
          </w:tcPr>
          <w:p>
            <w:r>
              <w:t>Lowering, Fusion, Quantization, Sharding, and Runtime-Plan Layer</w:t>
            </w:r>
          </w:p>
        </w:tc>
        <w:tc>
          <w:tcPr>
            <w:tcW w:type="dxa" w:w="3312"/>
            <w:vAlign w:val="top"/>
          </w:tcPr>
          <w:p>
            <w:r>
              <w:t>High-level-to-common lowering, fusion grouping, quantization contracts, sharding decisions, dispatch/reduce planning, memory hierarchy planning, StableHLO/XLA or CUDA/Triton/TensorRT lowering preparation, and gatekeeper diagnostics.</w:t>
            </w:r>
          </w:p>
        </w:tc>
      </w:tr>
      <w:tr>
        <w:tc>
          <w:tcPr>
            <w:tcW w:type="dxa" w:w="3312"/>
            <w:vAlign w:val="top"/>
          </w:tcPr>
          <w:p>
            <w:r>
              <w:t>Layer 3</w:t>
            </w:r>
          </w:p>
        </w:tc>
        <w:tc>
          <w:tcPr>
            <w:tcW w:type="dxa" w:w="3312"/>
            <w:vAlign w:val="top"/>
          </w:tcPr>
          <w:p>
            <w:r>
              <w:t>Execution Runtime Layer</w:t>
            </w:r>
          </w:p>
        </w:tc>
        <w:tc>
          <w:tcPr>
            <w:tcW w:type="dxa" w:w="3312"/>
            <w:vAlign w:val="top"/>
          </w:tcPr>
          <w:p>
            <w:r>
              <w:t>Production inference, RL rollout inference, post-training update, reward/verifier/evaluator execution, certification runs, and deployment runtime plugins.</w:t>
            </w:r>
          </w:p>
        </w:tc>
      </w:tr>
    </w:tbl>
    <w:p>
      <w:pPr>
        <w:pStyle w:val="CodeBlock"/>
      </w:pPr>
      <w:r>
        <w:rPr>
          <w:b w:val="0"/>
          <w:i w:val="0"/>
        </w:rPr>
        <w:t>Transformer lifecycle service:</w:t>
        <w:br/>
        <w:t xml:space="preserve">  Layer 1: Transformer Lifecycle Semantic Substrate</w:t>
        <w:br/>
        <w:t xml:space="preserve">    -&gt; Layer 2: Lowering / fusion / quantization / sharding / runtime-plan layer</w:t>
        <w:br/>
        <w:t xml:space="preserve">      -&gt; Layer 3: execution runtime plugins</w:t>
        <w:br/>
        <w:t xml:space="preserve">           production inference | RL rollout inference | post-training update | evaluation | deployment certification</w:t>
      </w:r>
    </w:p>
    <w:p>
      <w:pPr>
        <w:pStyle w:val="Heading2"/>
      </w:pPr>
      <w:r>
        <w:rPr>
          <w:b w:val="0"/>
          <w:i w:val="0"/>
        </w:rPr>
        <w:t>8.6 RL Post-Training as a Hybrid Runtime</w:t>
      </w:r>
    </w:p>
    <w:p>
      <w:r>
        <w:rPr>
          <w:b w:val="0"/>
          <w:i w:val="0"/>
        </w:rPr>
        <w:t>RL post-training changes the runtime model because rollout is inference-like generation inside a training loop. The rollout path shares tokenizer, chat template, prefill/decode attention, sampling, return-logprob logic, runtime-state reuse, and sometimes adapter loading with production inference. The update path shares forward/backward, loss, optimizer, gradient accumulation, weight synchronization, and checkpoint export with training frameworks. SGLang and verl already expose SGLang as a rollout engine, while Megatron/NeMo-style stacks own large-scale training and update paths [9][16][17].</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b/>
              </w:rPr>
              <w:t>RL sub-path</w:t>
            </w:r>
          </w:p>
        </w:tc>
        <w:tc>
          <w:tcPr>
            <w:tcW w:type="dxa" w:w="3312"/>
            <w:vAlign w:val="top"/>
          </w:tcPr>
          <w:p>
            <w:r>
              <w:rPr>
                <w:b/>
              </w:rPr>
              <w:t>Shared with inference</w:t>
            </w:r>
          </w:p>
        </w:tc>
        <w:tc>
          <w:tcPr>
            <w:tcW w:type="dxa" w:w="3312"/>
            <w:vAlign w:val="top"/>
          </w:tcPr>
          <w:p>
            <w:r>
              <w:rPr>
                <w:b/>
              </w:rPr>
              <w:t>Shared with training/post-training</w:t>
            </w:r>
          </w:p>
        </w:tc>
      </w:tr>
      <w:tr>
        <w:tc>
          <w:tcPr>
            <w:tcW w:type="dxa" w:w="3312"/>
            <w:vAlign w:val="top"/>
          </w:tcPr>
          <w:p>
            <w:r>
              <w:t>Rollout generation</w:t>
            </w:r>
          </w:p>
        </w:tc>
        <w:tc>
          <w:tcPr>
            <w:tcW w:type="dxa" w:w="3312"/>
            <w:vAlign w:val="top"/>
          </w:tcPr>
          <w:p>
            <w:r>
              <w:t>Tokenization, chat template, generation policy, sampling, attention prefill/decode, runtime state, return_logprobs.</w:t>
            </w:r>
          </w:p>
        </w:tc>
        <w:tc>
          <w:tcPr>
            <w:tcW w:type="dxa" w:w="3312"/>
            <w:vAlign w:val="top"/>
          </w:tcPr>
          <w:p>
            <w:r>
              <w:t>Actor weight version, rollout trace, old-policy logprobs, reward input, KL/reference requirements.</w:t>
            </w:r>
          </w:p>
        </w:tc>
      </w:tr>
      <w:tr>
        <w:tc>
          <w:tcPr>
            <w:tcW w:type="dxa" w:w="3312"/>
            <w:vAlign w:val="top"/>
          </w:tcPr>
          <w:p>
            <w:r>
              <w:t>Reward / verifier scoring</w:t>
            </w:r>
          </w:p>
        </w:tc>
        <w:tc>
          <w:tcPr>
            <w:tcW w:type="dxa" w:w="3312"/>
            <w:vAlign w:val="top"/>
          </w:tcPr>
          <w:p>
            <w:r>
              <w:t>Batching, tokenization, model forward, latency/resource policy.</w:t>
            </w:r>
          </w:p>
        </w:tc>
        <w:tc>
          <w:tcPr>
            <w:tcW w:type="dxa" w:w="3312"/>
            <w:vAlign w:val="top"/>
          </w:tcPr>
          <w:p>
            <w:r>
              <w:t>Reward model versioning, preference labels, loss masks, evaluation records.</w:t>
            </w:r>
          </w:p>
        </w:tc>
      </w:tr>
      <w:tr>
        <w:tc>
          <w:tcPr>
            <w:tcW w:type="dxa" w:w="3312"/>
            <w:vAlign w:val="top"/>
          </w:tcPr>
          <w:p>
            <w:r>
              <w:t>Policy update</w:t>
            </w:r>
          </w:p>
        </w:tc>
        <w:tc>
          <w:tcPr>
            <w:tcW w:type="dxa" w:w="3312"/>
            <w:vAlign w:val="top"/>
          </w:tcPr>
          <w:p>
            <w:r>
              <w:t>Model ABI and checkpoint identity must remain compatible with serving.</w:t>
            </w:r>
          </w:p>
        </w:tc>
        <w:tc>
          <w:tcPr>
            <w:tcW w:type="dxa" w:w="3312"/>
            <w:vAlign w:val="top"/>
          </w:tcPr>
          <w:p>
            <w:r>
              <w:t>Forward/backward, optimizer, gradient accumulation, distributed parallelism, adapter/checkpoint export.</w:t>
            </w:r>
          </w:p>
        </w:tc>
      </w:tr>
      <w:tr>
        <w:tc>
          <w:tcPr>
            <w:tcW w:type="dxa" w:w="3312"/>
            <w:vAlign w:val="top"/>
          </w:tcPr>
          <w:p>
            <w:r>
              <w:t>Deployment certification</w:t>
            </w:r>
          </w:p>
        </w:tc>
        <w:tc>
          <w:tcPr>
            <w:tcW w:type="dxa" w:w="3312"/>
            <w:vAlign w:val="top"/>
          </w:tcPr>
          <w:p>
            <w:r>
              <w:t>Inference replay, logprob replay, greedy decode, state reuse tests.</w:t>
            </w:r>
          </w:p>
        </w:tc>
        <w:tc>
          <w:tcPr>
            <w:tcW w:type="dxa" w:w="3312"/>
            <w:vAlign w:val="top"/>
          </w:tcPr>
          <w:p>
            <w:r>
              <w:t>Rollout-vs-update consistency, actor/reference compatibility, reward trace provenance.</w:t>
            </w:r>
          </w:p>
        </w:tc>
      </w:tr>
    </w:tbl>
    <w:p>
      <w:r>
        <w:rPr>
          <w:b w:val="0"/>
          <w:i w:val="0"/>
        </w:rPr>
        <w:t>The architecture should therefore represent RL post-training as a hybrid lifecycle loop: rollout inference sub-runtime, reward/verifier sub-runtime, and policy-update sub-runtime. This keeps shared inference logic reusable while preserving training-only obligations such as optimizer state and backward graph.</w:t>
      </w:r>
    </w:p>
    <w:p>
      <w:pPr>
        <w:pStyle w:val="Heading2"/>
      </w:pPr>
      <w:r>
        <w:rPr>
          <w:b w:val="0"/>
          <w:i w:val="0"/>
        </w:rPr>
        <w:t>8.7 High-Level Operator Preservation and StableHLO/XLA Lowering</w:t>
      </w:r>
    </w:p>
    <w:p>
      <w:r>
        <w:rPr>
          <w:b w:val="0"/>
          <w:i w:val="0"/>
        </w:rPr>
        <w:t>StableHLO and XLA are valuable lowering and portability targets, but they should not become the top semantic authority for DSC. StableHLO represents a portable ML operation set and XLA lowers and optimizes computation for target execution [25][27]. For the DSC architecture, the authoritative artifact must remain the Transformer Lifecycle Semantic Substrate, while StableHLO/XLA, CUDA/Triton, TensorRT-LLM, SGLang runtime plans, or PJRT executables are lowered artifacts.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b/>
              </w:rPr>
              <w:t>High-level Transformer operator</w:t>
            </w:r>
          </w:p>
        </w:tc>
        <w:tc>
          <w:tcPr>
            <w:tcW w:type="dxa" w:w="3312"/>
            <w:vAlign w:val="top"/>
          </w:tcPr>
          <w:p>
            <w:r>
              <w:rPr>
                <w:b/>
              </w:rPr>
              <w:t>Why it must remain visible</w:t>
            </w:r>
          </w:p>
        </w:tc>
        <w:tc>
          <w:tcPr>
            <w:tcW w:type="dxa" w:w="3312"/>
            <w:vAlign w:val="top"/>
          </w:tcPr>
          <w:p>
            <w:r>
              <w:rPr>
                <w:b/>
              </w:rPr>
              <w:t>Possible lowerings</w:t>
            </w:r>
          </w:p>
        </w:tc>
      </w:tr>
      <w:tr>
        <w:tc>
          <w:tcPr>
            <w:tcW w:type="dxa" w:w="3312"/>
            <w:vAlign w:val="top"/>
          </w:tcPr>
          <w:p>
            <w:r>
              <w:t>transformer.attention.prefill</w:t>
            </w:r>
          </w:p>
        </w:tc>
        <w:tc>
          <w:tcPr>
            <w:tcW w:type="dxa" w:w="3312"/>
            <w:vAlign w:val="top"/>
          </w:tcPr>
          <w:p>
            <w:r>
              <w:t>Defines causal mask, position encoding, state creation, context length, and logits behavior.</w:t>
            </w:r>
          </w:p>
        </w:tc>
        <w:tc>
          <w:tcPr>
            <w:tcW w:type="dxa" w:w="3312"/>
            <w:vAlign w:val="top"/>
          </w:tcPr>
          <w:p>
            <w:r>
              <w:t>StableHLO composition, XLA custom lowering, CUDA/Triton attention kernel, TensorRT-LLM plan, SGLang prefill path.</w:t>
            </w:r>
          </w:p>
        </w:tc>
      </w:tr>
      <w:tr>
        <w:tc>
          <w:tcPr>
            <w:tcW w:type="dxa" w:w="3312"/>
            <w:vAlign w:val="top"/>
          </w:tcPr>
          <w:p>
            <w:r>
              <w:t>transformer.attention.decode</w:t>
            </w:r>
          </w:p>
        </w:tc>
        <w:tc>
          <w:tcPr>
            <w:tcW w:type="dxa" w:w="3312"/>
            <w:vAlign w:val="top"/>
          </w:tcPr>
          <w:p>
            <w:r>
              <w:t>Defines per-token state update, paged or recurrent state access, and latency-sensitive scheduling.</w:t>
            </w:r>
          </w:p>
        </w:tc>
        <w:tc>
          <w:tcPr>
            <w:tcW w:type="dxa" w:w="3312"/>
            <w:vAlign w:val="top"/>
          </w:tcPr>
          <w:p>
            <w:r>
              <w:t>Paged-attention kernel, decode runtime plan, XLA/PJRT executable variant.</w:t>
            </w:r>
          </w:p>
        </w:tc>
      </w:tr>
      <w:tr>
        <w:tc>
          <w:tcPr>
            <w:tcW w:type="dxa" w:w="3312"/>
            <w:vAlign w:val="top"/>
          </w:tcPr>
          <w:p>
            <w:r>
              <w:t>transformer.rollout.generate</w:t>
            </w:r>
          </w:p>
        </w:tc>
        <w:tc>
          <w:tcPr>
            <w:tcW w:type="dxa" w:w="3312"/>
            <w:vAlign w:val="top"/>
          </w:tcPr>
          <w:p>
            <w:r>
              <w:t>Defines RL sampling policy, trace capture, return_logprobs, stop policy, and actor weight version.</w:t>
            </w:r>
          </w:p>
        </w:tc>
        <w:tc>
          <w:tcPr>
            <w:tcW w:type="dxa" w:w="3312"/>
            <w:vAlign w:val="top"/>
          </w:tcPr>
          <w:p>
            <w:r>
              <w:t>SGLang rollout worker, vLLM rollout path, custom generation runtime.</w:t>
            </w:r>
          </w:p>
        </w:tc>
      </w:tr>
      <w:tr>
        <w:tc>
          <w:tcPr>
            <w:tcW w:type="dxa" w:w="3312"/>
            <w:vAlign w:val="top"/>
          </w:tcPr>
          <w:p>
            <w:r>
              <w:t>transformer.lora_apply</w:t>
            </w:r>
          </w:p>
        </w:tc>
        <w:tc>
          <w:tcPr>
            <w:tcW w:type="dxa" w:w="3312"/>
            <w:vAlign w:val="top"/>
          </w:tcPr>
          <w:p>
            <w:r>
              <w:t>Defines adapter identity, rank, placement, target modules, and per-request adapter routing.</w:t>
            </w:r>
          </w:p>
        </w:tc>
        <w:tc>
          <w:tcPr>
            <w:tcW w:type="dxa" w:w="3312"/>
            <w:vAlign w:val="top"/>
          </w:tcPr>
          <w:p>
            <w:r>
              <w:t>SGLang LoRA serving, vLLM LoRA serving, fused LoRA matmul.</w:t>
            </w:r>
          </w:p>
        </w:tc>
      </w:tr>
      <w:tr>
        <w:tc>
          <w:tcPr>
            <w:tcW w:type="dxa" w:w="3312"/>
            <w:vAlign w:val="top"/>
          </w:tcPr>
          <w:p>
            <w:r>
              <w:t>transformer.logprob_replay</w:t>
            </w:r>
          </w:p>
        </w:tc>
        <w:tc>
          <w:tcPr>
            <w:tcW w:type="dxa" w:w="3312"/>
            <w:vAlign w:val="top"/>
          </w:tcPr>
          <w:p>
            <w:r>
              <w:t>Defines rollout/inference equivalence and numerical tolerance.</w:t>
            </w:r>
          </w:p>
        </w:tc>
        <w:tc>
          <w:tcPr>
            <w:tcW w:type="dxa" w:w="3312"/>
            <w:vAlign w:val="top"/>
          </w:tcPr>
          <w:p>
            <w:r>
              <w:t>Reference replay harness, backend conformance test, certified evaluation job.</w:t>
            </w:r>
          </w:p>
        </w:tc>
      </w:tr>
    </w:tbl>
    <w:p>
      <w:r>
        <w:rPr>
          <w:b w:val="0"/>
          <w:i w:val="0"/>
        </w:rPr>
        <w:t>This opens a research thread for Python ingestion: the Python front end should capture high-level Transformer lifecycle operators before generic tracing erases them into low-level tensor graphs. The ingestion path should preserve operator identity, tensor contracts, domain lineage, and source provenance, then explicitly introduce lowerings in Layer 2. Chapter 7 and Appendix I already define Python-to-very-high-level-WHIRL and PyTorch/XLA StableHLO export patterns; Chapter 8 adds the requirement that Transformer lifecycle operators survive long enough for gatekeeper verification before StableHLO/XLA or backend-specific lowering [57][58][59][60][61][62].</w:t>
      </w:r>
    </w:p>
    <w:p>
      <w:pPr>
        <w:pStyle w:val="Heading2"/>
      </w:pPr>
      <w:r>
        <w:rPr>
          <w:b w:val="0"/>
          <w:i w:val="0"/>
        </w:rPr>
        <w:t>8.8 Multiple Lowering Phases in the Three-Layer Architecture</w:t>
      </w:r>
    </w:p>
    <w:p>
      <w:r>
        <w:rPr>
          <w:b w:val="0"/>
          <w:i w:val="0"/>
        </w:rPr>
        <w:t>Lowering in this architecture is not one step. It is a sequence of staged decisions that deliberately preserves high-level meaning until the corresponding gatekeeper obligations are satisfied. This clears the confusion between semantic lowering, common-substrate lowering, parallelization lowering, and backend kernel lowering.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b/>
              </w:rPr>
              <w:t>Phase</w:t>
            </w:r>
          </w:p>
        </w:tc>
        <w:tc>
          <w:tcPr>
            <w:tcW w:type="dxa" w:w="3312"/>
            <w:vAlign w:val="top"/>
          </w:tcPr>
          <w:p>
            <w:r>
              <w:rPr>
                <w:b/>
              </w:rPr>
              <w:t>Lowering step</w:t>
            </w:r>
          </w:p>
        </w:tc>
        <w:tc>
          <w:tcPr>
            <w:tcW w:type="dxa" w:w="3312"/>
            <w:vAlign w:val="top"/>
          </w:tcPr>
          <w:p>
            <w:r>
              <w:rPr>
                <w:b/>
              </w:rPr>
              <w:t>Design intent</w:t>
            </w:r>
          </w:p>
        </w:tc>
      </w:tr>
      <w:tr>
        <w:tc>
          <w:tcPr>
            <w:tcW w:type="dxa" w:w="3312"/>
            <w:vAlign w:val="top"/>
          </w:tcPr>
          <w:p>
            <w:r>
              <w:t>L0</w:t>
            </w:r>
          </w:p>
        </w:tc>
        <w:tc>
          <w:tcPr>
            <w:tcW w:type="dxa" w:w="3312"/>
            <w:vAlign w:val="top"/>
          </w:tcPr>
          <w:p>
            <w:r>
              <w:t>Python/API capture to Application Intent IR</w:t>
            </w:r>
          </w:p>
        </w:tc>
        <w:tc>
          <w:tcPr>
            <w:tcW w:type="dxa" w:w="3312"/>
            <w:vAlign w:val="top"/>
          </w:tcPr>
          <w:p>
            <w:r>
              <w:t>Capture user intent such as generate, infer, fine-tune, rollout, evaluate, or certify.</w:t>
            </w:r>
          </w:p>
        </w:tc>
      </w:tr>
      <w:tr>
        <w:tc>
          <w:tcPr>
            <w:tcW w:type="dxa" w:w="3312"/>
            <w:vAlign w:val="top"/>
          </w:tcPr>
          <w:p>
            <w:r>
              <w:t>L1</w:t>
            </w:r>
          </w:p>
        </w:tc>
        <w:tc>
          <w:tcPr>
            <w:tcW w:type="dxa" w:w="3312"/>
            <w:vAlign w:val="top"/>
          </w:tcPr>
          <w:p>
            <w:r>
              <w:t>Application Intent IR to Transformer Lifecycle Semantic Substrate</w:t>
            </w:r>
          </w:p>
        </w:tc>
        <w:tc>
          <w:tcPr>
            <w:tcW w:type="dxa" w:w="3312"/>
            <w:vAlign w:val="top"/>
          </w:tcPr>
          <w:p>
            <w:r>
              <w:t>Create first-class Transformer lifecycle operators and contracts before generic tensor decomposition.</w:t>
            </w:r>
          </w:p>
        </w:tc>
      </w:tr>
      <w:tr>
        <w:tc>
          <w:tcPr>
            <w:tcW w:type="dxa" w:w="3312"/>
            <w:vAlign w:val="top"/>
          </w:tcPr>
          <w:p>
            <w:r>
              <w:t>L2</w:t>
            </w:r>
          </w:p>
        </w:tc>
        <w:tc>
          <w:tcPr>
            <w:tcW w:type="dxa" w:w="3312"/>
            <w:vAlign w:val="top"/>
          </w:tcPr>
          <w:p>
            <w:r>
              <w:t>Transformer semantic ops to DSC common-substrate ops with lineage</w:t>
            </w:r>
          </w:p>
        </w:tc>
        <w:tc>
          <w:tcPr>
            <w:tcW w:type="dxa" w:w="3312"/>
            <w:vAlign w:val="top"/>
          </w:tcPr>
          <w:p>
            <w:r>
              <w:t>Expose reusable tensor, shape, numeric, quantization, sharding, dispatch/reduce, and memory mechanisms while preserving the domain backpointer.</w:t>
            </w:r>
          </w:p>
        </w:tc>
      </w:tr>
      <w:tr>
        <w:tc>
          <w:tcPr>
            <w:tcW w:type="dxa" w:w="3312"/>
            <w:vAlign w:val="top"/>
          </w:tcPr>
          <w:p>
            <w:r>
              <w:t>L3</w:t>
            </w:r>
          </w:p>
        </w:tc>
        <w:tc>
          <w:tcPr>
            <w:tcW w:type="dxa" w:w="3312"/>
            <w:vAlign w:val="top"/>
          </w:tcPr>
          <w:p>
            <w:r>
              <w:t>Fusion candidate and semantic legality planning</w:t>
            </w:r>
          </w:p>
        </w:tc>
        <w:tc>
          <w:tcPr>
            <w:tcW w:type="dxa" w:w="3312"/>
            <w:vAlign w:val="top"/>
          </w:tcPr>
          <w:p>
            <w:r>
              <w:t>Mark legal fusion groups without erasing original semantic operators.</w:t>
            </w:r>
          </w:p>
        </w:tc>
      </w:tr>
      <w:tr>
        <w:tc>
          <w:tcPr>
            <w:tcW w:type="dxa" w:w="3312"/>
            <w:vAlign w:val="top"/>
          </w:tcPr>
          <w:p>
            <w:r>
              <w:t>L4</w:t>
            </w:r>
          </w:p>
        </w:tc>
        <w:tc>
          <w:tcPr>
            <w:tcW w:type="dxa" w:w="3312"/>
            <w:vAlign w:val="top"/>
          </w:tcPr>
          <w:p>
            <w:r>
              <w:t>Compiler-selected parallelization and tensor evolution</w:t>
            </w:r>
          </w:p>
        </w:tc>
        <w:tc>
          <w:tcPr>
            <w:tcW w:type="dxa" w:w="3312"/>
            <w:vAlign w:val="top"/>
          </w:tcPr>
          <w:p>
            <w:r>
              <w:t>Apply ParallelizationChoiceIR, DataShardingIR, DispatchReduceIR, tensor evolution, local shard descriptors, and memory hierarchy planning.</w:t>
            </w:r>
          </w:p>
        </w:tc>
      </w:tr>
      <w:tr>
        <w:tc>
          <w:tcPr>
            <w:tcW w:type="dxa" w:w="3312"/>
            <w:vAlign w:val="top"/>
          </w:tcPr>
          <w:p>
            <w:r>
              <w:t>L5</w:t>
            </w:r>
          </w:p>
        </w:tc>
        <w:tc>
          <w:tcPr>
            <w:tcW w:type="dxa" w:w="3312"/>
            <w:vAlign w:val="top"/>
          </w:tcPr>
          <w:p>
            <w:r>
              <w:t>Backend-independent runtime plan</w:t>
            </w:r>
          </w:p>
        </w:tc>
        <w:tc>
          <w:tcPr>
            <w:tcW w:type="dxa" w:w="3312"/>
            <w:vAlign w:val="top"/>
          </w:tcPr>
          <w:p>
            <w:r>
              <w:t>Emit certified shape buckets, runtime guards, communication intent, quantization policy, and fallback variants.</w:t>
            </w:r>
          </w:p>
        </w:tc>
      </w:tr>
      <w:tr>
        <w:tc>
          <w:tcPr>
            <w:tcW w:type="dxa" w:w="3312"/>
            <w:vAlign w:val="top"/>
          </w:tcPr>
          <w:p>
            <w:r>
              <w:t>L6</w:t>
            </w:r>
          </w:p>
        </w:tc>
        <w:tc>
          <w:tcPr>
            <w:tcW w:type="dxa" w:w="3312"/>
            <w:vAlign w:val="top"/>
          </w:tcPr>
          <w:p>
            <w:r>
              <w:t>Backend-specific lowering</w:t>
            </w:r>
          </w:p>
        </w:tc>
        <w:tc>
          <w:tcPr>
            <w:tcW w:type="dxa" w:w="3312"/>
            <w:vAlign w:val="top"/>
          </w:tcPr>
          <w:p>
            <w:r>
              <w:t>Lower to StableHLO/XLA/PJRT, CUDA/Triton/CUTLASS/TensorRT-LLM, SGLang/vLLM runtime plans, or Megatron/NeMo training plans.</w:t>
            </w:r>
          </w:p>
        </w:tc>
      </w:tr>
      <w:tr>
        <w:tc>
          <w:tcPr>
            <w:tcW w:type="dxa" w:w="3312"/>
            <w:vAlign w:val="top"/>
          </w:tcPr>
          <w:p>
            <w:r>
              <w:t>L7</w:t>
            </w:r>
          </w:p>
        </w:tc>
        <w:tc>
          <w:tcPr>
            <w:tcW w:type="dxa" w:w="3312"/>
            <w:vAlign w:val="top"/>
          </w:tcPr>
          <w:p>
            <w:r>
              <w:t>Runtime execution and telemetry feedback</w:t>
            </w:r>
          </w:p>
        </w:tc>
        <w:tc>
          <w:tcPr>
            <w:tcW w:type="dxa" w:w="3312"/>
            <w:vAlign w:val="top"/>
          </w:tcPr>
          <w:p>
            <w:r>
              <w:t>Execute only inside compiler-certified guards, collect conformance/performance telemetry, and support profile-guided refinement.</w:t>
            </w:r>
          </w:p>
        </w:tc>
      </w:tr>
    </w:tbl>
    <w:p>
      <w:r>
        <w:rPr>
          <w:b w:val="0"/>
          <w:i w:val="0"/>
        </w:rPr>
        <w:t>The multi-step parallelization model from Chapter 5 maps naturally into L4 and L5. Sharding is selected first, communication is derived from producer-consumer placement, dispatch/reduce is made explicit, and target collectives are resolved only after common lowering. This keeps NVIDIA NVLink/NVSwitch, TPU ICI/DCN, SGLang runtime mechanisms, and XLA/GSPMD mechanisms as backend realizations of a common plan rather than separate top-level designs [45][46][47].</w:t>
      </w:r>
    </w:p>
    <w:p>
      <w:pPr>
        <w:pStyle w:val="CodeBlock"/>
      </w:pPr>
      <w:r>
        <w:rPr>
          <w:b w:val="0"/>
          <w:i w:val="0"/>
        </w:rPr>
        <w:t>Lowering sequence:</w:t>
        <w:br/>
        <w:t xml:space="preserve">  Python/API capture</w:t>
        <w:br/>
        <w:t xml:space="preserve">    -&gt; Transformer lifecycle semantic operators</w:t>
        <w:br/>
        <w:t xml:space="preserve">    -&gt; DSC common-substrate ops with domain lineage</w:t>
        <w:br/>
        <w:t xml:space="preserve">    -&gt; fusion candidates and legality checks</w:t>
        <w:br/>
        <w:t xml:space="preserve">    -&gt; ParallelizationChoiceIR and TensorEvolutionRecord</w:t>
        <w:br/>
        <w:t xml:space="preserve">    -&gt; DispatchReduceIR and RuntimePlanIR</w:t>
        <w:br/>
        <w:t xml:space="preserve">    -&gt; StableHLO/XLA | CUDA/Triton/TensorRT-LLM | SGLang/vLLM | Megatron/NeMo</w:t>
        <w:br/>
        <w:t xml:space="preserve">    -&gt; certified runtime execution</w:t>
      </w:r>
    </w:p>
    <w:p>
      <w:pPr>
        <w:pStyle w:val="Heading2"/>
      </w:pPr>
      <w:r>
        <w:rPr>
          <w:b w:val="0"/>
          <w:i w:val="0"/>
        </w:rPr>
        <w:t>8.9 Operator Fusion Placement</w:t>
      </w:r>
    </w:p>
    <w:p>
      <w:r>
        <w:rPr>
          <w:b w:val="0"/>
          <w:i w:val="0"/>
        </w:rPr>
        <w:t>Fusion should be staged. Layer 1 may identify semantic fusion candidates but should not erase operator identity. Layer 2 should decide fusion legality and profitability using tensor contracts, quantization state, shape buckets, sharding, and memory hierarchy. Layer 3 or backend lowering should select or emit the physical fused kernel. This matches the DSC rule that semantic operators remain visible until the relevant gatekeeper obligations have been verified.</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b/>
              </w:rPr>
              <w:t>Fusion level</w:t>
            </w:r>
          </w:p>
        </w:tc>
        <w:tc>
          <w:tcPr>
            <w:tcW w:type="dxa" w:w="3312"/>
            <w:vAlign w:val="top"/>
          </w:tcPr>
          <w:p>
            <w:r>
              <w:rPr>
                <w:b/>
              </w:rPr>
              <w:t>What happens</w:t>
            </w:r>
          </w:p>
        </w:tc>
        <w:tc>
          <w:tcPr>
            <w:tcW w:type="dxa" w:w="3312"/>
            <w:vAlign w:val="top"/>
          </w:tcPr>
          <w:p>
            <w:r>
              <w:rPr>
                <w:b/>
              </w:rPr>
              <w:t>What must be preserved</w:t>
            </w:r>
          </w:p>
        </w:tc>
      </w:tr>
      <w:tr>
        <w:tc>
          <w:tcPr>
            <w:tcW w:type="dxa" w:w="3312"/>
            <w:vAlign w:val="top"/>
          </w:tcPr>
          <w:p>
            <w:r>
              <w:t>Layer 1 semantic fusion candidate</w:t>
            </w:r>
          </w:p>
        </w:tc>
        <w:tc>
          <w:tcPr>
            <w:tcW w:type="dxa" w:w="3312"/>
            <w:vAlign w:val="top"/>
          </w:tcPr>
          <w:p>
            <w:r>
              <w:t>Create a group such as RMSNorm + QKVProjection + RoPE + Attention.Prefill.</w:t>
            </w:r>
          </w:p>
        </w:tc>
        <w:tc>
          <w:tcPr>
            <w:tcW w:type="dxa" w:w="3312"/>
            <w:vAlign w:val="top"/>
          </w:tcPr>
          <w:p>
            <w:r>
              <w:t>Original operator identities, tensor roles, attention contract, position rule, quantization policy.</w:t>
            </w:r>
          </w:p>
        </w:tc>
      </w:tr>
      <w:tr>
        <w:tc>
          <w:tcPr>
            <w:tcW w:type="dxa" w:w="3312"/>
            <w:vAlign w:val="top"/>
          </w:tcPr>
          <w:p>
            <w:r>
              <w:t>Layer 2 legality/profitability fusion</w:t>
            </w:r>
          </w:p>
        </w:tc>
        <w:tc>
          <w:tcPr>
            <w:tcW w:type="dxa" w:w="3312"/>
            <w:vAlign w:val="top"/>
          </w:tcPr>
          <w:p>
            <w:r>
              <w:t>Check shapes, sharding, dtype, dequant boundaries, memory tier, and backend capability.</w:t>
            </w:r>
          </w:p>
        </w:tc>
        <w:tc>
          <w:tcPr>
            <w:tcW w:type="dxa" w:w="3312"/>
            <w:vAlign w:val="top"/>
          </w:tcPr>
          <w:p>
            <w:r>
              <w:t>Contract evidence, fallback path, diagnostics, tensor evolution lineage.</w:t>
            </w:r>
          </w:p>
        </w:tc>
      </w:tr>
      <w:tr>
        <w:tc>
          <w:tcPr>
            <w:tcW w:type="dxa" w:w="3312"/>
            <w:vAlign w:val="top"/>
          </w:tcPr>
          <w:p>
            <w:r>
              <w:t>Layer 3 physical fused kernel</w:t>
            </w:r>
          </w:p>
        </w:tc>
        <w:tc>
          <w:tcPr>
            <w:tcW w:type="dxa" w:w="3312"/>
            <w:vAlign w:val="top"/>
          </w:tcPr>
          <w:p>
            <w:r>
              <w:t>Select TensorRT-LLM/CUDA/Triton/XLA/SGLang kernel or executable variant.</w:t>
            </w:r>
          </w:p>
        </w:tc>
        <w:tc>
          <w:tcPr>
            <w:tcW w:type="dxa" w:w="3312"/>
            <w:vAlign w:val="top"/>
          </w:tcPr>
          <w:p>
            <w:r>
              <w:t>Certified behavior, conformance tolerance, runtime guard envelope.</w:t>
            </w:r>
          </w:p>
        </w:tc>
      </w:tr>
    </w:tbl>
    <w:p>
      <w:pPr>
        <w:pStyle w:val="Heading2"/>
      </w:pPr>
      <w:r>
        <w:rPr>
          <w:b w:val="0"/>
          <w:i w:val="0"/>
        </w:rPr>
        <w:t>8.10 Quantization and Dequantization Gatekeeping</w:t>
      </w:r>
    </w:p>
    <w:p>
      <w:r>
        <w:rPr>
          <w:b w:val="0"/>
          <w:i w:val="0"/>
        </w:rPr>
        <w:t>Quantization is a standard deployment practice and must be represented as first-class compiler state rather than as a backend flag. TensorContractIR should record storage dtype, compute dtype, accumulation dtype, quantization format, group size, scale and zero-point metadata, calibration source, protected channels, and dequantization obligations. NVIDIA Hopper and Blackwell platforms expose hardware and software support for low-precision Transformer execution, while serving frameworks increasingly expose quantized model paths [48][49].</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b/>
              </w:rPr>
              <w:t>Quantization field</w:t>
            </w:r>
          </w:p>
        </w:tc>
        <w:tc>
          <w:tcPr>
            <w:tcW w:type="dxa" w:w="4968"/>
            <w:vAlign w:val="top"/>
          </w:tcPr>
          <w:p>
            <w:r>
              <w:rPr>
                <w:b/>
              </w:rPr>
              <w:t>Purpose</w:t>
            </w:r>
          </w:p>
        </w:tc>
      </w:tr>
      <w:tr>
        <w:tc>
          <w:tcPr>
            <w:tcW w:type="dxa" w:w="4968"/>
            <w:vAlign w:val="top"/>
          </w:tcPr>
          <w:p>
            <w:r>
              <w:t>storage_dtype</w:t>
            </w:r>
          </w:p>
        </w:tc>
        <w:tc>
          <w:tcPr>
            <w:tcW w:type="dxa" w:w="4968"/>
            <w:vAlign w:val="top"/>
          </w:tcPr>
          <w:p>
            <w:r>
              <w:t>Physical representation such as fp8, int8, int4, nvfp4, bf16, or fp16.</w:t>
            </w:r>
          </w:p>
        </w:tc>
      </w:tr>
      <w:tr>
        <w:tc>
          <w:tcPr>
            <w:tcW w:type="dxa" w:w="4968"/>
            <w:vAlign w:val="top"/>
          </w:tcPr>
          <w:p>
            <w:r>
              <w:t>compute_dtype</w:t>
            </w:r>
          </w:p>
        </w:tc>
        <w:tc>
          <w:tcPr>
            <w:tcW w:type="dxa" w:w="4968"/>
            <w:vAlign w:val="top"/>
          </w:tcPr>
          <w:p>
            <w:r>
              <w:t>Arithmetic type used by the operator or kernel.</w:t>
            </w:r>
          </w:p>
        </w:tc>
      </w:tr>
      <w:tr>
        <w:tc>
          <w:tcPr>
            <w:tcW w:type="dxa" w:w="4968"/>
            <w:vAlign w:val="top"/>
          </w:tcPr>
          <w:p>
            <w:r>
              <w:t>accumulation_dtype</w:t>
            </w:r>
          </w:p>
        </w:tc>
        <w:tc>
          <w:tcPr>
            <w:tcW w:type="dxa" w:w="4968"/>
            <w:vAlign w:val="top"/>
          </w:tcPr>
          <w:p>
            <w:r>
              <w:t>Precision of reductions and accumulators, especially attention scores, GEMM accumulators, logits, and norms.</w:t>
            </w:r>
          </w:p>
        </w:tc>
      </w:tr>
      <w:tr>
        <w:tc>
          <w:tcPr>
            <w:tcW w:type="dxa" w:w="4968"/>
            <w:vAlign w:val="top"/>
          </w:tcPr>
          <w:p>
            <w:r>
              <w:t>quantization_format</w:t>
            </w:r>
          </w:p>
        </w:tc>
        <w:tc>
          <w:tcPr>
            <w:tcW w:type="dxa" w:w="4968"/>
            <w:vAlign w:val="top"/>
          </w:tcPr>
          <w:p>
            <w:r>
              <w:t>Format family such as per-tensor, per-channel, per-group, weight-only, activation-aware, FP8, INT8, INT4, or backend-specific variants.</w:t>
            </w:r>
          </w:p>
        </w:tc>
      </w:tr>
      <w:tr>
        <w:tc>
          <w:tcPr>
            <w:tcW w:type="dxa" w:w="4968"/>
            <w:vAlign w:val="top"/>
          </w:tcPr>
          <w:p>
            <w:r>
              <w:t>scale_shape / zero_point / group_size</w:t>
            </w:r>
          </w:p>
        </w:tc>
        <w:tc>
          <w:tcPr>
            <w:tcW w:type="dxa" w:w="4968"/>
            <w:vAlign w:val="top"/>
          </w:tcPr>
          <w:p>
            <w:r>
              <w:t>Metadata required to interpret quantized storage safely.</w:t>
            </w:r>
          </w:p>
        </w:tc>
      </w:tr>
      <w:tr>
        <w:tc>
          <w:tcPr>
            <w:tcW w:type="dxa" w:w="4968"/>
            <w:vAlign w:val="top"/>
          </w:tcPr>
          <w:p>
            <w:r>
              <w:t>calibration_source</w:t>
            </w:r>
          </w:p>
        </w:tc>
        <w:tc>
          <w:tcPr>
            <w:tcW w:type="dxa" w:w="4968"/>
            <w:vAlign w:val="top"/>
          </w:tcPr>
          <w:p>
            <w:r>
              <w:t>Dataset, method, and version used to derive scales or clipping ranges.</w:t>
            </w:r>
          </w:p>
        </w:tc>
      </w:tr>
      <w:tr>
        <w:tc>
          <w:tcPr>
            <w:tcW w:type="dxa" w:w="4968"/>
            <w:vAlign w:val="top"/>
          </w:tcPr>
          <w:p>
            <w:r>
              <w:t>dequant_required_before</w:t>
            </w:r>
          </w:p>
        </w:tc>
        <w:tc>
          <w:tcPr>
            <w:tcW w:type="dxa" w:w="4968"/>
            <w:vAlign w:val="top"/>
          </w:tcPr>
          <w:p>
            <w:r>
              <w:t>Semantic boundaries such as softmax, logprob, reward scoring, router selection, KL computation, or checkpoint export.</w:t>
            </w:r>
          </w:p>
        </w:tc>
      </w:tr>
    </w:tbl>
    <w:p>
      <w:r>
        <w:rPr>
          <w:b w:val="0"/>
          <w:i w:val="0"/>
        </w:rPr>
        <w:t>The gatekeeper should reject a plan when quantization changes semantic behavior without a declared contract. Precision-sensitive boundaries include logits before softmax/logprob, attention-score accumulation, RMSNorm/LayerNorm statistics, MoE router logits, reward-model scoring, KL and policy loss computation, old-policy logprob replay, optimizer update, and checkpoint export/import.</w:t>
      </w:r>
    </w:p>
    <w:p>
      <w:pPr>
        <w:pStyle w:val="CodeBlock"/>
      </w:pPr>
      <w:r>
        <w:rPr>
          <w:b w:val="0"/>
          <w:i w:val="0"/>
        </w:rPr>
        <w:t>QuantizationContractIR {</w:t>
        <w:br/>
        <w:t xml:space="preserve">  tensor_role: logits | logprob | reward | router | activation | weight | state</w:t>
        <w:br/>
        <w:t xml:space="preserve">  storage_dtype: fp8 | int8 | int4 | bf16 | fp16 | backend_specific</w:t>
        <w:br/>
        <w:t xml:space="preserve">  compute_dtype: bf16 | fp16 | fp32 | backend_specific</w:t>
        <w:br/>
        <w:t xml:space="preserve">  accumulation_dtype: fp32 | bf16 | backend_specific</w:t>
        <w:br/>
        <w:t xml:space="preserve">  quantization_format: per_tensor | per_channel | per_group | weight_only | activation_aware</w:t>
        <w:br/>
        <w:t xml:space="preserve">  calibration_source: dataset_id + method + version</w:t>
        <w:br/>
        <w:t xml:space="preserve">  dequant_required_before: [softmax, logprob, reward_score, kl_loss, checkpoint_export]</w:t>
        <w:br/>
        <w:t xml:space="preserve">  conformance_tests: [golden_logits, logprob_replay, long_context_drift, router_route_replay]</w:t>
        <w:br/>
        <w:t>}</w:t>
      </w:r>
    </w:p>
    <w:tbl>
      <w:tblPr>
        <w:tblStyle w:val="TableGrid"/>
        <w:tblW w:type="auto" w:w="0"/>
        <w:jc w:val="center"/>
        <w:tblLook w:firstColumn="1" w:firstRow="1" w:lastColumn="0" w:lastRow="0" w:noHBand="0" w:noVBand="1" w:val="04A0"/>
      </w:tblPr>
      <w:tblGrid>
        <w:gridCol w:w="4968"/>
        <w:gridCol w:w="4968"/>
      </w:tblGrid>
      <w:tr>
        <w:trPr>
          <w:cantSplit/>
        </w:trPr>
        <w:tc>
          <w:tcPr>
            <w:tcW w:type="dxa" w:w="4968"/>
            <w:vAlign w:val="top"/>
          </w:tcPr>
          <w:p>
            <w:r>
              <w:rPr>
                <w:b/>
              </w:rPr>
              <w:t>Diagnostic</w:t>
            </w:r>
          </w:p>
        </w:tc>
        <w:tc>
          <w:tcPr>
            <w:tcW w:type="dxa" w:w="4968"/>
            <w:vAlign w:val="top"/>
          </w:tcPr>
          <w:p>
            <w:r>
              <w:rPr>
                <w:b/>
              </w:rPr>
              <w:t>Meaning</w:t>
            </w:r>
          </w:p>
        </w:tc>
      </w:tr>
      <w:tr>
        <w:trPr>
          <w:cantSplit/>
        </w:trPr>
        <w:tc>
          <w:tcPr>
            <w:tcW w:type="dxa" w:w="4968"/>
            <w:vAlign w:val="top"/>
          </w:tcPr>
          <w:p>
            <w:r>
              <w:t>CQUANT-001 MissingQuantizationContract</w:t>
            </w:r>
          </w:p>
        </w:tc>
        <w:tc>
          <w:tcPr>
            <w:tcW w:type="dxa" w:w="4968"/>
            <w:vAlign w:val="top"/>
          </w:tcPr>
          <w:p>
            <w:r>
              <w:t>A quantized tensor enters a protected operator without a declared contract.</w:t>
            </w:r>
          </w:p>
        </w:tc>
      </w:tr>
      <w:tr>
        <w:trPr>
          <w:cantSplit/>
        </w:trPr>
        <w:tc>
          <w:tcPr>
            <w:tcW w:type="dxa" w:w="4968"/>
            <w:vAlign w:val="top"/>
          </w:tcPr>
          <w:p>
            <w:r>
              <w:t>CQUANT-002 UnsupportedQuantizedOperator</w:t>
            </w:r>
          </w:p>
        </w:tc>
        <w:tc>
          <w:tcPr>
            <w:tcW w:type="dxa" w:w="4968"/>
            <w:vAlign w:val="top"/>
          </w:tcPr>
          <w:p>
            <w:r>
              <w:t>The selected backend cannot implement the requested quantized operator safely.</w:t>
            </w:r>
          </w:p>
        </w:tc>
      </w:tr>
      <w:tr>
        <w:trPr>
          <w:cantSplit/>
        </w:trPr>
        <w:tc>
          <w:tcPr>
            <w:tcW w:type="dxa" w:w="4968"/>
            <w:vAlign w:val="top"/>
          </w:tcPr>
          <w:p>
            <w:r>
              <w:t>CQUANT-003 MissingDequantBoundary</w:t>
            </w:r>
          </w:p>
        </w:tc>
        <w:tc>
          <w:tcPr>
            <w:tcW w:type="dxa" w:w="4968"/>
            <w:vAlign w:val="top"/>
          </w:tcPr>
          <w:p>
            <w:r>
              <w:t>A required dequantization or high-precision boundary is absent.</w:t>
            </w:r>
          </w:p>
        </w:tc>
      </w:tr>
      <w:tr>
        <w:trPr>
          <w:cantSplit/>
        </w:trPr>
        <w:tc>
          <w:tcPr>
            <w:tcW w:type="dxa" w:w="4968"/>
            <w:vAlign w:val="top"/>
          </w:tcPr>
          <w:p>
            <w:r>
              <w:t>CQUANT-004 AccumulationPrecisionTooLow</w:t>
            </w:r>
          </w:p>
        </w:tc>
        <w:tc>
          <w:tcPr>
            <w:tcW w:type="dxa" w:w="4968"/>
            <w:vAlign w:val="top"/>
          </w:tcPr>
          <w:p>
            <w:r>
              <w:t>A reduction, attention score, logprob, reward, or loss path uses insufficient accumulation precision.</w:t>
            </w:r>
          </w:p>
        </w:tc>
      </w:tr>
      <w:tr>
        <w:trPr>
          <w:cantSplit/>
        </w:trPr>
        <w:tc>
          <w:tcPr>
            <w:tcW w:type="dxa" w:w="4968"/>
            <w:vAlign w:val="top"/>
          </w:tcPr>
          <w:p>
            <w:r>
              <w:t>CQUANT-005 CalibrationProvenanceMissing</w:t>
            </w:r>
          </w:p>
        </w:tc>
        <w:tc>
          <w:tcPr>
            <w:tcW w:type="dxa" w:w="4968"/>
            <w:vAlign w:val="top"/>
          </w:tcPr>
          <w:p>
            <w:r>
              <w:t>Scale or clipping metadata lacks traceable calibration provenance.</w:t>
            </w:r>
          </w:p>
        </w:tc>
      </w:tr>
      <w:tr>
        <w:trPr>
          <w:cantSplit/>
        </w:trPr>
        <w:tc>
          <w:tcPr>
            <w:tcW w:type="dxa" w:w="4968"/>
            <w:vAlign w:val="top"/>
          </w:tcPr>
          <w:p>
            <w:r>
              <w:t>CQUANT-006 QuantizedRolloutTrainerMismatch</w:t>
            </w:r>
          </w:p>
        </w:tc>
        <w:tc>
          <w:tcPr>
            <w:tcW w:type="dxa" w:w="4968"/>
            <w:vAlign w:val="top"/>
          </w:tcPr>
          <w:p>
            <w:r>
              <w:t>RL rollout and trainer use incompatible precision policies.</w:t>
            </w:r>
          </w:p>
        </w:tc>
      </w:tr>
      <w:tr>
        <w:trPr>
          <w:cantSplit/>
        </w:trPr>
        <w:tc>
          <w:tcPr>
            <w:tcW w:type="dxa" w:w="4968"/>
            <w:vAlign w:val="top"/>
          </w:tcPr>
          <w:p>
            <w:r>
              <w:t>CQUANT-007 RouterQuantizationRouteDrift</w:t>
            </w:r>
          </w:p>
        </w:tc>
        <w:tc>
          <w:tcPr>
            <w:tcW w:type="dxa" w:w="4968"/>
            <w:vAlign w:val="top"/>
          </w:tcPr>
          <w:p>
            <w:r>
              <w:t>MoE router quantization changes expert selection beyond tolerance.</w:t>
            </w:r>
          </w:p>
        </w:tc>
      </w:tr>
    </w:tbl>
    <w:p>
      <w:pPr>
        <w:pStyle w:val="Heading2"/>
      </w:pPr>
      <w:r>
        <w:rPr>
          <w:b w:val="0"/>
          <w:i w:val="0"/>
        </w:rPr>
        <w:t>8.11 Platform Mapping Against the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tcPr>
          <w:p>
            <w:r>
              <w:rPr>
                <w:b/>
              </w:rPr>
              <w:t>Platform</w:t>
            </w:r>
          </w:p>
        </w:tc>
        <w:tc>
          <w:tcPr>
            <w:tcW w:type="dxa" w:w="3312"/>
            <w:vAlign w:val="top"/>
          </w:tcPr>
          <w:p>
            <w:r>
              <w:rPr>
                <w:b/>
              </w:rPr>
              <w:t>Best fit in the three-layer architecture</w:t>
            </w:r>
          </w:p>
        </w:tc>
        <w:tc>
          <w:tcPr>
            <w:tcW w:type="dxa" w:w="3312"/>
            <w:vAlign w:val="top"/>
          </w:tcPr>
          <w:p>
            <w:r>
              <w:rPr>
                <w:b/>
              </w:rPr>
              <w:t>Architectural interpretation</w:t>
            </w:r>
          </w:p>
        </w:tc>
      </w:tr>
      <w:tr>
        <w:tc>
          <w:tcPr>
            <w:tcW w:type="dxa" w:w="3312"/>
            <w:vAlign w:val="top"/>
          </w:tcPr>
          <w:p>
            <w:r>
              <w:t>NVIDIA Hopper/Blackwell stack</w:t>
            </w:r>
          </w:p>
        </w:tc>
        <w:tc>
          <w:tcPr>
            <w:tcW w:type="dxa" w:w="3312"/>
            <w:vAlign w:val="top"/>
          </w:tcPr>
          <w:p>
            <w:r>
              <w:t>Layer 2 and Layer 3 backend strength</w:t>
            </w:r>
          </w:p>
        </w:tc>
        <w:tc>
          <w:tcPr>
            <w:tcW w:type="dxa" w:w="3312"/>
            <w:vAlign w:val="top"/>
          </w:tcPr>
          <w:p>
            <w:r>
              <w:t>CUDA, Transformer Engine, TensorRT-LLM, NCCL, CUTLASS/Triton, Megatron, and NeMo provide strong kernel, lowering, training, and inference execution capability, but DSC should still own the top semantic operator and contract authority [4][14][16][48][49].</w:t>
            </w:r>
          </w:p>
        </w:tc>
      </w:tr>
      <w:tr>
        <w:tc>
          <w:tcPr>
            <w:tcW w:type="dxa" w:w="3312"/>
            <w:vAlign w:val="top"/>
          </w:tcPr>
          <w:p>
            <w:r>
              <w:t>Google TPU / StableHLO / XLA stack</w:t>
            </w:r>
          </w:p>
        </w:tc>
        <w:tc>
          <w:tcPr>
            <w:tcW w:type="dxa" w:w="3312"/>
            <w:vAlign w:val="top"/>
          </w:tcPr>
          <w:p>
            <w:r>
              <w:t>Layer 2 lowering and portability target</w:t>
            </w:r>
          </w:p>
        </w:tc>
        <w:tc>
          <w:tcPr>
            <w:tcW w:type="dxa" w:w="3312"/>
            <w:vAlign w:val="top"/>
          </w:tcPr>
          <w:p>
            <w:r>
              <w:t>StableHLO/XLA provide a portable compiler path, but DSC should preserve Transformer lifecycle operators above StableHLO and lower into StableHLO only after semantic verification [25][27][57][58].</w:t>
            </w:r>
          </w:p>
        </w:tc>
      </w:tr>
      <w:tr>
        <w:tc>
          <w:tcPr>
            <w:tcW w:type="dxa" w:w="3312"/>
            <w:vAlign w:val="top"/>
          </w:tcPr>
          <w:p>
            <w:r>
              <w:t>SGLang platform</w:t>
            </w:r>
          </w:p>
        </w:tc>
        <w:tc>
          <w:tcPr>
            <w:tcW w:type="dxa" w:w="3312"/>
            <w:vAlign w:val="top"/>
          </w:tcPr>
          <w:p>
            <w:r>
              <w:t>Layer 3 inference and rollout runtime plugin</w:t>
            </w:r>
          </w:p>
        </w:tc>
        <w:tc>
          <w:tcPr>
            <w:tcW w:type="dxa" w:w="3312"/>
            <w:vAlign w:val="top"/>
          </w:tcPr>
          <w:p>
            <w:r>
              <w:t>SGLang is a strong serving and rollout backend with attention, caching, structured generation, and LoRA-serving relevance, but it should not replace the DSC semantic substrate or post-training update runtime [6][9][17][20][22].</w:t>
            </w:r>
          </w:p>
        </w:tc>
      </w:tr>
    </w:tbl>
    <w:p>
      <w:r>
        <w:rPr>
          <w:b w:val="0"/>
          <w:i w:val="0"/>
        </w:rPr>
        <w:t>The design rule is to make existing platforms backend plugins rather than the top-level architecture. This preserves DSC’s domain hierarchy, avoids vendor lock-in, and allows the same Transformer lifecycle semantics to target NVIDIA, TPU/XLA, SGLang, vLLM, TensorRT-LLM, Megatron, NeMo, or future engines.</w:t>
      </w:r>
    </w:p>
    <w:p>
      <w:pPr>
        <w:pStyle w:val="Heading2"/>
      </w:pPr>
      <w:r>
        <w:rPr>
          <w:b w:val="0"/>
          <w:i w:val="0"/>
        </w:rPr>
        <w:t>8.12 Gatekeeper Extensions for On-Prem Lifecycle Service</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b/>
              </w:rPr>
              <w:t>Gate</w:t>
            </w:r>
          </w:p>
        </w:tc>
        <w:tc>
          <w:tcPr>
            <w:tcW w:type="dxa" w:w="4968"/>
            <w:vAlign w:val="top"/>
          </w:tcPr>
          <w:p>
            <w:r>
              <w:rPr>
                <w:b/>
              </w:rPr>
              <w:t>Required checks</w:t>
            </w:r>
          </w:p>
        </w:tc>
      </w:tr>
      <w:tr>
        <w:tc>
          <w:tcPr>
            <w:tcW w:type="dxa" w:w="4968"/>
            <w:vAlign w:val="top"/>
          </w:tcPr>
          <w:p>
            <w:r>
              <w:t>Model import gate</w:t>
            </w:r>
          </w:p>
        </w:tc>
        <w:tc>
          <w:tcPr>
            <w:tcW w:type="dxa" w:w="4968"/>
            <w:vAlign w:val="top"/>
          </w:tcPr>
          <w:p>
            <w:r>
              <w:t>Architecture, tokenizer ABI, chat template, checkpoint ABI, attention type, runtime-state ABI, tensor contracts, quantization metadata.</w:t>
            </w:r>
          </w:p>
        </w:tc>
      </w:tr>
      <w:tr>
        <w:tc>
          <w:tcPr>
            <w:tcW w:type="dxa" w:w="4968"/>
            <w:vAlign w:val="top"/>
          </w:tcPr>
          <w:p>
            <w:r>
              <w:t>RL rollout gate</w:t>
            </w:r>
          </w:p>
        </w:tc>
        <w:tc>
          <w:tcPr>
            <w:tcW w:type="dxa" w:w="4968"/>
            <w:vAlign w:val="top"/>
          </w:tcPr>
          <w:p>
            <w:r>
              <w:t>Generation policy, sampling config, return_logprobs, rollout trace schema, actor/reference weight versions, reward input, KL/reference requirements.</w:t>
            </w:r>
          </w:p>
        </w:tc>
      </w:tr>
      <w:tr>
        <w:tc>
          <w:tcPr>
            <w:tcW w:type="dxa" w:w="4968"/>
            <w:vAlign w:val="top"/>
          </w:tcPr>
          <w:p>
            <w:r>
              <w:t>Post-training update gate</w:t>
            </w:r>
          </w:p>
        </w:tc>
        <w:tc>
          <w:tcPr>
            <w:tcW w:type="dxa" w:w="4968"/>
            <w:vAlign w:val="top"/>
          </w:tcPr>
          <w:p>
            <w:r>
              <w:t>Loss semantics, optimizer state, gradient and activation policy, adapter export, checkpoint compatibility, precision policy.</w:t>
            </w:r>
          </w:p>
        </w:tc>
      </w:tr>
      <w:tr>
        <w:tc>
          <w:tcPr>
            <w:tcW w:type="dxa" w:w="4968"/>
            <w:vAlign w:val="top"/>
          </w:tcPr>
          <w:p>
            <w:r>
              <w:t>Inference deployment gate</w:t>
            </w:r>
          </w:p>
        </w:tc>
        <w:tc>
          <w:tcPr>
            <w:tcW w:type="dxa" w:w="4968"/>
            <w:vAlign w:val="top"/>
          </w:tcPr>
          <w:p>
            <w:r>
              <w:t>Prefill/decode equivalence, KV/state reuse, prefix cache behavior, logprob replay, quantization/dequant boundaries, backend capability, latency/resource envelope.</w:t>
            </w:r>
          </w:p>
        </w:tc>
      </w:tr>
      <w:tr>
        <w:tc>
          <w:tcPr>
            <w:tcW w:type="dxa" w:w="4968"/>
            <w:vAlign w:val="top"/>
          </w:tcPr>
          <w:p>
            <w:r>
              <w:t>Platform certification gate</w:t>
            </w:r>
          </w:p>
        </w:tc>
        <w:tc>
          <w:tcPr>
            <w:tcW w:type="dxa" w:w="4968"/>
            <w:vAlign w:val="top"/>
          </w:tcPr>
          <w:p>
            <w:r>
              <w:t>Runtime-specific conformance tests, backend diagnostics, long-context drift, route replay for MoE, runtime guard coverage, fallback path validation.</w:t>
            </w:r>
          </w:p>
        </w:tc>
      </w:tr>
    </w:tbl>
    <w:p>
      <w:r>
        <w:rPr>
          <w:b w:val="0"/>
          <w:i w:val="0"/>
        </w:rPr>
        <w:t>The gatekeeper should emit diagnostics in the existing CART, CARCH, CCKPT, CTOK, CATTN, CMOE, CPERF, CTEVO, and CRUN families, and add CQUANT diagnostics for quantization/dequantization failures. The output should be a certification report, executable conformance tests, runtime guards, and deployment metadata.</w:t>
      </w:r>
    </w:p>
    <w:p>
      <w:pPr>
        <w:pStyle w:val="Heading2"/>
      </w:pPr>
      <w:r>
        <w:rPr>
          <w:b w:val="0"/>
          <w:i w:val="0"/>
        </w:rPr>
        <w:t>8.13 Implementation Roadmap</w:t>
      </w:r>
    </w:p>
    <w:tbl>
      <w:tblPr>
        <w:tblStyle w:val="TableGrid"/>
        <w:tblW w:type="auto" w:w="0"/>
        <w:jc w:val="center"/>
        <w:tblLook w:firstColumn="1" w:firstRow="1" w:lastColumn="0" w:lastRow="0" w:noHBand="0" w:noVBand="1" w:val="04A0"/>
      </w:tblPr>
      <w:tblGrid>
        <w:gridCol w:w="4968"/>
        <w:gridCol w:w="4968"/>
      </w:tblGrid>
      <w:tr>
        <w:tc>
          <w:tcPr>
            <w:tcW w:type="dxa" w:w="4968"/>
            <w:vAlign w:val="top"/>
          </w:tcPr>
          <w:p>
            <w:r>
              <w:rPr>
                <w:b/>
              </w:rPr>
              <w:t>Step</w:t>
            </w:r>
          </w:p>
        </w:tc>
        <w:tc>
          <w:tcPr>
            <w:tcW w:type="dxa" w:w="4968"/>
            <w:vAlign w:val="top"/>
          </w:tcPr>
          <w:p>
            <w:r>
              <w:rPr>
                <w:b/>
              </w:rPr>
              <w:t>Deliverable</w:t>
            </w:r>
          </w:p>
        </w:tc>
      </w:tr>
      <w:tr>
        <w:tc>
          <w:tcPr>
            <w:tcW w:type="dxa" w:w="4968"/>
            <w:vAlign w:val="top"/>
          </w:tcPr>
          <w:p>
            <w:r>
              <w:t>1</w:t>
            </w:r>
          </w:p>
        </w:tc>
        <w:tc>
          <w:tcPr>
            <w:tcW w:type="dxa" w:w="4968"/>
            <w:vAlign w:val="top"/>
          </w:tcPr>
          <w:p>
            <w:r>
              <w:t>Define Transformer Lifecycle Semantic Substrate schema: model ABI, tokenizer ABI, generation, attention, runtime state, adapter ABI, checkpoint ABI, rollout trace, and logprob replay.</w:t>
            </w:r>
          </w:p>
        </w:tc>
      </w:tr>
      <w:tr>
        <w:tc>
          <w:tcPr>
            <w:tcW w:type="dxa" w:w="4968"/>
            <w:vAlign w:val="top"/>
          </w:tcPr>
          <w:p>
            <w:r>
              <w:t>2</w:t>
            </w:r>
          </w:p>
        </w:tc>
        <w:tc>
          <w:tcPr>
            <w:tcW w:type="dxa" w:w="4968"/>
            <w:vAlign w:val="top"/>
          </w:tcPr>
          <w:p>
            <w:r>
              <w:t>Implement Python ingestion that preserves high-level Transformer lifecycle operators before generic tensor lowering.</w:t>
            </w:r>
          </w:p>
        </w:tc>
      </w:tr>
      <w:tr>
        <w:tc>
          <w:tcPr>
            <w:tcW w:type="dxa" w:w="4968"/>
            <w:vAlign w:val="top"/>
          </w:tcPr>
          <w:p>
            <w:r>
              <w:t>3</w:t>
            </w:r>
          </w:p>
        </w:tc>
        <w:tc>
          <w:tcPr>
            <w:tcW w:type="dxa" w:w="4968"/>
            <w:vAlign w:val="top"/>
          </w:tcPr>
          <w:p>
            <w:r>
              <w:t>Add Layer 2 lowerings: semantic-to-common lowering, fusion groups, TensorEvolutionRecord, ParallelizationChoiceIR, DispatchReduceIR, RuntimePlanIR, QuantizationContractIR.</w:t>
            </w:r>
          </w:p>
        </w:tc>
      </w:tr>
      <w:tr>
        <w:tc>
          <w:tcPr>
            <w:tcW w:type="dxa" w:w="4968"/>
            <w:vAlign w:val="top"/>
          </w:tcPr>
          <w:p>
            <w:r>
              <w:t>4</w:t>
            </w:r>
          </w:p>
        </w:tc>
        <w:tc>
          <w:tcPr>
            <w:tcW w:type="dxa" w:w="4968"/>
            <w:vAlign w:val="top"/>
          </w:tcPr>
          <w:p>
            <w:r>
              <w:t>Add runtime plugins for SGLang inference/rollout and Megatron/NeMo or HF/TRL post-training update.</w:t>
            </w:r>
          </w:p>
        </w:tc>
      </w:tr>
      <w:tr>
        <w:tc>
          <w:tcPr>
            <w:tcW w:type="dxa" w:w="4968"/>
            <w:vAlign w:val="top"/>
          </w:tcPr>
          <w:p>
            <w:r>
              <w:t>5</w:t>
            </w:r>
          </w:p>
        </w:tc>
        <w:tc>
          <w:tcPr>
            <w:tcW w:type="dxa" w:w="4968"/>
            <w:vAlign w:val="top"/>
          </w:tcPr>
          <w:p>
            <w:r>
              <w:t>Add StableHLO/XLA export as a lowerable artifact with provenance backpointers to high-level operators.</w:t>
            </w:r>
          </w:p>
        </w:tc>
      </w:tr>
      <w:tr>
        <w:tc>
          <w:tcPr>
            <w:tcW w:type="dxa" w:w="4968"/>
            <w:vAlign w:val="top"/>
          </w:tcPr>
          <w:p>
            <w:r>
              <w:t>6</w:t>
            </w:r>
          </w:p>
        </w:tc>
        <w:tc>
          <w:tcPr>
            <w:tcW w:type="dxa" w:w="4968"/>
            <w:vAlign w:val="top"/>
          </w:tcPr>
          <w:p>
            <w:r>
              <w:t>Build certification harnesses: golden tokenization, golden logits, logprob replay, rollout trace replay, state reuse, route replay, long-context drift, quantization/dequant checks.</w:t>
            </w:r>
          </w:p>
        </w:tc>
      </w:tr>
    </w:tbl>
    <w:p>
      <w:pPr>
        <w:pStyle w:val="Heading2"/>
      </w:pPr>
      <w:r>
        <w:rPr>
          <w:b w:val="0"/>
          <w:i w:val="0"/>
        </w:rPr>
        <w:t>8.14 Final Architectural Rule</w:t>
      </w:r>
    </w:p>
    <w:p>
      <w:r>
        <w:rPr>
          <w:b w:val="0"/>
          <w:i w:val="0"/>
        </w:rPr>
        <w:t>The on-prem LLM post-training and inference service should be implemented as a Transformer-domain lifecycle specialization over the DSC Common Compiler Substrate. The compiler preserves high-level Transformer lifecycle operators until semantic verification, fusion planning, sharding, quantization, runtime-state contracts, rollout compatibility, and backend capability are certified. Only then may the system lower into StableHLO/XLA, CUDA/Triton/TensorRT-LLM, SGLang/vLLM, Megatron/NeMo, or another runtime execution form.</w:t>
      </w:r>
    </w:p>
    <w:p>
      <w:pPr>
        <w:pStyle w:val="Heading1"/>
      </w:pPr>
      <w:r>
        <w:t>Chapter 9. Holistic Tensor Memory and Data-Availability Architecture</w:t>
      </w:r>
    </w:p>
    <w:p>
      <w:r>
        <w:t>Purpose and scope. This chapter defines the durable tensor, data-availability, and memory-management architecture for confidential on-prem inference and RL-based post-training. It answers where each data entity originates, who consumes it, how readiness and synchronization are established, how long it remains live, which memory tiers it may traverse, and which semantic, version, precision, and security contracts must survive optimization. Compiler knowledge management and deferred plan infrastructure are defined in Chapter 10; predictive cost modeling and adaptive pipeline scheduling are defined in Chapter 11.</w:t>
      </w:r>
    </w:p>
    <w:p>
      <w:pPr>
        <w:pStyle w:val="Heading2"/>
      </w:pPr>
      <w:r>
        <w:t>9.1 Architectural Position and Chapter Boundaries</w:t>
      </w:r>
    </w:p>
    <w:p>
      <w:r>
        <w:t>Chapter 9 owns the application-visible and execution-critical state of tensors: semantic role, logical axes, producer-consumer relationships, ownership, completeness, version, lifetime, aliasing, recomputability, current representation, residency, and legal movement. It exports these facts to Chapter 10 for non-destructive planning and to Chapter 11 for performance prediction. It does not own the complete optimization search or the accumulated performance model.</w:t>
      </w:r>
    </w:p>
    <w:p>
      <w:pPr>
        <w:pStyle w:val="CodeBlock"/>
      </w:pPr>
      <w:r>
        <w:t>Chapter 9: What data exists, where can it reside, and when is it available?</w:t>
        <w:br/>
        <w:t>Chapter 10: What has the compiler learned, and which transformations should it plan?</w:t>
        <w:br/>
        <w:t>Chapter 11: Which legal plan is predicted to perform best, and how should runtime feedback refine it?</w:t>
      </w:r>
    </w:p>
    <w:p>
      <w:pPr>
        <w:pStyle w:val="Heading2"/>
      </w:pPr>
      <w:r>
        <w:t>9.2 Portable Memory Hierarchy and Target Mapping</w:t>
      </w:r>
    </w:p>
    <w:p>
      <w:r>
        <w:t>DSC should use general memory-tier names and map them to target-specific realizations. CUDA distinguishes device global memory, per-SM register files, and shared memory used for cooperation among threads; Hopper adds asynchronous multidimensional movement between global and shared memory through TMA. Blackwell tensor-core programming introduces TMEM as an accumulator tier for tcgen05 MMA operations. These mechanisms justify a portable hierarchy with target-specific capabilities rather than hard-coding one GPU generation. [40][48][49][68]</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trPr>
        <w:tc>
          <w:tcPr>
            <w:tcW w:type="dxa" w:w="604"/>
            <w:shd w:fill="D9EAF7"/>
            <w:vAlign w:val="top"/>
          </w:tcPr>
          <w:p>
            <w:pPr>
              <w:spacing w:after="0" w:before="0" w:line="240" w:lineRule="auto"/>
            </w:pPr>
            <w:r>
              <w:rPr>
                <w:rFonts w:ascii="Aptos" w:hAnsi="Aptos"/>
                <w:b/>
                <w:sz w:val="15"/>
              </w:rPr>
              <w:t>Level</w:t>
            </w:r>
          </w:p>
        </w:tc>
        <w:tc>
          <w:tcPr>
            <w:tcW w:type="dxa" w:w="2088"/>
            <w:shd w:fill="D9EAF7"/>
            <w:vAlign w:val="top"/>
          </w:tcPr>
          <w:p>
            <w:pPr>
              <w:spacing w:after="0" w:before="0" w:line="240" w:lineRule="auto"/>
            </w:pPr>
            <w:r>
              <w:rPr>
                <w:rFonts w:ascii="Aptos" w:hAnsi="Aptos"/>
                <w:b/>
                <w:sz w:val="15"/>
              </w:rPr>
              <w:t>Portable tier</w:t>
            </w:r>
          </w:p>
        </w:tc>
        <w:tc>
          <w:tcPr>
            <w:tcW w:type="dxa" w:w="2951"/>
            <w:shd w:fill="D9EAF7"/>
            <w:vAlign w:val="top"/>
          </w:tcPr>
          <w:p>
            <w:pPr>
              <w:spacing w:after="0" w:before="0" w:line="240" w:lineRule="auto"/>
            </w:pPr>
            <w:r>
              <w:rPr>
                <w:rFonts w:ascii="Aptos" w:hAnsi="Aptos"/>
                <w:b/>
                <w:sz w:val="15"/>
              </w:rPr>
              <w:t>NVIDIA reference meaning</w:t>
            </w:r>
          </w:p>
        </w:tc>
        <w:tc>
          <w:tcPr>
            <w:tcW w:type="dxa" w:w="3960"/>
            <w:shd w:fill="D9EAF7"/>
            <w:vAlign w:val="top"/>
          </w:tcPr>
          <w:p>
            <w:pPr>
              <w:spacing w:after="0" w:before="0" w:line="240" w:lineRule="auto"/>
            </w:pPr>
            <w:r>
              <w:rPr>
                <w:rFonts w:ascii="Aptos" w:hAnsi="Aptos"/>
                <w:b/>
                <w:sz w:val="15"/>
              </w:rPr>
              <w:t>Compiler responsibility</w:t>
            </w:r>
          </w:p>
        </w:tc>
      </w:tr>
      <w:tr>
        <w:tc>
          <w:tcPr>
            <w:tcW w:type="dxa" w:w="604"/>
            <w:vAlign w:val="top"/>
          </w:tcPr>
          <w:p>
            <w:pPr>
              <w:spacing w:after="0" w:before="0" w:line="240" w:lineRule="auto"/>
            </w:pPr>
            <w:r>
              <w:rPr>
                <w:rFonts w:ascii="Aptos" w:hAnsi="Aptos"/>
                <w:b w:val="0"/>
                <w:sz w:val="15"/>
              </w:rPr>
              <w:t>L0</w:t>
            </w:r>
          </w:p>
        </w:tc>
        <w:tc>
          <w:tcPr>
            <w:tcW w:type="dxa" w:w="2088"/>
            <w:vAlign w:val="top"/>
          </w:tcPr>
          <w:p>
            <w:pPr>
              <w:spacing w:after="0" w:before="0" w:line="240" w:lineRule="auto"/>
            </w:pPr>
            <w:r>
              <w:rPr>
                <w:rFonts w:ascii="Aptos" w:hAnsi="Aptos"/>
                <w:b w:val="0"/>
                <w:sz w:val="15"/>
              </w:rPr>
              <w:t>File / persistent object store</w:t>
            </w:r>
          </w:p>
        </w:tc>
        <w:tc>
          <w:tcPr>
            <w:tcW w:type="dxa" w:w="2951"/>
            <w:vAlign w:val="top"/>
          </w:tcPr>
          <w:p>
            <w:pPr>
              <w:spacing w:after="0" w:before="0" w:line="240" w:lineRule="auto"/>
            </w:pPr>
            <w:r>
              <w:rPr>
                <w:rFonts w:ascii="Aptos" w:hAnsi="Aptos"/>
                <w:b w:val="0"/>
                <w:sz w:val="15"/>
              </w:rPr>
              <w:t>Checkpoint shards, datasets, rollout traces, audit logs, mmap-able model artifacts</w:t>
            </w:r>
          </w:p>
        </w:tc>
        <w:tc>
          <w:tcPr>
            <w:tcW w:type="dxa" w:w="3960"/>
            <w:vAlign w:val="top"/>
          </w:tcPr>
          <w:p>
            <w:pPr>
              <w:spacing w:after="0" w:before="0" w:line="240" w:lineRule="auto"/>
            </w:pPr>
            <w:r>
              <w:rPr>
                <w:rFonts w:ascii="Aptos" w:hAnsi="Aptos"/>
                <w:b w:val="0"/>
                <w:sz w:val="15"/>
              </w:rPr>
              <w:t>Persistent storage, replay, restart, audit and confidentiality boundary</w:t>
            </w:r>
          </w:p>
        </w:tc>
      </w:tr>
      <w:tr>
        <w:tc>
          <w:tcPr>
            <w:tcW w:type="dxa" w:w="604"/>
            <w:vAlign w:val="top"/>
          </w:tcPr>
          <w:p>
            <w:pPr>
              <w:spacing w:after="0" w:before="0" w:line="240" w:lineRule="auto"/>
            </w:pPr>
            <w:r>
              <w:rPr>
                <w:rFonts w:ascii="Aptos" w:hAnsi="Aptos"/>
                <w:b w:val="0"/>
                <w:sz w:val="15"/>
              </w:rPr>
              <w:t>L1</w:t>
            </w:r>
          </w:p>
        </w:tc>
        <w:tc>
          <w:tcPr>
            <w:tcW w:type="dxa" w:w="2088"/>
            <w:vAlign w:val="top"/>
          </w:tcPr>
          <w:p>
            <w:pPr>
              <w:spacing w:after="0" w:before="0" w:line="240" w:lineRule="auto"/>
            </w:pPr>
            <w:r>
              <w:rPr>
                <w:rFonts w:ascii="Aptos" w:hAnsi="Aptos"/>
                <w:b w:val="0"/>
                <w:sz w:val="15"/>
              </w:rPr>
              <w:t>Global CPU memory</w:t>
            </w:r>
          </w:p>
        </w:tc>
        <w:tc>
          <w:tcPr>
            <w:tcW w:type="dxa" w:w="2951"/>
            <w:vAlign w:val="top"/>
          </w:tcPr>
          <w:p>
            <w:pPr>
              <w:spacing w:after="0" w:before="0" w:line="240" w:lineRule="auto"/>
            </w:pPr>
            <w:r>
              <w:rPr>
                <w:rFonts w:ascii="Aptos" w:hAnsi="Aptos"/>
                <w:b w:val="0"/>
                <w:sz w:val="15"/>
              </w:rPr>
              <w:t>Host DRAM, tokenizer/collator buffers, pinned transfer buffers, checkpoint assembly, offload</w:t>
            </w:r>
          </w:p>
        </w:tc>
        <w:tc>
          <w:tcPr>
            <w:tcW w:type="dxa" w:w="3960"/>
            <w:vAlign w:val="top"/>
          </w:tcPr>
          <w:p>
            <w:pPr>
              <w:spacing w:after="0" w:before="0" w:line="240" w:lineRule="auto"/>
            </w:pPr>
            <w:r>
              <w:rPr>
                <w:rFonts w:ascii="Aptos" w:hAnsi="Aptos"/>
                <w:b w:val="0"/>
                <w:sz w:val="15"/>
              </w:rPr>
              <w:t>Preprocessing, staging, sparse control metadata, fallback and persistent I/O staging</w:t>
            </w:r>
          </w:p>
        </w:tc>
      </w:tr>
      <w:tr>
        <w:tc>
          <w:tcPr>
            <w:tcW w:type="dxa" w:w="604"/>
            <w:vAlign w:val="top"/>
          </w:tcPr>
          <w:p>
            <w:pPr>
              <w:spacing w:after="0" w:before="0" w:line="240" w:lineRule="auto"/>
            </w:pPr>
            <w:r>
              <w:rPr>
                <w:rFonts w:ascii="Aptos" w:hAnsi="Aptos"/>
                <w:b w:val="0"/>
                <w:sz w:val="15"/>
              </w:rPr>
              <w:t>L2</w:t>
            </w:r>
          </w:p>
        </w:tc>
        <w:tc>
          <w:tcPr>
            <w:tcW w:type="dxa" w:w="2088"/>
            <w:vAlign w:val="top"/>
          </w:tcPr>
          <w:p>
            <w:pPr>
              <w:spacing w:after="0" w:before="0" w:line="240" w:lineRule="auto"/>
            </w:pPr>
            <w:r>
              <w:rPr>
                <w:rFonts w:ascii="Aptos" w:hAnsi="Aptos"/>
                <w:b w:val="0"/>
                <w:sz w:val="15"/>
              </w:rPr>
              <w:t>Global GPU memory</w:t>
            </w:r>
          </w:p>
        </w:tc>
        <w:tc>
          <w:tcPr>
            <w:tcW w:type="dxa" w:w="2951"/>
            <w:vAlign w:val="top"/>
          </w:tcPr>
          <w:p>
            <w:pPr>
              <w:spacing w:after="0" w:before="0" w:line="240" w:lineRule="auto"/>
            </w:pPr>
            <w:r>
              <w:rPr>
                <w:rFonts w:ascii="Aptos" w:hAnsi="Aptos"/>
                <w:b w:val="0"/>
                <w:sz w:val="15"/>
              </w:rPr>
              <w:t>HBM / CUDA global memory</w:t>
            </w:r>
          </w:p>
        </w:tc>
        <w:tc>
          <w:tcPr>
            <w:tcW w:type="dxa" w:w="3960"/>
            <w:vAlign w:val="top"/>
          </w:tcPr>
          <w:p>
            <w:pPr>
              <w:spacing w:after="0" w:before="0" w:line="240" w:lineRule="auto"/>
            </w:pPr>
            <w:r>
              <w:rPr>
                <w:rFonts w:ascii="Aptos" w:hAnsi="Aptos"/>
                <w:b w:val="0"/>
                <w:sz w:val="15"/>
              </w:rPr>
              <w:t>Primary residence for weights, activations, KV cache, gradients, optimizer state and distributed buffers</w:t>
            </w:r>
          </w:p>
        </w:tc>
      </w:tr>
      <w:tr>
        <w:tc>
          <w:tcPr>
            <w:tcW w:type="dxa" w:w="604"/>
            <w:vAlign w:val="top"/>
          </w:tcPr>
          <w:p>
            <w:pPr>
              <w:spacing w:after="0" w:before="0" w:line="240" w:lineRule="auto"/>
            </w:pPr>
            <w:r>
              <w:rPr>
                <w:rFonts w:ascii="Aptos" w:hAnsi="Aptos"/>
                <w:b w:val="0"/>
                <w:sz w:val="15"/>
              </w:rPr>
              <w:t>L3</w:t>
            </w:r>
          </w:p>
        </w:tc>
        <w:tc>
          <w:tcPr>
            <w:tcW w:type="dxa" w:w="2088"/>
            <w:vAlign w:val="top"/>
          </w:tcPr>
          <w:p>
            <w:pPr>
              <w:spacing w:after="0" w:before="0" w:line="240" w:lineRule="auto"/>
            </w:pPr>
            <w:r>
              <w:rPr>
                <w:rFonts w:ascii="Aptos" w:hAnsi="Aptos"/>
                <w:b w:val="0"/>
                <w:sz w:val="15"/>
              </w:rPr>
              <w:t>Shared memory / software-managed cache</w:t>
            </w:r>
          </w:p>
        </w:tc>
        <w:tc>
          <w:tcPr>
            <w:tcW w:type="dxa" w:w="2951"/>
            <w:vAlign w:val="top"/>
          </w:tcPr>
          <w:p>
            <w:pPr>
              <w:spacing w:after="0" w:before="0" w:line="240" w:lineRule="auto"/>
            </w:pPr>
            <w:r>
              <w:rPr>
                <w:rFonts w:ascii="Aptos" w:hAnsi="Aptos"/>
                <w:b w:val="0"/>
                <w:sz w:val="15"/>
              </w:rPr>
              <w:t>CUDA shared memory and architecture-visible L1/shared resources</w:t>
            </w:r>
          </w:p>
        </w:tc>
        <w:tc>
          <w:tcPr>
            <w:tcW w:type="dxa" w:w="3960"/>
            <w:vAlign w:val="top"/>
          </w:tcPr>
          <w:p>
            <w:pPr>
              <w:spacing w:after="0" w:before="0" w:line="240" w:lineRule="auto"/>
            </w:pPr>
            <w:r>
              <w:rPr>
                <w:rFonts w:ascii="Aptos" w:hAnsi="Aptos"/>
                <w:b w:val="0"/>
                <w:sz w:val="15"/>
              </w:rPr>
              <w:t>Kernel tile staging, cooperative reuse, reductions, fusion and producer-consumer handoff within a block or cluster</w:t>
            </w:r>
          </w:p>
        </w:tc>
      </w:tr>
      <w:tr>
        <w:tc>
          <w:tcPr>
            <w:tcW w:type="dxa" w:w="604"/>
            <w:vAlign w:val="top"/>
          </w:tcPr>
          <w:p>
            <w:pPr>
              <w:spacing w:after="0" w:before="0" w:line="240" w:lineRule="auto"/>
            </w:pPr>
            <w:r>
              <w:rPr>
                <w:rFonts w:ascii="Aptos" w:hAnsi="Aptos"/>
                <w:b w:val="0"/>
                <w:sz w:val="15"/>
              </w:rPr>
              <w:t>L4</w:t>
            </w:r>
          </w:p>
        </w:tc>
        <w:tc>
          <w:tcPr>
            <w:tcW w:type="dxa" w:w="2088"/>
            <w:vAlign w:val="top"/>
          </w:tcPr>
          <w:p>
            <w:pPr>
              <w:spacing w:after="0" w:before="0" w:line="240" w:lineRule="auto"/>
            </w:pPr>
            <w:r>
              <w:rPr>
                <w:rFonts w:ascii="Aptos" w:hAnsi="Aptos"/>
                <w:b w:val="0"/>
                <w:sz w:val="15"/>
              </w:rPr>
              <w:t>Tensor memory (TMEM)</w:t>
            </w:r>
          </w:p>
        </w:tc>
        <w:tc>
          <w:tcPr>
            <w:tcW w:type="dxa" w:w="2951"/>
            <w:vAlign w:val="top"/>
          </w:tcPr>
          <w:p>
            <w:pPr>
              <w:spacing w:after="0" w:before="0" w:line="240" w:lineRule="auto"/>
            </w:pPr>
            <w:r>
              <w:rPr>
                <w:rFonts w:ascii="Aptos" w:hAnsi="Aptos"/>
                <w:b w:val="0"/>
                <w:sz w:val="15"/>
              </w:rPr>
              <w:t>Blackwell tensor-core accumulator memory for supported MMA pipelines</w:t>
            </w:r>
          </w:p>
        </w:tc>
        <w:tc>
          <w:tcPr>
            <w:tcW w:type="dxa" w:w="3960"/>
            <w:vAlign w:val="top"/>
          </w:tcPr>
          <w:p>
            <w:pPr>
              <w:spacing w:after="0" w:before="0" w:line="240" w:lineRule="auto"/>
            </w:pPr>
            <w:r>
              <w:rPr>
                <w:rFonts w:ascii="Aptos" w:hAnsi="Aptos"/>
                <w:b w:val="0"/>
                <w:sz w:val="15"/>
              </w:rPr>
              <w:t>Architecture-specific accumulator/staging tier; optional target capability, not a universal requirement</w:t>
            </w:r>
          </w:p>
        </w:tc>
      </w:tr>
      <w:tr>
        <w:tc>
          <w:tcPr>
            <w:tcW w:type="dxa" w:w="604"/>
            <w:vAlign w:val="top"/>
          </w:tcPr>
          <w:p>
            <w:pPr>
              <w:spacing w:after="0" w:before="0" w:line="240" w:lineRule="auto"/>
            </w:pPr>
            <w:r>
              <w:rPr>
                <w:rFonts w:ascii="Aptos" w:hAnsi="Aptos"/>
                <w:b w:val="0"/>
                <w:sz w:val="15"/>
              </w:rPr>
              <w:t>L5</w:t>
            </w:r>
          </w:p>
        </w:tc>
        <w:tc>
          <w:tcPr>
            <w:tcW w:type="dxa" w:w="2088"/>
            <w:vAlign w:val="top"/>
          </w:tcPr>
          <w:p>
            <w:pPr>
              <w:spacing w:after="0" w:before="0" w:line="240" w:lineRule="auto"/>
            </w:pPr>
            <w:r>
              <w:rPr>
                <w:rFonts w:ascii="Aptos" w:hAnsi="Aptos"/>
                <w:b w:val="0"/>
                <w:sz w:val="15"/>
              </w:rPr>
              <w:t>Register file</w:t>
            </w:r>
          </w:p>
        </w:tc>
        <w:tc>
          <w:tcPr>
            <w:tcW w:type="dxa" w:w="2951"/>
            <w:vAlign w:val="top"/>
          </w:tcPr>
          <w:p>
            <w:pPr>
              <w:spacing w:after="0" w:before="0" w:line="240" w:lineRule="auto"/>
            </w:pPr>
            <w:r>
              <w:rPr>
                <w:rFonts w:ascii="Aptos" w:hAnsi="Aptos"/>
                <w:b w:val="0"/>
                <w:sz w:val="15"/>
              </w:rPr>
              <w:t>Per-SM register file and thread/warp fragments</w:t>
            </w:r>
          </w:p>
        </w:tc>
        <w:tc>
          <w:tcPr>
            <w:tcW w:type="dxa" w:w="3960"/>
            <w:vAlign w:val="top"/>
          </w:tcPr>
          <w:p>
            <w:pPr>
              <w:spacing w:after="0" w:before="0" w:line="240" w:lineRule="auto"/>
            </w:pPr>
            <w:r>
              <w:rPr>
                <w:rFonts w:ascii="Aptos" w:hAnsi="Aptos"/>
                <w:b w:val="0"/>
                <w:sz w:val="15"/>
              </w:rPr>
              <w:t>Thread-local values, vector fragments, addresses, predicates, partial results and final kernel accumulators</w:t>
            </w:r>
          </w:p>
        </w:tc>
      </w:tr>
      <w:tr>
        <w:tc>
          <w:tcPr>
            <w:tcW w:type="dxa" w:w="604"/>
            <w:vAlign w:val="top"/>
          </w:tcPr>
          <w:p>
            <w:pPr>
              <w:spacing w:after="0" w:before="0" w:line="240" w:lineRule="auto"/>
            </w:pPr>
            <w:r>
              <w:rPr>
                <w:rFonts w:ascii="Aptos" w:hAnsi="Aptos"/>
                <w:b w:val="0"/>
                <w:sz w:val="15"/>
              </w:rPr>
              <w:t>N</w:t>
            </w:r>
          </w:p>
        </w:tc>
        <w:tc>
          <w:tcPr>
            <w:tcW w:type="dxa" w:w="2088"/>
            <w:vAlign w:val="top"/>
          </w:tcPr>
          <w:p>
            <w:pPr>
              <w:spacing w:after="0" w:before="0" w:line="240" w:lineRule="auto"/>
            </w:pPr>
            <w:r>
              <w:rPr>
                <w:rFonts w:ascii="Aptos" w:hAnsi="Aptos"/>
                <w:b w:val="0"/>
                <w:sz w:val="15"/>
              </w:rPr>
              <w:t>Inter-device / fabric path</w:t>
            </w:r>
          </w:p>
        </w:tc>
        <w:tc>
          <w:tcPr>
            <w:tcW w:type="dxa" w:w="2951"/>
            <w:vAlign w:val="top"/>
          </w:tcPr>
          <w:p>
            <w:pPr>
              <w:spacing w:after="0" w:before="0" w:line="240" w:lineRule="auto"/>
            </w:pPr>
            <w:r>
              <w:rPr>
                <w:rFonts w:ascii="Aptos" w:hAnsi="Aptos"/>
                <w:b w:val="0"/>
                <w:sz w:val="15"/>
              </w:rPr>
              <w:t>NVLink/NVSwitch, PCIe, NCCL, GPUDirect RDMA or another backend fabric</w:t>
            </w:r>
          </w:p>
        </w:tc>
        <w:tc>
          <w:tcPr>
            <w:tcW w:type="dxa" w:w="3960"/>
            <w:vAlign w:val="top"/>
          </w:tcPr>
          <w:p>
            <w:pPr>
              <w:spacing w:after="0" w:before="0" w:line="240" w:lineRule="auto"/>
            </w:pPr>
            <w:r>
              <w:rPr>
                <w:rFonts w:ascii="Aptos" w:hAnsi="Aptos"/>
                <w:b w:val="0"/>
                <w:sz w:val="15"/>
              </w:rPr>
              <w:t>Moves distributed tensor shards, activations, gradients, parameters, tokens and runtime state between owners</w:t>
            </w:r>
          </w:p>
        </w:tc>
      </w:tr>
    </w:tbl>
    <w:p>
      <w:pPr>
        <w:pStyle w:val="CodeBlock"/>
      </w:pPr>
      <w:r>
        <w:t>Memory-path notation:</w:t>
        <w:br/>
        <w:t xml:space="preserve">  F = file/object store</w:t>
        <w:br/>
        <w:t xml:space="preserve">  C = CPU DRAM or pinned host memory</w:t>
        <w:br/>
        <w:t xml:space="preserve">  G = GPU HBM/global memory</w:t>
        <w:br/>
        <w:t xml:space="preserve">  S = shared memory/software-managed cache</w:t>
        <w:br/>
        <w:t xml:space="preserve">  T = TMEM/tensor-core accumulator tier</w:t>
        <w:br/>
        <w:t xml:space="preserve">  R = register file</w:t>
        <w:br/>
        <w:t xml:space="preserve">  N = inter-device or network movement</w:t>
      </w:r>
    </w:p>
    <w:p>
      <w:r>
        <w:rPr>
          <w:b/>
        </w:rPr>
        <w:t xml:space="preserve">Architectural rule. </w:t>
      </w:r>
      <w:r>
        <w:t>Memory tier is not only a physical address space. It is a contract containing capacity, bandwidth, latency, visibility, synchronization, persistence, confidentiality, and legal movement rules.</w:t>
      </w:r>
    </w:p>
    <w:p>
      <w:pPr>
        <w:pStyle w:val="Heading2"/>
      </w:pPr>
      <w:r>
        <w:t>9.3 RL Post-Training Tensor Lifecycle Inventory</w:t>
      </w:r>
    </w:p>
    <w:p>
      <w:r>
        <w:t>RL post-training combines inference-style rollout with reward/reference evaluation and training-style update. NeMo RL supports separate training and generation backends, including vLLM and Megatron-native generation; TensorRT-LLM manages persistent paged KV pools and supports lower-precision KV cache; Megatron distributed optimization shards optimizer state and master parameters and uses reduce-scatter for gradient ownership. The following tables normalize those implementation patterns into DSC data entities. [16][69][70][71][72]</w:t>
      </w:r>
    </w:p>
    <w:p>
      <w:pPr>
        <w:pStyle w:val="Heading3"/>
      </w:pPr>
      <w:r>
        <w:t>9.3.1 Input, Tokenization, and Rollout Request Entities</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944"/>
            <w:shd w:fill="D9EAF7"/>
            <w:vAlign w:val="top"/>
          </w:tcPr>
          <w:p>
            <w:pPr>
              <w:spacing w:after="0" w:before="0" w:line="240" w:lineRule="auto"/>
            </w:pPr>
            <w:r>
              <w:rPr>
                <w:rFonts w:ascii="Aptos" w:hAnsi="Aptos"/>
                <w:b/>
                <w:sz w:val="14"/>
              </w:rPr>
              <w:t>Tensor / data entity</w:t>
            </w:r>
          </w:p>
        </w:tc>
        <w:tc>
          <w:tcPr>
            <w:tcW w:type="dxa" w:w="1584"/>
            <w:shd w:fill="D9EAF7"/>
            <w:vAlign w:val="top"/>
          </w:tcPr>
          <w:p>
            <w:pPr>
              <w:spacing w:after="0" w:before="0" w:line="240" w:lineRule="auto"/>
            </w:pPr>
            <w:r>
              <w:rPr>
                <w:rFonts w:ascii="Aptos" w:hAnsi="Aptos"/>
                <w:b/>
                <w:sz w:val="14"/>
              </w:rPr>
              <w:t>Creator</w:t>
            </w:r>
          </w:p>
        </w:tc>
        <w:tc>
          <w:tcPr>
            <w:tcW w:type="dxa" w:w="1728"/>
            <w:shd w:fill="D9EAF7"/>
            <w:vAlign w:val="top"/>
          </w:tcPr>
          <w:p>
            <w:pPr>
              <w:spacing w:after="0" w:before="0" w:line="240" w:lineRule="auto"/>
            </w:pPr>
            <w:r>
              <w:rPr>
                <w:rFonts w:ascii="Aptos" w:hAnsi="Aptos"/>
                <w:b/>
                <w:sz w:val="14"/>
              </w:rPr>
              <w:t>Consumer</w:t>
            </w:r>
          </w:p>
        </w:tc>
        <w:tc>
          <w:tcPr>
            <w:tcW w:type="dxa" w:w="2088"/>
            <w:shd w:fill="D9EAF7"/>
            <w:vAlign w:val="top"/>
          </w:tcPr>
          <w:p>
            <w:pPr>
              <w:spacing w:after="0" w:before="0" w:line="240" w:lineRule="auto"/>
            </w:pPr>
            <w:r>
              <w:rPr>
                <w:rFonts w:ascii="Aptos" w:hAnsi="Aptos"/>
                <w:b/>
                <w:sz w:val="14"/>
              </w:rPr>
              <w:t>Synchronization</w:t>
            </w:r>
          </w:p>
        </w:tc>
        <w:tc>
          <w:tcPr>
            <w:tcW w:type="dxa" w:w="1296"/>
            <w:shd w:fill="D9EAF7"/>
            <w:vAlign w:val="top"/>
          </w:tcPr>
          <w:p>
            <w:pPr>
              <w:spacing w:after="0" w:before="0" w:line="240" w:lineRule="auto"/>
            </w:pPr>
            <w:r>
              <w:rPr>
                <w:rFonts w:ascii="Aptos" w:hAnsi="Aptos"/>
                <w:b/>
                <w:sz w:val="14"/>
              </w:rPr>
              <w:t>Lifetime</w:t>
            </w:r>
          </w:p>
        </w:tc>
        <w:tc>
          <w:tcPr>
            <w:tcW w:type="dxa" w:w="1080"/>
            <w:shd w:fill="D9EAF7"/>
            <w:vAlign w:val="top"/>
          </w:tcPr>
          <w:p>
            <w:pPr>
              <w:spacing w:after="0" w:before="0" w:line="240" w:lineRule="auto"/>
            </w:pPr>
            <w:r>
              <w:rPr>
                <w:rFonts w:ascii="Aptos" w:hAnsi="Aptos"/>
                <w:b/>
                <w:sz w:val="14"/>
              </w:rPr>
              <w:t>Memory path</w:t>
            </w:r>
          </w:p>
        </w:tc>
      </w:tr>
      <w:tr>
        <w:tc>
          <w:tcPr>
            <w:tcW w:type="dxa" w:w="1944"/>
            <w:vAlign w:val="top"/>
          </w:tcPr>
          <w:p>
            <w:pPr>
              <w:spacing w:after="0" w:before="0" w:line="240" w:lineRule="auto"/>
            </w:pPr>
            <w:r>
              <w:rPr>
                <w:rFonts w:ascii="Aptos" w:hAnsi="Aptos"/>
                <w:b w:val="0"/>
                <w:sz w:val="14"/>
              </w:rPr>
              <w:t>Raw prompts / conversations</w:t>
            </w:r>
          </w:p>
        </w:tc>
        <w:tc>
          <w:tcPr>
            <w:tcW w:type="dxa" w:w="1584"/>
            <w:vAlign w:val="top"/>
          </w:tcPr>
          <w:p>
            <w:pPr>
              <w:spacing w:after="0" w:before="0" w:line="240" w:lineRule="auto"/>
            </w:pPr>
            <w:r>
              <w:rPr>
                <w:rFonts w:ascii="Aptos" w:hAnsi="Aptos"/>
                <w:b w:val="0"/>
                <w:sz w:val="14"/>
              </w:rPr>
              <w:t>Dataset reader, human-feedback store, internal task system</w:t>
            </w:r>
          </w:p>
        </w:tc>
        <w:tc>
          <w:tcPr>
            <w:tcW w:type="dxa" w:w="1728"/>
            <w:vAlign w:val="top"/>
          </w:tcPr>
          <w:p>
            <w:pPr>
              <w:spacing w:after="0" w:before="0" w:line="240" w:lineRule="auto"/>
            </w:pPr>
            <w:r>
              <w:rPr>
                <w:rFonts w:ascii="Aptos" w:hAnsi="Aptos"/>
                <w:b w:val="0"/>
                <w:sz w:val="14"/>
              </w:rPr>
              <w:t>Privacy filter, prompt builder, tokenizer</w:t>
            </w:r>
          </w:p>
        </w:tc>
        <w:tc>
          <w:tcPr>
            <w:tcW w:type="dxa" w:w="2088"/>
            <w:vAlign w:val="top"/>
          </w:tcPr>
          <w:p>
            <w:pPr>
              <w:spacing w:after="0" w:before="0" w:line="240" w:lineRule="auto"/>
            </w:pPr>
            <w:r>
              <w:rPr>
                <w:rFonts w:ascii="Aptos" w:hAnsi="Aptos"/>
                <w:b w:val="0"/>
                <w:sz w:val="14"/>
              </w:rPr>
              <w:t>Dataset version, file/object transaction, access-control policy</w:t>
            </w:r>
          </w:p>
        </w:tc>
        <w:tc>
          <w:tcPr>
            <w:tcW w:type="dxa" w:w="1296"/>
            <w:vAlign w:val="top"/>
          </w:tcPr>
          <w:p>
            <w:pPr>
              <w:spacing w:after="0" w:before="0" w:line="240" w:lineRule="auto"/>
            </w:pPr>
            <w:r>
              <w:rPr>
                <w:rFonts w:ascii="Aptos" w:hAnsi="Aptos"/>
                <w:b w:val="0"/>
                <w:sz w:val="14"/>
              </w:rPr>
              <w:t>Persistent or dataset epoch</w:t>
            </w:r>
          </w:p>
        </w:tc>
        <w:tc>
          <w:tcPr>
            <w:tcW w:type="dxa" w:w="1080"/>
            <w:vAlign w:val="top"/>
          </w:tcPr>
          <w:p>
            <w:pPr>
              <w:spacing w:after="0" w:before="0" w:line="240" w:lineRule="auto"/>
            </w:pPr>
            <w:r>
              <w:rPr>
                <w:rFonts w:ascii="Aptos" w:hAnsi="Aptos"/>
                <w:b w:val="0"/>
                <w:sz w:val="14"/>
              </w:rPr>
              <w:t>F -&gt; C</w:t>
            </w:r>
          </w:p>
        </w:tc>
      </w:tr>
      <w:tr>
        <w:tc>
          <w:tcPr>
            <w:tcW w:type="dxa" w:w="1944"/>
            <w:vAlign w:val="top"/>
          </w:tcPr>
          <w:p>
            <w:pPr>
              <w:spacing w:after="0" w:before="0" w:line="240" w:lineRule="auto"/>
            </w:pPr>
            <w:r>
              <w:rPr>
                <w:rFonts w:ascii="Aptos" w:hAnsi="Aptos"/>
                <w:b w:val="0"/>
                <w:sz w:val="14"/>
              </w:rPr>
              <w:t>Token IDs (input_ids)</w:t>
            </w:r>
          </w:p>
        </w:tc>
        <w:tc>
          <w:tcPr>
            <w:tcW w:type="dxa" w:w="1584"/>
            <w:vAlign w:val="top"/>
          </w:tcPr>
          <w:p>
            <w:pPr>
              <w:spacing w:after="0" w:before="0" w:line="240" w:lineRule="auto"/>
            </w:pPr>
            <w:r>
              <w:rPr>
                <w:rFonts w:ascii="Aptos" w:hAnsi="Aptos"/>
                <w:b w:val="0"/>
                <w:sz w:val="14"/>
              </w:rPr>
              <w:t>Tokenizer and collator</w:t>
            </w:r>
          </w:p>
        </w:tc>
        <w:tc>
          <w:tcPr>
            <w:tcW w:type="dxa" w:w="1728"/>
            <w:vAlign w:val="top"/>
          </w:tcPr>
          <w:p>
            <w:pPr>
              <w:spacing w:after="0" w:before="0" w:line="240" w:lineRule="auto"/>
            </w:pPr>
            <w:r>
              <w:rPr>
                <w:rFonts w:ascii="Aptos" w:hAnsi="Aptos"/>
                <w:b w:val="0"/>
                <w:sz w:val="14"/>
              </w:rPr>
              <w:t>Actor rollout, reference model, reward model</w:t>
            </w:r>
          </w:p>
        </w:tc>
        <w:tc>
          <w:tcPr>
            <w:tcW w:type="dxa" w:w="2088"/>
            <w:vAlign w:val="top"/>
          </w:tcPr>
          <w:p>
            <w:pPr>
              <w:spacing w:after="0" w:before="0" w:line="240" w:lineRule="auto"/>
            </w:pPr>
            <w:r>
              <w:rPr>
                <w:rFonts w:ascii="Aptos" w:hAnsi="Aptos"/>
                <w:b w:val="0"/>
                <w:sz w:val="14"/>
              </w:rPr>
              <w:t>Batch assembly barrier; pinned H2D copy; request-order contract</w:t>
            </w:r>
          </w:p>
        </w:tc>
        <w:tc>
          <w:tcPr>
            <w:tcW w:type="dxa" w:w="1296"/>
            <w:vAlign w:val="top"/>
          </w:tcPr>
          <w:p>
            <w:pPr>
              <w:spacing w:after="0" w:before="0" w:line="240" w:lineRule="auto"/>
            </w:pPr>
            <w:r>
              <w:rPr>
                <w:rFonts w:ascii="Aptos" w:hAnsi="Aptos"/>
                <w:b w:val="0"/>
                <w:sz w:val="14"/>
              </w:rPr>
              <w:t>Rollout batch; optionally audit trace</w:t>
            </w:r>
          </w:p>
        </w:tc>
        <w:tc>
          <w:tcPr>
            <w:tcW w:type="dxa" w:w="1080"/>
            <w:vAlign w:val="top"/>
          </w:tcPr>
          <w:p>
            <w:pPr>
              <w:spacing w:after="0" w:before="0" w:line="240" w:lineRule="auto"/>
            </w:pPr>
            <w:r>
              <w:rPr>
                <w:rFonts w:ascii="Aptos" w:hAnsi="Aptos"/>
                <w:b w:val="0"/>
                <w:sz w:val="14"/>
              </w:rPr>
              <w:t>C -&gt; G</w:t>
            </w:r>
          </w:p>
        </w:tc>
      </w:tr>
      <w:tr>
        <w:tc>
          <w:tcPr>
            <w:tcW w:type="dxa" w:w="1944"/>
            <w:vAlign w:val="top"/>
          </w:tcPr>
          <w:p>
            <w:pPr>
              <w:spacing w:after="0" w:before="0" w:line="240" w:lineRule="auto"/>
            </w:pPr>
            <w:r>
              <w:rPr>
                <w:rFonts w:ascii="Aptos" w:hAnsi="Aptos"/>
                <w:b w:val="0"/>
                <w:sz w:val="14"/>
              </w:rPr>
              <w:t>Attention mask</w:t>
            </w:r>
          </w:p>
        </w:tc>
        <w:tc>
          <w:tcPr>
            <w:tcW w:type="dxa" w:w="1584"/>
            <w:vAlign w:val="top"/>
          </w:tcPr>
          <w:p>
            <w:pPr>
              <w:spacing w:after="0" w:before="0" w:line="240" w:lineRule="auto"/>
            </w:pPr>
            <w:r>
              <w:rPr>
                <w:rFonts w:ascii="Aptos" w:hAnsi="Aptos"/>
                <w:b w:val="0"/>
                <w:sz w:val="14"/>
              </w:rPr>
              <w:t>Collator</w:t>
            </w:r>
          </w:p>
        </w:tc>
        <w:tc>
          <w:tcPr>
            <w:tcW w:type="dxa" w:w="1728"/>
            <w:vAlign w:val="top"/>
          </w:tcPr>
          <w:p>
            <w:pPr>
              <w:spacing w:after="0" w:before="0" w:line="240" w:lineRule="auto"/>
            </w:pPr>
            <w:r>
              <w:rPr>
                <w:rFonts w:ascii="Aptos" w:hAnsi="Aptos"/>
                <w:b w:val="0"/>
                <w:sz w:val="14"/>
              </w:rPr>
              <w:t>Attention kernels and loss masking</w:t>
            </w:r>
          </w:p>
        </w:tc>
        <w:tc>
          <w:tcPr>
            <w:tcW w:type="dxa" w:w="2088"/>
            <w:vAlign w:val="top"/>
          </w:tcPr>
          <w:p>
            <w:pPr>
              <w:spacing w:after="0" w:before="0" w:line="240" w:lineRule="auto"/>
            </w:pPr>
            <w:r>
              <w:rPr>
                <w:rFonts w:ascii="Aptos" w:hAnsi="Aptos"/>
                <w:b w:val="0"/>
                <w:sz w:val="14"/>
              </w:rPr>
              <w:t>Moves with token batch; sequence-shard agreement</w:t>
            </w:r>
          </w:p>
        </w:tc>
        <w:tc>
          <w:tcPr>
            <w:tcW w:type="dxa" w:w="1296"/>
            <w:vAlign w:val="top"/>
          </w:tcPr>
          <w:p>
            <w:pPr>
              <w:spacing w:after="0" w:before="0" w:line="240" w:lineRule="auto"/>
            </w:pPr>
            <w:r>
              <w:rPr>
                <w:rFonts w:ascii="Aptos" w:hAnsi="Aptos"/>
                <w:b w:val="0"/>
                <w:sz w:val="14"/>
              </w:rPr>
              <w:t>Batch or replay interval</w:t>
            </w:r>
          </w:p>
        </w:tc>
        <w:tc>
          <w:tcPr>
            <w:tcW w:type="dxa" w:w="1080"/>
            <w:vAlign w:val="top"/>
          </w:tcPr>
          <w:p>
            <w:pPr>
              <w:spacing w:after="0" w:before="0" w:line="240" w:lineRule="auto"/>
            </w:pPr>
            <w:r>
              <w:rPr>
                <w:rFonts w:ascii="Aptos" w:hAnsi="Aptos"/>
                <w:b w:val="0"/>
                <w:sz w:val="14"/>
              </w:rPr>
              <w:t>C -&gt; G</w:t>
            </w:r>
          </w:p>
        </w:tc>
      </w:tr>
      <w:tr>
        <w:tc>
          <w:tcPr>
            <w:tcW w:type="dxa" w:w="1944"/>
            <w:vAlign w:val="top"/>
          </w:tcPr>
          <w:p>
            <w:pPr>
              <w:spacing w:after="0" w:before="0" w:line="240" w:lineRule="auto"/>
            </w:pPr>
            <w:r>
              <w:rPr>
                <w:rFonts w:ascii="Aptos" w:hAnsi="Aptos"/>
                <w:b w:val="0"/>
                <w:sz w:val="14"/>
              </w:rPr>
              <w:t>Position IDs / RoPE coordinates</w:t>
            </w:r>
          </w:p>
        </w:tc>
        <w:tc>
          <w:tcPr>
            <w:tcW w:type="dxa" w:w="1584"/>
            <w:vAlign w:val="top"/>
          </w:tcPr>
          <w:p>
            <w:pPr>
              <w:spacing w:after="0" w:before="0" w:line="240" w:lineRule="auto"/>
            </w:pPr>
            <w:r>
              <w:rPr>
                <w:rFonts w:ascii="Aptos" w:hAnsi="Aptos"/>
                <w:b w:val="0"/>
                <w:sz w:val="14"/>
              </w:rPr>
              <w:t>Frontend, collator, or model prologue</w:t>
            </w:r>
          </w:p>
        </w:tc>
        <w:tc>
          <w:tcPr>
            <w:tcW w:type="dxa" w:w="1728"/>
            <w:vAlign w:val="top"/>
          </w:tcPr>
          <w:p>
            <w:pPr>
              <w:spacing w:after="0" w:before="0" w:line="240" w:lineRule="auto"/>
            </w:pPr>
            <w:r>
              <w:rPr>
                <w:rFonts w:ascii="Aptos" w:hAnsi="Aptos"/>
                <w:b w:val="0"/>
                <w:sz w:val="14"/>
              </w:rPr>
              <w:t>RoPE and attention</w:t>
            </w:r>
          </w:p>
        </w:tc>
        <w:tc>
          <w:tcPr>
            <w:tcW w:type="dxa" w:w="2088"/>
            <w:vAlign w:val="top"/>
          </w:tcPr>
          <w:p>
            <w:pPr>
              <w:spacing w:after="0" w:before="0" w:line="240" w:lineRule="auto"/>
            </w:pPr>
            <w:r>
              <w:rPr>
                <w:rFonts w:ascii="Aptos" w:hAnsi="Aptos"/>
                <w:b w:val="0"/>
                <w:sz w:val="14"/>
              </w:rPr>
              <w:t>Deterministic local derivation; sequence-parallel agreement when sharded</w:t>
            </w:r>
          </w:p>
        </w:tc>
        <w:tc>
          <w:tcPr>
            <w:tcW w:type="dxa" w:w="1296"/>
            <w:vAlign w:val="top"/>
          </w:tcPr>
          <w:p>
            <w:pPr>
              <w:spacing w:after="0" w:before="0" w:line="240" w:lineRule="auto"/>
            </w:pPr>
            <w:r>
              <w:rPr>
                <w:rFonts w:ascii="Aptos" w:hAnsi="Aptos"/>
                <w:b w:val="0"/>
                <w:sz w:val="14"/>
              </w:rPr>
              <w:t>Forward operation</w:t>
            </w:r>
          </w:p>
        </w:tc>
        <w:tc>
          <w:tcPr>
            <w:tcW w:type="dxa" w:w="1080"/>
            <w:vAlign w:val="top"/>
          </w:tcPr>
          <w:p>
            <w:pPr>
              <w:spacing w:after="0" w:before="0" w:line="240" w:lineRule="auto"/>
            </w:pPr>
            <w:r>
              <w:rPr>
                <w:rFonts w:ascii="Aptos" w:hAnsi="Aptos"/>
                <w:b w:val="0"/>
                <w:sz w:val="14"/>
              </w:rPr>
              <w:t>C/G -&gt; R/S</w:t>
            </w:r>
          </w:p>
        </w:tc>
      </w:tr>
      <w:tr>
        <w:tc>
          <w:tcPr>
            <w:tcW w:type="dxa" w:w="1944"/>
            <w:vAlign w:val="top"/>
          </w:tcPr>
          <w:p>
            <w:pPr>
              <w:spacing w:after="0" w:before="0" w:line="240" w:lineRule="auto"/>
            </w:pPr>
            <w:r>
              <w:rPr>
                <w:rFonts w:ascii="Aptos" w:hAnsi="Aptos"/>
                <w:b w:val="0"/>
                <w:sz w:val="14"/>
              </w:rPr>
              <w:t>Prompt length and sequence metadata</w:t>
            </w:r>
          </w:p>
        </w:tc>
        <w:tc>
          <w:tcPr>
            <w:tcW w:type="dxa" w:w="1584"/>
            <w:vAlign w:val="top"/>
          </w:tcPr>
          <w:p>
            <w:pPr>
              <w:spacing w:after="0" w:before="0" w:line="240" w:lineRule="auto"/>
            </w:pPr>
            <w:r>
              <w:rPr>
                <w:rFonts w:ascii="Aptos" w:hAnsi="Aptos"/>
                <w:b w:val="0"/>
                <w:sz w:val="14"/>
              </w:rPr>
              <w:t>Scheduler / batching runtime</w:t>
            </w:r>
          </w:p>
        </w:tc>
        <w:tc>
          <w:tcPr>
            <w:tcW w:type="dxa" w:w="1728"/>
            <w:vAlign w:val="top"/>
          </w:tcPr>
          <w:p>
            <w:pPr>
              <w:spacing w:after="0" w:before="0" w:line="240" w:lineRule="auto"/>
            </w:pPr>
            <w:r>
              <w:rPr>
                <w:rFonts w:ascii="Aptos" w:hAnsi="Aptos"/>
                <w:b w:val="0"/>
                <w:sz w:val="14"/>
              </w:rPr>
              <w:t>Shape buckets, KV allocator, attention backend</w:t>
            </w:r>
          </w:p>
        </w:tc>
        <w:tc>
          <w:tcPr>
            <w:tcW w:type="dxa" w:w="2088"/>
            <w:vAlign w:val="top"/>
          </w:tcPr>
          <w:p>
            <w:pPr>
              <w:spacing w:after="0" w:before="0" w:line="240" w:lineRule="auto"/>
            </w:pPr>
            <w:r>
              <w:rPr>
                <w:rFonts w:ascii="Aptos" w:hAnsi="Aptos"/>
                <w:b w:val="0"/>
                <w:sz w:val="14"/>
              </w:rPr>
              <w:t>Scheduler state lock or ordered control stream</w:t>
            </w:r>
          </w:p>
        </w:tc>
        <w:tc>
          <w:tcPr>
            <w:tcW w:type="dxa" w:w="1296"/>
            <w:vAlign w:val="top"/>
          </w:tcPr>
          <w:p>
            <w:pPr>
              <w:spacing w:after="0" w:before="0" w:line="240" w:lineRule="auto"/>
            </w:pPr>
            <w:r>
              <w:rPr>
                <w:rFonts w:ascii="Aptos" w:hAnsi="Aptos"/>
                <w:b w:val="0"/>
                <w:sz w:val="14"/>
              </w:rPr>
              <w:t>Request</w:t>
            </w:r>
          </w:p>
        </w:tc>
        <w:tc>
          <w:tcPr>
            <w:tcW w:type="dxa" w:w="1080"/>
            <w:vAlign w:val="top"/>
          </w:tcPr>
          <w:p>
            <w:pPr>
              <w:spacing w:after="0" w:before="0" w:line="240" w:lineRule="auto"/>
            </w:pPr>
            <w:r>
              <w:rPr>
                <w:rFonts w:ascii="Aptos" w:hAnsi="Aptos"/>
                <w:b w:val="0"/>
                <w:sz w:val="14"/>
              </w:rPr>
              <w:t>C/G</w:t>
            </w:r>
          </w:p>
        </w:tc>
      </w:tr>
      <w:tr>
        <w:tc>
          <w:tcPr>
            <w:tcW w:type="dxa" w:w="1944"/>
            <w:vAlign w:val="top"/>
          </w:tcPr>
          <w:p>
            <w:pPr>
              <w:spacing w:after="0" w:before="0" w:line="240" w:lineRule="auto"/>
            </w:pPr>
            <w:r>
              <w:rPr>
                <w:rFonts w:ascii="Aptos" w:hAnsi="Aptos"/>
                <w:b w:val="0"/>
                <w:sz w:val="14"/>
              </w:rPr>
              <w:t>Generation policy/configuration</w:t>
            </w:r>
          </w:p>
        </w:tc>
        <w:tc>
          <w:tcPr>
            <w:tcW w:type="dxa" w:w="1584"/>
            <w:vAlign w:val="top"/>
          </w:tcPr>
          <w:p>
            <w:pPr>
              <w:spacing w:after="0" w:before="0" w:line="240" w:lineRule="auto"/>
            </w:pPr>
            <w:r>
              <w:rPr>
                <w:rFonts w:ascii="Aptos" w:hAnsi="Aptos"/>
                <w:b w:val="0"/>
                <w:sz w:val="14"/>
              </w:rPr>
              <w:t>RL controller</w:t>
            </w:r>
          </w:p>
        </w:tc>
        <w:tc>
          <w:tcPr>
            <w:tcW w:type="dxa" w:w="1728"/>
            <w:vAlign w:val="top"/>
          </w:tcPr>
          <w:p>
            <w:pPr>
              <w:spacing w:after="0" w:before="0" w:line="240" w:lineRule="auto"/>
            </w:pPr>
            <w:r>
              <w:rPr>
                <w:rFonts w:ascii="Aptos" w:hAnsi="Aptos"/>
                <w:b w:val="0"/>
                <w:sz w:val="14"/>
              </w:rPr>
              <w:t>Sampler and rollout engine</w:t>
            </w:r>
          </w:p>
        </w:tc>
        <w:tc>
          <w:tcPr>
            <w:tcW w:type="dxa" w:w="2088"/>
            <w:vAlign w:val="top"/>
          </w:tcPr>
          <w:p>
            <w:pPr>
              <w:spacing w:after="0" w:before="0" w:line="240" w:lineRule="auto"/>
            </w:pPr>
            <w:r>
              <w:rPr>
                <w:rFonts w:ascii="Aptos" w:hAnsi="Aptos"/>
                <w:b w:val="0"/>
                <w:sz w:val="14"/>
              </w:rPr>
              <w:t>Policy-version barrier and control-plane broadcast</w:t>
            </w:r>
          </w:p>
        </w:tc>
        <w:tc>
          <w:tcPr>
            <w:tcW w:type="dxa" w:w="1296"/>
            <w:vAlign w:val="top"/>
          </w:tcPr>
          <w:p>
            <w:pPr>
              <w:spacing w:after="0" w:before="0" w:line="240" w:lineRule="auto"/>
            </w:pPr>
            <w:r>
              <w:rPr>
                <w:rFonts w:ascii="Aptos" w:hAnsi="Aptos"/>
                <w:b w:val="0"/>
                <w:sz w:val="14"/>
              </w:rPr>
              <w:t>Rollout job or policy epoch</w:t>
            </w:r>
          </w:p>
        </w:tc>
        <w:tc>
          <w:tcPr>
            <w:tcW w:type="dxa" w:w="1080"/>
            <w:vAlign w:val="top"/>
          </w:tcPr>
          <w:p>
            <w:pPr>
              <w:spacing w:after="0" w:before="0" w:line="240" w:lineRule="auto"/>
            </w:pPr>
            <w:r>
              <w:rPr>
                <w:rFonts w:ascii="Aptos" w:hAnsi="Aptos"/>
                <w:b w:val="0"/>
                <w:sz w:val="14"/>
              </w:rPr>
              <w:t>C -&gt; G/R</w:t>
            </w:r>
          </w:p>
        </w:tc>
      </w:tr>
      <w:tr>
        <w:tc>
          <w:tcPr>
            <w:tcW w:type="dxa" w:w="1944"/>
            <w:vAlign w:val="top"/>
          </w:tcPr>
          <w:p>
            <w:pPr>
              <w:spacing w:after="0" w:before="0" w:line="240" w:lineRule="auto"/>
            </w:pPr>
            <w:r>
              <w:rPr>
                <w:rFonts w:ascii="Aptos" w:hAnsi="Aptos"/>
                <w:b w:val="0"/>
                <w:sz w:val="14"/>
              </w:rPr>
              <w:t>Sampling RNG state</w:t>
            </w:r>
          </w:p>
        </w:tc>
        <w:tc>
          <w:tcPr>
            <w:tcW w:type="dxa" w:w="1584"/>
            <w:vAlign w:val="top"/>
          </w:tcPr>
          <w:p>
            <w:pPr>
              <w:spacing w:after="0" w:before="0" w:line="240" w:lineRule="auto"/>
            </w:pPr>
            <w:r>
              <w:rPr>
                <w:rFonts w:ascii="Aptos" w:hAnsi="Aptos"/>
                <w:b w:val="0"/>
                <w:sz w:val="14"/>
              </w:rPr>
              <w:t>Runtime seed manager</w:t>
            </w:r>
          </w:p>
        </w:tc>
        <w:tc>
          <w:tcPr>
            <w:tcW w:type="dxa" w:w="1728"/>
            <w:vAlign w:val="top"/>
          </w:tcPr>
          <w:p>
            <w:pPr>
              <w:spacing w:after="0" w:before="0" w:line="240" w:lineRule="auto"/>
            </w:pPr>
            <w:r>
              <w:rPr>
                <w:rFonts w:ascii="Aptos" w:hAnsi="Aptos"/>
                <w:b w:val="0"/>
                <w:sz w:val="14"/>
              </w:rPr>
              <w:t>Sampler, dropout, replay checker</w:t>
            </w:r>
          </w:p>
        </w:tc>
        <w:tc>
          <w:tcPr>
            <w:tcW w:type="dxa" w:w="2088"/>
            <w:vAlign w:val="top"/>
          </w:tcPr>
          <w:p>
            <w:pPr>
              <w:spacing w:after="0" w:before="0" w:line="240" w:lineRule="auto"/>
            </w:pPr>
            <w:r>
              <w:rPr>
                <w:rFonts w:ascii="Aptos" w:hAnsi="Aptos"/>
                <w:b w:val="0"/>
                <w:sz w:val="14"/>
              </w:rPr>
              <w:t>Seed broadcast; rank/request stream ordering</w:t>
            </w:r>
          </w:p>
        </w:tc>
        <w:tc>
          <w:tcPr>
            <w:tcW w:type="dxa" w:w="1296"/>
            <w:vAlign w:val="top"/>
          </w:tcPr>
          <w:p>
            <w:pPr>
              <w:spacing w:after="0" w:before="0" w:line="240" w:lineRule="auto"/>
            </w:pPr>
            <w:r>
              <w:rPr>
                <w:rFonts w:ascii="Aptos" w:hAnsi="Aptos"/>
                <w:b w:val="0"/>
                <w:sz w:val="14"/>
              </w:rPr>
              <w:t>Job and replay segment</w:t>
            </w:r>
          </w:p>
        </w:tc>
        <w:tc>
          <w:tcPr>
            <w:tcW w:type="dxa" w:w="1080"/>
            <w:vAlign w:val="top"/>
          </w:tcPr>
          <w:p>
            <w:pPr>
              <w:spacing w:after="0" w:before="0" w:line="240" w:lineRule="auto"/>
            </w:pPr>
            <w:r>
              <w:rPr>
                <w:rFonts w:ascii="Aptos" w:hAnsi="Aptos"/>
                <w:b w:val="0"/>
                <w:sz w:val="14"/>
              </w:rPr>
              <w:t>C/G -&gt; R</w:t>
            </w:r>
          </w:p>
        </w:tc>
      </w:tr>
    </w:tbl>
    <w:p>
      <w:pPr>
        <w:pStyle w:val="Heading3"/>
      </w:pPr>
      <w:r>
        <w:t>9.3.2 Actor Model, Forward Pass, and Rollout Entities</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944"/>
            <w:shd w:fill="D9EAF7"/>
            <w:vAlign w:val="top"/>
          </w:tcPr>
          <w:p>
            <w:pPr>
              <w:spacing w:after="0" w:before="0" w:line="240" w:lineRule="auto"/>
            </w:pPr>
            <w:r>
              <w:rPr>
                <w:rFonts w:ascii="Aptos" w:hAnsi="Aptos"/>
                <w:b/>
                <w:sz w:val="13"/>
              </w:rPr>
              <w:t>Tensor / data entity</w:t>
            </w:r>
          </w:p>
        </w:tc>
        <w:tc>
          <w:tcPr>
            <w:tcW w:type="dxa" w:w="1584"/>
            <w:shd w:fill="D9EAF7"/>
            <w:vAlign w:val="top"/>
          </w:tcPr>
          <w:p>
            <w:pPr>
              <w:spacing w:after="0" w:before="0" w:line="240" w:lineRule="auto"/>
            </w:pPr>
            <w:r>
              <w:rPr>
                <w:rFonts w:ascii="Aptos" w:hAnsi="Aptos"/>
                <w:b/>
                <w:sz w:val="13"/>
              </w:rPr>
              <w:t>Creator</w:t>
            </w:r>
          </w:p>
        </w:tc>
        <w:tc>
          <w:tcPr>
            <w:tcW w:type="dxa" w:w="1728"/>
            <w:shd w:fill="D9EAF7"/>
            <w:vAlign w:val="top"/>
          </w:tcPr>
          <w:p>
            <w:pPr>
              <w:spacing w:after="0" w:before="0" w:line="240" w:lineRule="auto"/>
            </w:pPr>
            <w:r>
              <w:rPr>
                <w:rFonts w:ascii="Aptos" w:hAnsi="Aptos"/>
                <w:b/>
                <w:sz w:val="13"/>
              </w:rPr>
              <w:t>Consumer</w:t>
            </w:r>
          </w:p>
        </w:tc>
        <w:tc>
          <w:tcPr>
            <w:tcW w:type="dxa" w:w="2088"/>
            <w:shd w:fill="D9EAF7"/>
            <w:vAlign w:val="top"/>
          </w:tcPr>
          <w:p>
            <w:pPr>
              <w:spacing w:after="0" w:before="0" w:line="240" w:lineRule="auto"/>
            </w:pPr>
            <w:r>
              <w:rPr>
                <w:rFonts w:ascii="Aptos" w:hAnsi="Aptos"/>
                <w:b/>
                <w:sz w:val="13"/>
              </w:rPr>
              <w:t>Synchronization</w:t>
            </w:r>
          </w:p>
        </w:tc>
        <w:tc>
          <w:tcPr>
            <w:tcW w:type="dxa" w:w="1296"/>
            <w:shd w:fill="D9EAF7"/>
            <w:vAlign w:val="top"/>
          </w:tcPr>
          <w:p>
            <w:pPr>
              <w:spacing w:after="0" w:before="0" w:line="240" w:lineRule="auto"/>
            </w:pPr>
            <w:r>
              <w:rPr>
                <w:rFonts w:ascii="Aptos" w:hAnsi="Aptos"/>
                <w:b/>
                <w:sz w:val="13"/>
              </w:rPr>
              <w:t>Lifetime</w:t>
            </w:r>
          </w:p>
        </w:tc>
        <w:tc>
          <w:tcPr>
            <w:tcW w:type="dxa" w:w="1080"/>
            <w:shd w:fill="D9EAF7"/>
            <w:vAlign w:val="top"/>
          </w:tcPr>
          <w:p>
            <w:pPr>
              <w:spacing w:after="0" w:before="0" w:line="240" w:lineRule="auto"/>
            </w:pPr>
            <w:r>
              <w:rPr>
                <w:rFonts w:ascii="Aptos" w:hAnsi="Aptos"/>
                <w:b/>
                <w:sz w:val="13"/>
              </w:rPr>
              <w:t>Memory path</w:t>
            </w:r>
          </w:p>
        </w:tc>
      </w:tr>
      <w:tr>
        <w:tc>
          <w:tcPr>
            <w:tcW w:type="dxa" w:w="1944"/>
            <w:vAlign w:val="top"/>
          </w:tcPr>
          <w:p>
            <w:pPr>
              <w:spacing w:after="0" w:before="0" w:line="240" w:lineRule="auto"/>
            </w:pPr>
            <w:r>
              <w:rPr>
                <w:rFonts w:ascii="Aptos" w:hAnsi="Aptos"/>
                <w:b w:val="0"/>
                <w:sz w:val="13"/>
              </w:rPr>
              <w:t>Actor base weight shards</w:t>
            </w:r>
          </w:p>
        </w:tc>
        <w:tc>
          <w:tcPr>
            <w:tcW w:type="dxa" w:w="1584"/>
            <w:vAlign w:val="top"/>
          </w:tcPr>
          <w:p>
            <w:pPr>
              <w:spacing w:after="0" w:before="0" w:line="240" w:lineRule="auto"/>
            </w:pPr>
            <w:r>
              <w:rPr>
                <w:rFonts w:ascii="Aptos" w:hAnsi="Aptos"/>
                <w:b w:val="0"/>
                <w:sz w:val="13"/>
              </w:rPr>
              <w:t>Checkpoint loader or optimizer update</w:t>
            </w:r>
          </w:p>
        </w:tc>
        <w:tc>
          <w:tcPr>
            <w:tcW w:type="dxa" w:w="1728"/>
            <w:vAlign w:val="top"/>
          </w:tcPr>
          <w:p>
            <w:pPr>
              <w:spacing w:after="0" w:before="0" w:line="240" w:lineRule="auto"/>
            </w:pPr>
            <w:r>
              <w:rPr>
                <w:rFonts w:ascii="Aptos" w:hAnsi="Aptos"/>
                <w:b w:val="0"/>
                <w:sz w:val="13"/>
              </w:rPr>
              <w:t>Rollout engine and trainer forward/backward</w:t>
            </w:r>
          </w:p>
        </w:tc>
        <w:tc>
          <w:tcPr>
            <w:tcW w:type="dxa" w:w="2088"/>
            <w:vAlign w:val="top"/>
          </w:tcPr>
          <w:p>
            <w:pPr>
              <w:spacing w:after="0" w:before="0" w:line="240" w:lineRule="auto"/>
            </w:pPr>
            <w:r>
              <w:rPr>
                <w:rFonts w:ascii="Aptos" w:hAnsi="Aptos"/>
                <w:b w:val="0"/>
                <w:sz w:val="13"/>
              </w:rPr>
              <w:t>Broadcast, all-gather, TP/PP ownership, versioned weight refit</w:t>
            </w:r>
          </w:p>
        </w:tc>
        <w:tc>
          <w:tcPr>
            <w:tcW w:type="dxa" w:w="1296"/>
            <w:vAlign w:val="top"/>
          </w:tcPr>
          <w:p>
            <w:pPr>
              <w:spacing w:after="0" w:before="0" w:line="240" w:lineRule="auto"/>
            </w:pPr>
            <w:r>
              <w:rPr>
                <w:rFonts w:ascii="Aptos" w:hAnsi="Aptos"/>
                <w:b w:val="0"/>
                <w:sz w:val="13"/>
              </w:rPr>
              <w:t>Job; new version each RL step</w:t>
            </w:r>
          </w:p>
        </w:tc>
        <w:tc>
          <w:tcPr>
            <w:tcW w:type="dxa" w:w="1080"/>
            <w:vAlign w:val="top"/>
          </w:tcPr>
          <w:p>
            <w:pPr>
              <w:spacing w:after="0" w:before="0" w:line="240" w:lineRule="auto"/>
            </w:pPr>
            <w:r>
              <w:rPr>
                <w:rFonts w:ascii="Aptos" w:hAnsi="Aptos"/>
                <w:b w:val="0"/>
                <w:sz w:val="13"/>
              </w:rPr>
              <w:t>F -&gt; C -&gt; G; G &lt;-&gt; N</w:t>
            </w:r>
          </w:p>
        </w:tc>
      </w:tr>
      <w:tr>
        <w:tc>
          <w:tcPr>
            <w:tcW w:type="dxa" w:w="1944"/>
            <w:vAlign w:val="top"/>
          </w:tcPr>
          <w:p>
            <w:pPr>
              <w:spacing w:after="0" w:before="0" w:line="240" w:lineRule="auto"/>
            </w:pPr>
            <w:r>
              <w:rPr>
                <w:rFonts w:ascii="Aptos" w:hAnsi="Aptos"/>
                <w:b w:val="0"/>
                <w:sz w:val="13"/>
              </w:rPr>
              <w:t>Actor LoRA / adapter weights</w:t>
            </w:r>
          </w:p>
        </w:tc>
        <w:tc>
          <w:tcPr>
            <w:tcW w:type="dxa" w:w="1584"/>
            <w:vAlign w:val="top"/>
          </w:tcPr>
          <w:p>
            <w:pPr>
              <w:spacing w:after="0" w:before="0" w:line="240" w:lineRule="auto"/>
            </w:pPr>
            <w:r>
              <w:rPr>
                <w:rFonts w:ascii="Aptos" w:hAnsi="Aptos"/>
                <w:b w:val="0"/>
                <w:sz w:val="13"/>
              </w:rPr>
              <w:t>Adapter loader or adapter optimizer</w:t>
            </w:r>
          </w:p>
        </w:tc>
        <w:tc>
          <w:tcPr>
            <w:tcW w:type="dxa" w:w="1728"/>
            <w:vAlign w:val="top"/>
          </w:tcPr>
          <w:p>
            <w:pPr>
              <w:spacing w:after="0" w:before="0" w:line="240" w:lineRule="auto"/>
            </w:pPr>
            <w:r>
              <w:rPr>
                <w:rFonts w:ascii="Aptos" w:hAnsi="Aptos"/>
                <w:b w:val="0"/>
                <w:sz w:val="13"/>
              </w:rPr>
              <w:t>Actor forward and rollout</w:t>
            </w:r>
          </w:p>
        </w:tc>
        <w:tc>
          <w:tcPr>
            <w:tcW w:type="dxa" w:w="2088"/>
            <w:vAlign w:val="top"/>
          </w:tcPr>
          <w:p>
            <w:pPr>
              <w:spacing w:after="0" w:before="0" w:line="240" w:lineRule="auto"/>
            </w:pPr>
            <w:r>
              <w:rPr>
                <w:rFonts w:ascii="Aptos" w:hAnsi="Aptos"/>
                <w:b w:val="0"/>
                <w:sz w:val="13"/>
              </w:rPr>
              <w:t>Load/broadcast and policy-version agreement</w:t>
            </w:r>
          </w:p>
        </w:tc>
        <w:tc>
          <w:tcPr>
            <w:tcW w:type="dxa" w:w="1296"/>
            <w:vAlign w:val="top"/>
          </w:tcPr>
          <w:p>
            <w:pPr>
              <w:spacing w:after="0" w:before="0" w:line="240" w:lineRule="auto"/>
            </w:pPr>
            <w:r>
              <w:rPr>
                <w:rFonts w:ascii="Aptos" w:hAnsi="Aptos"/>
                <w:b w:val="0"/>
                <w:sz w:val="13"/>
              </w:rPr>
              <w:t>Experiment or policy epoch</w:t>
            </w:r>
          </w:p>
        </w:tc>
        <w:tc>
          <w:tcPr>
            <w:tcW w:type="dxa" w:w="1080"/>
            <w:vAlign w:val="top"/>
          </w:tcPr>
          <w:p>
            <w:pPr>
              <w:spacing w:after="0" w:before="0" w:line="240" w:lineRule="auto"/>
            </w:pPr>
            <w:r>
              <w:rPr>
                <w:rFonts w:ascii="Aptos" w:hAnsi="Aptos"/>
                <w:b w:val="0"/>
                <w:sz w:val="13"/>
              </w:rPr>
              <w:t>F/C -&gt; G</w:t>
            </w:r>
          </w:p>
        </w:tc>
      </w:tr>
      <w:tr>
        <w:tc>
          <w:tcPr>
            <w:tcW w:type="dxa" w:w="1944"/>
            <w:vAlign w:val="top"/>
          </w:tcPr>
          <w:p>
            <w:pPr>
              <w:spacing w:after="0" w:before="0" w:line="240" w:lineRule="auto"/>
            </w:pPr>
            <w:r>
              <w:rPr>
                <w:rFonts w:ascii="Aptos" w:hAnsi="Aptos"/>
                <w:b w:val="0"/>
                <w:sz w:val="13"/>
              </w:rPr>
              <w:t>Embedding table shards</w:t>
            </w:r>
          </w:p>
        </w:tc>
        <w:tc>
          <w:tcPr>
            <w:tcW w:type="dxa" w:w="1584"/>
            <w:vAlign w:val="top"/>
          </w:tcPr>
          <w:p>
            <w:pPr>
              <w:spacing w:after="0" w:before="0" w:line="240" w:lineRule="auto"/>
            </w:pPr>
            <w:r>
              <w:rPr>
                <w:rFonts w:ascii="Aptos" w:hAnsi="Aptos"/>
                <w:b w:val="0"/>
                <w:sz w:val="13"/>
              </w:rPr>
              <w:t>Checkpoint loader</w:t>
            </w:r>
          </w:p>
        </w:tc>
        <w:tc>
          <w:tcPr>
            <w:tcW w:type="dxa" w:w="1728"/>
            <w:vAlign w:val="top"/>
          </w:tcPr>
          <w:p>
            <w:pPr>
              <w:spacing w:after="0" w:before="0" w:line="240" w:lineRule="auto"/>
            </w:pPr>
            <w:r>
              <w:rPr>
                <w:rFonts w:ascii="Aptos" w:hAnsi="Aptos"/>
                <w:b w:val="0"/>
                <w:sz w:val="13"/>
              </w:rPr>
              <w:t>Embedding lookup</w:t>
            </w:r>
          </w:p>
        </w:tc>
        <w:tc>
          <w:tcPr>
            <w:tcW w:type="dxa" w:w="2088"/>
            <w:vAlign w:val="top"/>
          </w:tcPr>
          <w:p>
            <w:pPr>
              <w:spacing w:after="0" w:before="0" w:line="240" w:lineRule="auto"/>
            </w:pPr>
            <w:r>
              <w:rPr>
                <w:rFonts w:ascii="Aptos" w:hAnsi="Aptos"/>
                <w:b w:val="0"/>
                <w:sz w:val="13"/>
              </w:rPr>
              <w:t>Vocab-parallel ownership; all-reduce/gather when required</w:t>
            </w:r>
          </w:p>
        </w:tc>
        <w:tc>
          <w:tcPr>
            <w:tcW w:type="dxa" w:w="1296"/>
            <w:vAlign w:val="top"/>
          </w:tcPr>
          <w:p>
            <w:pPr>
              <w:spacing w:after="0" w:before="0" w:line="240" w:lineRule="auto"/>
            </w:pPr>
            <w:r>
              <w:rPr>
                <w:rFonts w:ascii="Aptos" w:hAnsi="Aptos"/>
                <w:b w:val="0"/>
                <w:sz w:val="13"/>
              </w:rPr>
              <w:t>Job</w:t>
            </w:r>
          </w:p>
        </w:tc>
        <w:tc>
          <w:tcPr>
            <w:tcW w:type="dxa" w:w="1080"/>
            <w:vAlign w:val="top"/>
          </w:tcPr>
          <w:p>
            <w:pPr>
              <w:spacing w:after="0" w:before="0" w:line="240" w:lineRule="auto"/>
            </w:pPr>
            <w:r>
              <w:rPr>
                <w:rFonts w:ascii="Aptos" w:hAnsi="Aptos"/>
                <w:b w:val="0"/>
                <w:sz w:val="13"/>
              </w:rPr>
              <w:t>F -&gt; G; G -&gt; S/R</w:t>
            </w:r>
          </w:p>
        </w:tc>
      </w:tr>
      <w:tr>
        <w:tc>
          <w:tcPr>
            <w:tcW w:type="dxa" w:w="1944"/>
            <w:vAlign w:val="top"/>
          </w:tcPr>
          <w:p>
            <w:pPr>
              <w:spacing w:after="0" w:before="0" w:line="240" w:lineRule="auto"/>
            </w:pPr>
            <w:r>
              <w:rPr>
                <w:rFonts w:ascii="Aptos" w:hAnsi="Aptos"/>
                <w:b w:val="0"/>
                <w:sz w:val="13"/>
              </w:rPr>
              <w:t>Embedding output / residual stream</w:t>
            </w:r>
          </w:p>
        </w:tc>
        <w:tc>
          <w:tcPr>
            <w:tcW w:type="dxa" w:w="1584"/>
            <w:vAlign w:val="top"/>
          </w:tcPr>
          <w:p>
            <w:pPr>
              <w:spacing w:after="0" w:before="0" w:line="240" w:lineRule="auto"/>
            </w:pPr>
            <w:r>
              <w:rPr>
                <w:rFonts w:ascii="Aptos" w:hAnsi="Aptos"/>
                <w:b w:val="0"/>
                <w:sz w:val="13"/>
              </w:rPr>
              <w:t>Embedding kernel or prior layer</w:t>
            </w:r>
          </w:p>
        </w:tc>
        <w:tc>
          <w:tcPr>
            <w:tcW w:type="dxa" w:w="1728"/>
            <w:vAlign w:val="top"/>
          </w:tcPr>
          <w:p>
            <w:pPr>
              <w:spacing w:after="0" w:before="0" w:line="240" w:lineRule="auto"/>
            </w:pPr>
            <w:r>
              <w:rPr>
                <w:rFonts w:ascii="Aptos" w:hAnsi="Aptos"/>
                <w:b w:val="0"/>
                <w:sz w:val="13"/>
              </w:rPr>
              <w:t>Transformer block and residual consumers</w:t>
            </w:r>
          </w:p>
        </w:tc>
        <w:tc>
          <w:tcPr>
            <w:tcW w:type="dxa" w:w="2088"/>
            <w:vAlign w:val="top"/>
          </w:tcPr>
          <w:p>
            <w:pPr>
              <w:spacing w:after="0" w:before="0" w:line="240" w:lineRule="auto"/>
            </w:pPr>
            <w:r>
              <w:rPr>
                <w:rFonts w:ascii="Aptos" w:hAnsi="Aptos"/>
                <w:b w:val="0"/>
                <w:sz w:val="13"/>
              </w:rPr>
              <w:t>TP collective; PP send/receive; stream/event dependency</w:t>
            </w:r>
          </w:p>
        </w:tc>
        <w:tc>
          <w:tcPr>
            <w:tcW w:type="dxa" w:w="1296"/>
            <w:vAlign w:val="top"/>
          </w:tcPr>
          <w:p>
            <w:pPr>
              <w:spacing w:after="0" w:before="0" w:line="240" w:lineRule="auto"/>
            </w:pPr>
            <w:r>
              <w:rPr>
                <w:rFonts w:ascii="Aptos" w:hAnsi="Aptos"/>
                <w:b w:val="0"/>
                <w:sz w:val="13"/>
              </w:rPr>
              <w:t>Layer and backward interval</w:t>
            </w:r>
          </w:p>
        </w:tc>
        <w:tc>
          <w:tcPr>
            <w:tcW w:type="dxa" w:w="1080"/>
            <w:vAlign w:val="top"/>
          </w:tcPr>
          <w:p>
            <w:pPr>
              <w:spacing w:after="0" w:before="0" w:line="240" w:lineRule="auto"/>
            </w:pPr>
            <w:r>
              <w:rPr>
                <w:rFonts w:ascii="Aptos" w:hAnsi="Aptos"/>
                <w:b w:val="0"/>
                <w:sz w:val="13"/>
              </w:rPr>
              <w:t>G -&gt; S/R -&gt; G; optional N</w:t>
            </w:r>
          </w:p>
        </w:tc>
      </w:tr>
      <w:tr>
        <w:tc>
          <w:tcPr>
            <w:tcW w:type="dxa" w:w="1944"/>
            <w:vAlign w:val="top"/>
          </w:tcPr>
          <w:p>
            <w:pPr>
              <w:spacing w:after="0" w:before="0" w:line="240" w:lineRule="auto"/>
            </w:pPr>
            <w:r>
              <w:rPr>
                <w:rFonts w:ascii="Aptos" w:hAnsi="Aptos"/>
                <w:b w:val="0"/>
                <w:sz w:val="13"/>
              </w:rPr>
              <w:t>Q/K/V projections</w:t>
            </w:r>
          </w:p>
        </w:tc>
        <w:tc>
          <w:tcPr>
            <w:tcW w:type="dxa" w:w="1584"/>
            <w:vAlign w:val="top"/>
          </w:tcPr>
          <w:p>
            <w:pPr>
              <w:spacing w:after="0" w:before="0" w:line="240" w:lineRule="auto"/>
            </w:pPr>
            <w:r>
              <w:rPr>
                <w:rFonts w:ascii="Aptos" w:hAnsi="Aptos"/>
                <w:b w:val="0"/>
                <w:sz w:val="13"/>
              </w:rPr>
              <w:t>Linear kernels</w:t>
            </w:r>
          </w:p>
        </w:tc>
        <w:tc>
          <w:tcPr>
            <w:tcW w:type="dxa" w:w="1728"/>
            <w:vAlign w:val="top"/>
          </w:tcPr>
          <w:p>
            <w:pPr>
              <w:spacing w:after="0" w:before="0" w:line="240" w:lineRule="auto"/>
            </w:pPr>
            <w:r>
              <w:rPr>
                <w:rFonts w:ascii="Aptos" w:hAnsi="Aptos"/>
                <w:b w:val="0"/>
                <w:sz w:val="13"/>
              </w:rPr>
              <w:t>RoPE, attention and KV writer</w:t>
            </w:r>
          </w:p>
        </w:tc>
        <w:tc>
          <w:tcPr>
            <w:tcW w:type="dxa" w:w="2088"/>
            <w:vAlign w:val="top"/>
          </w:tcPr>
          <w:p>
            <w:pPr>
              <w:spacing w:after="0" w:before="0" w:line="240" w:lineRule="auto"/>
            </w:pPr>
            <w:r>
              <w:rPr>
                <w:rFonts w:ascii="Aptos" w:hAnsi="Aptos"/>
                <w:b w:val="0"/>
                <w:sz w:val="13"/>
              </w:rPr>
              <w:t>TP-local shard; CP all-gather or exchange when required</w:t>
            </w:r>
          </w:p>
        </w:tc>
        <w:tc>
          <w:tcPr>
            <w:tcW w:type="dxa" w:w="1296"/>
            <w:vAlign w:val="top"/>
          </w:tcPr>
          <w:p>
            <w:pPr>
              <w:spacing w:after="0" w:before="0" w:line="240" w:lineRule="auto"/>
            </w:pPr>
            <w:r>
              <w:rPr>
                <w:rFonts w:ascii="Aptos" w:hAnsi="Aptos"/>
                <w:b w:val="0"/>
                <w:sz w:val="13"/>
              </w:rPr>
              <w:t>Layer forward</w:t>
            </w:r>
          </w:p>
        </w:tc>
        <w:tc>
          <w:tcPr>
            <w:tcW w:type="dxa" w:w="1080"/>
            <w:vAlign w:val="top"/>
          </w:tcPr>
          <w:p>
            <w:pPr>
              <w:spacing w:after="0" w:before="0" w:line="240" w:lineRule="auto"/>
            </w:pPr>
            <w:r>
              <w:rPr>
                <w:rFonts w:ascii="Aptos" w:hAnsi="Aptos"/>
                <w:b w:val="0"/>
                <w:sz w:val="13"/>
              </w:rPr>
              <w:t>G -&gt; S/T/R -&gt; G</w:t>
            </w:r>
          </w:p>
        </w:tc>
      </w:tr>
      <w:tr>
        <w:tc>
          <w:tcPr>
            <w:tcW w:type="dxa" w:w="1944"/>
            <w:vAlign w:val="top"/>
          </w:tcPr>
          <w:p>
            <w:pPr>
              <w:spacing w:after="0" w:before="0" w:line="240" w:lineRule="auto"/>
            </w:pPr>
            <w:r>
              <w:rPr>
                <w:rFonts w:ascii="Aptos" w:hAnsi="Aptos"/>
                <w:b w:val="0"/>
                <w:sz w:val="13"/>
              </w:rPr>
              <w:t>RoPE-applied Q/K</w:t>
            </w:r>
          </w:p>
        </w:tc>
        <w:tc>
          <w:tcPr>
            <w:tcW w:type="dxa" w:w="1584"/>
            <w:vAlign w:val="top"/>
          </w:tcPr>
          <w:p>
            <w:pPr>
              <w:spacing w:after="0" w:before="0" w:line="240" w:lineRule="auto"/>
            </w:pPr>
            <w:r>
              <w:rPr>
                <w:rFonts w:ascii="Aptos" w:hAnsi="Aptos"/>
                <w:b w:val="0"/>
                <w:sz w:val="13"/>
              </w:rPr>
              <w:t>RoPE kernel or fused prologue</w:t>
            </w:r>
          </w:p>
        </w:tc>
        <w:tc>
          <w:tcPr>
            <w:tcW w:type="dxa" w:w="1728"/>
            <w:vAlign w:val="top"/>
          </w:tcPr>
          <w:p>
            <w:pPr>
              <w:spacing w:after="0" w:before="0" w:line="240" w:lineRule="auto"/>
            </w:pPr>
            <w:r>
              <w:rPr>
                <w:rFonts w:ascii="Aptos" w:hAnsi="Aptos"/>
                <w:b w:val="0"/>
                <w:sz w:val="13"/>
              </w:rPr>
              <w:t>Attention kernels</w:t>
            </w:r>
          </w:p>
        </w:tc>
        <w:tc>
          <w:tcPr>
            <w:tcW w:type="dxa" w:w="2088"/>
            <w:vAlign w:val="top"/>
          </w:tcPr>
          <w:p>
            <w:pPr>
              <w:spacing w:after="0" w:before="0" w:line="240" w:lineRule="auto"/>
            </w:pPr>
            <w:r>
              <w:rPr>
                <w:rFonts w:ascii="Aptos" w:hAnsi="Aptos"/>
                <w:b w:val="0"/>
                <w:sz w:val="13"/>
              </w:rPr>
              <w:t>Kernel-local producer-consumer ordering</w:t>
            </w:r>
          </w:p>
        </w:tc>
        <w:tc>
          <w:tcPr>
            <w:tcW w:type="dxa" w:w="1296"/>
            <w:vAlign w:val="top"/>
          </w:tcPr>
          <w:p>
            <w:pPr>
              <w:spacing w:after="0" w:before="0" w:line="240" w:lineRule="auto"/>
            </w:pPr>
            <w:r>
              <w:rPr>
                <w:rFonts w:ascii="Aptos" w:hAnsi="Aptos"/>
                <w:b w:val="0"/>
                <w:sz w:val="13"/>
              </w:rPr>
              <w:t>Attention kernel or layer</w:t>
            </w:r>
          </w:p>
        </w:tc>
        <w:tc>
          <w:tcPr>
            <w:tcW w:type="dxa" w:w="1080"/>
            <w:vAlign w:val="top"/>
          </w:tcPr>
          <w:p>
            <w:pPr>
              <w:spacing w:after="0" w:before="0" w:line="240" w:lineRule="auto"/>
            </w:pPr>
            <w:r>
              <w:rPr>
                <w:rFonts w:ascii="Aptos" w:hAnsi="Aptos"/>
                <w:b w:val="0"/>
                <w:sz w:val="13"/>
              </w:rPr>
              <w:t>G/S/R</w:t>
            </w:r>
          </w:p>
        </w:tc>
      </w:tr>
      <w:tr>
        <w:tc>
          <w:tcPr>
            <w:tcW w:type="dxa" w:w="1944"/>
            <w:vAlign w:val="top"/>
          </w:tcPr>
          <w:p>
            <w:pPr>
              <w:spacing w:after="0" w:before="0" w:line="240" w:lineRule="auto"/>
            </w:pPr>
            <w:r>
              <w:rPr>
                <w:rFonts w:ascii="Aptos" w:hAnsi="Aptos"/>
                <w:b w:val="0"/>
                <w:sz w:val="13"/>
              </w:rPr>
              <w:t>Attention scores / softmax partials</w:t>
            </w:r>
          </w:p>
        </w:tc>
        <w:tc>
          <w:tcPr>
            <w:tcW w:type="dxa" w:w="1584"/>
            <w:vAlign w:val="top"/>
          </w:tcPr>
          <w:p>
            <w:pPr>
              <w:spacing w:after="0" w:before="0" w:line="240" w:lineRule="auto"/>
            </w:pPr>
            <w:r>
              <w:rPr>
                <w:rFonts w:ascii="Aptos" w:hAnsi="Aptos"/>
                <w:b w:val="0"/>
                <w:sz w:val="13"/>
              </w:rPr>
              <w:t>Attention kernel</w:t>
            </w:r>
          </w:p>
        </w:tc>
        <w:tc>
          <w:tcPr>
            <w:tcW w:type="dxa" w:w="1728"/>
            <w:vAlign w:val="top"/>
          </w:tcPr>
          <w:p>
            <w:pPr>
              <w:spacing w:after="0" w:before="0" w:line="240" w:lineRule="auto"/>
            </w:pPr>
            <w:r>
              <w:rPr>
                <w:rFonts w:ascii="Aptos" w:hAnsi="Aptos"/>
                <w:b w:val="0"/>
                <w:sz w:val="13"/>
              </w:rPr>
              <w:t>Mask, normalization and value aggregation</w:t>
            </w:r>
          </w:p>
        </w:tc>
        <w:tc>
          <w:tcPr>
            <w:tcW w:type="dxa" w:w="2088"/>
            <w:vAlign w:val="top"/>
          </w:tcPr>
          <w:p>
            <w:pPr>
              <w:spacing w:after="0" w:before="0" w:line="240" w:lineRule="auto"/>
            </w:pPr>
            <w:r>
              <w:rPr>
                <w:rFonts w:ascii="Aptos" w:hAnsi="Aptos"/>
                <w:b w:val="0"/>
                <w:sz w:val="13"/>
              </w:rPr>
              <w:t>Warp/block barriers, reduction synchronization</w:t>
            </w:r>
          </w:p>
        </w:tc>
        <w:tc>
          <w:tcPr>
            <w:tcW w:type="dxa" w:w="1296"/>
            <w:vAlign w:val="top"/>
          </w:tcPr>
          <w:p>
            <w:pPr>
              <w:spacing w:after="0" w:before="0" w:line="240" w:lineRule="auto"/>
            </w:pPr>
            <w:r>
              <w:rPr>
                <w:rFonts w:ascii="Aptos" w:hAnsi="Aptos"/>
                <w:b w:val="0"/>
                <w:sz w:val="13"/>
              </w:rPr>
              <w:t>Kernel</w:t>
            </w:r>
          </w:p>
        </w:tc>
        <w:tc>
          <w:tcPr>
            <w:tcW w:type="dxa" w:w="1080"/>
            <w:vAlign w:val="top"/>
          </w:tcPr>
          <w:p>
            <w:pPr>
              <w:spacing w:after="0" w:before="0" w:line="240" w:lineRule="auto"/>
            </w:pPr>
            <w:r>
              <w:rPr>
                <w:rFonts w:ascii="Aptos" w:hAnsi="Aptos"/>
                <w:b w:val="0"/>
                <w:sz w:val="13"/>
              </w:rPr>
              <w:t>S/R/T</w:t>
            </w:r>
          </w:p>
        </w:tc>
      </w:tr>
      <w:tr>
        <w:tc>
          <w:tcPr>
            <w:tcW w:type="dxa" w:w="1944"/>
            <w:vAlign w:val="top"/>
          </w:tcPr>
          <w:p>
            <w:pPr>
              <w:spacing w:after="0" w:before="0" w:line="240" w:lineRule="auto"/>
            </w:pPr>
            <w:r>
              <w:rPr>
                <w:rFonts w:ascii="Aptos" w:hAnsi="Aptos"/>
                <w:b w:val="0"/>
                <w:sz w:val="13"/>
              </w:rPr>
              <w:t>Attention output</w:t>
            </w:r>
          </w:p>
        </w:tc>
        <w:tc>
          <w:tcPr>
            <w:tcW w:type="dxa" w:w="1584"/>
            <w:vAlign w:val="top"/>
          </w:tcPr>
          <w:p>
            <w:pPr>
              <w:spacing w:after="0" w:before="0" w:line="240" w:lineRule="auto"/>
            </w:pPr>
            <w:r>
              <w:rPr>
                <w:rFonts w:ascii="Aptos" w:hAnsi="Aptos"/>
                <w:b w:val="0"/>
                <w:sz w:val="13"/>
              </w:rPr>
              <w:t>Attention kernel</w:t>
            </w:r>
          </w:p>
        </w:tc>
        <w:tc>
          <w:tcPr>
            <w:tcW w:type="dxa" w:w="1728"/>
            <w:vAlign w:val="top"/>
          </w:tcPr>
          <w:p>
            <w:pPr>
              <w:spacing w:after="0" w:before="0" w:line="240" w:lineRule="auto"/>
            </w:pPr>
            <w:r>
              <w:rPr>
                <w:rFonts w:ascii="Aptos" w:hAnsi="Aptos"/>
                <w:b w:val="0"/>
                <w:sz w:val="13"/>
              </w:rPr>
              <w:t>Output projection and residual add</w:t>
            </w:r>
          </w:p>
        </w:tc>
        <w:tc>
          <w:tcPr>
            <w:tcW w:type="dxa" w:w="2088"/>
            <w:vAlign w:val="top"/>
          </w:tcPr>
          <w:p>
            <w:pPr>
              <w:spacing w:after="0" w:before="0" w:line="240" w:lineRule="auto"/>
            </w:pPr>
            <w:r>
              <w:rPr>
                <w:rFonts w:ascii="Aptos" w:hAnsi="Aptos"/>
                <w:b w:val="0"/>
                <w:sz w:val="13"/>
              </w:rPr>
              <w:t>Output-projection TP reduction or reduce-scatter</w:t>
            </w:r>
          </w:p>
        </w:tc>
        <w:tc>
          <w:tcPr>
            <w:tcW w:type="dxa" w:w="1296"/>
            <w:vAlign w:val="top"/>
          </w:tcPr>
          <w:p>
            <w:pPr>
              <w:spacing w:after="0" w:before="0" w:line="240" w:lineRule="auto"/>
            </w:pPr>
            <w:r>
              <w:rPr>
                <w:rFonts w:ascii="Aptos" w:hAnsi="Aptos"/>
                <w:b w:val="0"/>
                <w:sz w:val="13"/>
              </w:rPr>
              <w:t>Layer and optional backward interval</w:t>
            </w:r>
          </w:p>
        </w:tc>
        <w:tc>
          <w:tcPr>
            <w:tcW w:type="dxa" w:w="1080"/>
            <w:vAlign w:val="top"/>
          </w:tcPr>
          <w:p>
            <w:pPr>
              <w:spacing w:after="0" w:before="0" w:line="240" w:lineRule="auto"/>
            </w:pPr>
            <w:r>
              <w:rPr>
                <w:rFonts w:ascii="Aptos" w:hAnsi="Aptos"/>
                <w:b w:val="0"/>
                <w:sz w:val="13"/>
              </w:rPr>
              <w:t>S/T/R -&gt; G</w:t>
            </w:r>
          </w:p>
        </w:tc>
      </w:tr>
      <w:tr>
        <w:tc>
          <w:tcPr>
            <w:tcW w:type="dxa" w:w="1944"/>
            <w:vAlign w:val="top"/>
          </w:tcPr>
          <w:p>
            <w:pPr>
              <w:spacing w:after="0" w:before="0" w:line="240" w:lineRule="auto"/>
            </w:pPr>
            <w:r>
              <w:rPr>
                <w:rFonts w:ascii="Aptos" w:hAnsi="Aptos"/>
                <w:b w:val="0"/>
                <w:sz w:val="13"/>
              </w:rPr>
              <w:t>MLP/SwiGLU intermediates</w:t>
            </w:r>
          </w:p>
        </w:tc>
        <w:tc>
          <w:tcPr>
            <w:tcW w:type="dxa" w:w="1584"/>
            <w:vAlign w:val="top"/>
          </w:tcPr>
          <w:p>
            <w:pPr>
              <w:spacing w:after="0" w:before="0" w:line="240" w:lineRule="auto"/>
            </w:pPr>
            <w:r>
              <w:rPr>
                <w:rFonts w:ascii="Aptos" w:hAnsi="Aptos"/>
                <w:b w:val="0"/>
                <w:sz w:val="13"/>
              </w:rPr>
              <w:t>MLP first projection and activation</w:t>
            </w:r>
          </w:p>
        </w:tc>
        <w:tc>
          <w:tcPr>
            <w:tcW w:type="dxa" w:w="1728"/>
            <w:vAlign w:val="top"/>
          </w:tcPr>
          <w:p>
            <w:pPr>
              <w:spacing w:after="0" w:before="0" w:line="240" w:lineRule="auto"/>
            </w:pPr>
            <w:r>
              <w:rPr>
                <w:rFonts w:ascii="Aptos" w:hAnsi="Aptos"/>
                <w:b w:val="0"/>
                <w:sz w:val="13"/>
              </w:rPr>
              <w:t>Second projection and backward</w:t>
            </w:r>
          </w:p>
        </w:tc>
        <w:tc>
          <w:tcPr>
            <w:tcW w:type="dxa" w:w="2088"/>
            <w:vAlign w:val="top"/>
          </w:tcPr>
          <w:p>
            <w:pPr>
              <w:spacing w:after="0" w:before="0" w:line="240" w:lineRule="auto"/>
            </w:pPr>
            <w:r>
              <w:rPr>
                <w:rFonts w:ascii="Aptos" w:hAnsi="Aptos"/>
                <w:b w:val="0"/>
                <w:sz w:val="13"/>
              </w:rPr>
              <w:t>Kernel-local if fused; otherwise stream dependency</w:t>
            </w:r>
          </w:p>
        </w:tc>
        <w:tc>
          <w:tcPr>
            <w:tcW w:type="dxa" w:w="1296"/>
            <w:vAlign w:val="top"/>
          </w:tcPr>
          <w:p>
            <w:pPr>
              <w:spacing w:after="0" w:before="0" w:line="240" w:lineRule="auto"/>
            </w:pPr>
            <w:r>
              <w:rPr>
                <w:rFonts w:ascii="Aptos" w:hAnsi="Aptos"/>
                <w:b w:val="0"/>
                <w:sz w:val="13"/>
              </w:rPr>
              <w:t>Kernel/layer; save or recompute</w:t>
            </w:r>
          </w:p>
        </w:tc>
        <w:tc>
          <w:tcPr>
            <w:tcW w:type="dxa" w:w="1080"/>
            <w:vAlign w:val="top"/>
          </w:tcPr>
          <w:p>
            <w:pPr>
              <w:spacing w:after="0" w:before="0" w:line="240" w:lineRule="auto"/>
            </w:pPr>
            <w:r>
              <w:rPr>
                <w:rFonts w:ascii="Aptos" w:hAnsi="Aptos"/>
                <w:b w:val="0"/>
                <w:sz w:val="13"/>
              </w:rPr>
              <w:t>G -&gt; S/T/R -&gt; G</w:t>
            </w:r>
          </w:p>
        </w:tc>
      </w:tr>
      <w:tr>
        <w:tc>
          <w:tcPr>
            <w:tcW w:type="dxa" w:w="1944"/>
            <w:vAlign w:val="top"/>
          </w:tcPr>
          <w:p>
            <w:pPr>
              <w:spacing w:after="0" w:before="0" w:line="240" w:lineRule="auto"/>
            </w:pPr>
            <w:r>
              <w:rPr>
                <w:rFonts w:ascii="Aptos" w:hAnsi="Aptos"/>
                <w:b w:val="0"/>
                <w:sz w:val="13"/>
              </w:rPr>
              <w:t>Layer output residual</w:t>
            </w:r>
          </w:p>
        </w:tc>
        <w:tc>
          <w:tcPr>
            <w:tcW w:type="dxa" w:w="1584"/>
            <w:vAlign w:val="top"/>
          </w:tcPr>
          <w:p>
            <w:pPr>
              <w:spacing w:after="0" w:before="0" w:line="240" w:lineRule="auto"/>
            </w:pPr>
            <w:r>
              <w:rPr>
                <w:rFonts w:ascii="Aptos" w:hAnsi="Aptos"/>
                <w:b w:val="0"/>
                <w:sz w:val="13"/>
              </w:rPr>
              <w:t>Transformer block</w:t>
            </w:r>
          </w:p>
        </w:tc>
        <w:tc>
          <w:tcPr>
            <w:tcW w:type="dxa" w:w="1728"/>
            <w:vAlign w:val="top"/>
          </w:tcPr>
          <w:p>
            <w:pPr>
              <w:spacing w:after="0" w:before="0" w:line="240" w:lineRule="auto"/>
            </w:pPr>
            <w:r>
              <w:rPr>
                <w:rFonts w:ascii="Aptos" w:hAnsi="Aptos"/>
                <w:b w:val="0"/>
                <w:sz w:val="13"/>
              </w:rPr>
              <w:t>Next layer or final norm</w:t>
            </w:r>
          </w:p>
        </w:tc>
        <w:tc>
          <w:tcPr>
            <w:tcW w:type="dxa" w:w="2088"/>
            <w:vAlign w:val="top"/>
          </w:tcPr>
          <w:p>
            <w:pPr>
              <w:spacing w:after="0" w:before="0" w:line="240" w:lineRule="auto"/>
            </w:pPr>
            <w:r>
              <w:rPr>
                <w:rFonts w:ascii="Aptos" w:hAnsi="Aptos"/>
                <w:b w:val="0"/>
                <w:sz w:val="13"/>
              </w:rPr>
              <w:t>PP send/receive and TP completion</w:t>
            </w:r>
          </w:p>
        </w:tc>
        <w:tc>
          <w:tcPr>
            <w:tcW w:type="dxa" w:w="1296"/>
            <w:vAlign w:val="top"/>
          </w:tcPr>
          <w:p>
            <w:pPr>
              <w:spacing w:after="0" w:before="0" w:line="240" w:lineRule="auto"/>
            </w:pPr>
            <w:r>
              <w:rPr>
                <w:rFonts w:ascii="Aptos" w:hAnsi="Aptos"/>
                <w:b w:val="0"/>
                <w:sz w:val="13"/>
              </w:rPr>
              <w:t>Layer; may survive to backward</w:t>
            </w:r>
          </w:p>
        </w:tc>
        <w:tc>
          <w:tcPr>
            <w:tcW w:type="dxa" w:w="1080"/>
            <w:vAlign w:val="top"/>
          </w:tcPr>
          <w:p>
            <w:pPr>
              <w:spacing w:after="0" w:before="0" w:line="240" w:lineRule="auto"/>
            </w:pPr>
            <w:r>
              <w:rPr>
                <w:rFonts w:ascii="Aptos" w:hAnsi="Aptos"/>
                <w:b w:val="0"/>
                <w:sz w:val="13"/>
              </w:rPr>
              <w:t>G &lt;-&gt; N</w:t>
            </w:r>
          </w:p>
        </w:tc>
      </w:tr>
      <w:tr>
        <w:tc>
          <w:tcPr>
            <w:tcW w:type="dxa" w:w="1944"/>
            <w:vAlign w:val="top"/>
          </w:tcPr>
          <w:p>
            <w:pPr>
              <w:spacing w:after="0" w:before="0" w:line="240" w:lineRule="auto"/>
            </w:pPr>
            <w:r>
              <w:rPr>
                <w:rFonts w:ascii="Aptos" w:hAnsi="Aptos"/>
                <w:b w:val="0"/>
                <w:sz w:val="13"/>
              </w:rPr>
              <w:t>Logits</w:t>
            </w:r>
          </w:p>
        </w:tc>
        <w:tc>
          <w:tcPr>
            <w:tcW w:type="dxa" w:w="1584"/>
            <w:vAlign w:val="top"/>
          </w:tcPr>
          <w:p>
            <w:pPr>
              <w:spacing w:after="0" w:before="0" w:line="240" w:lineRule="auto"/>
            </w:pPr>
            <w:r>
              <w:rPr>
                <w:rFonts w:ascii="Aptos" w:hAnsi="Aptos"/>
                <w:b w:val="0"/>
                <w:sz w:val="13"/>
              </w:rPr>
              <w:t>LM head</w:t>
            </w:r>
          </w:p>
        </w:tc>
        <w:tc>
          <w:tcPr>
            <w:tcW w:type="dxa" w:w="1728"/>
            <w:vAlign w:val="top"/>
          </w:tcPr>
          <w:p>
            <w:pPr>
              <w:spacing w:after="0" w:before="0" w:line="240" w:lineRule="auto"/>
            </w:pPr>
            <w:r>
              <w:rPr>
                <w:rFonts w:ascii="Aptos" w:hAnsi="Aptos"/>
                <w:b w:val="0"/>
                <w:sz w:val="13"/>
              </w:rPr>
              <w:t>Sampler, logprob computation and loss</w:t>
            </w:r>
          </w:p>
        </w:tc>
        <w:tc>
          <w:tcPr>
            <w:tcW w:type="dxa" w:w="2088"/>
            <w:vAlign w:val="top"/>
          </w:tcPr>
          <w:p>
            <w:pPr>
              <w:spacing w:after="0" w:before="0" w:line="240" w:lineRule="auto"/>
            </w:pPr>
            <w:r>
              <w:rPr>
                <w:rFonts w:ascii="Aptos" w:hAnsi="Aptos"/>
                <w:b w:val="0"/>
                <w:sz w:val="13"/>
              </w:rPr>
              <w:t>Vocab-parallel distributed top-k/all-gather; stream ordering</w:t>
            </w:r>
          </w:p>
        </w:tc>
        <w:tc>
          <w:tcPr>
            <w:tcW w:type="dxa" w:w="1296"/>
            <w:vAlign w:val="top"/>
          </w:tcPr>
          <w:p>
            <w:pPr>
              <w:spacing w:after="0" w:before="0" w:line="240" w:lineRule="auto"/>
            </w:pPr>
            <w:r>
              <w:rPr>
                <w:rFonts w:ascii="Aptos" w:hAnsi="Aptos"/>
                <w:b w:val="0"/>
                <w:sz w:val="13"/>
              </w:rPr>
              <w:t>Decode step or update minibatch</w:t>
            </w:r>
          </w:p>
        </w:tc>
        <w:tc>
          <w:tcPr>
            <w:tcW w:type="dxa" w:w="1080"/>
            <w:vAlign w:val="top"/>
          </w:tcPr>
          <w:p>
            <w:pPr>
              <w:spacing w:after="0" w:before="0" w:line="240" w:lineRule="auto"/>
            </w:pPr>
            <w:r>
              <w:rPr>
                <w:rFonts w:ascii="Aptos" w:hAnsi="Aptos"/>
                <w:b w:val="0"/>
                <w:sz w:val="13"/>
              </w:rPr>
              <w:t>G -&gt; S/R; optional N</w:t>
            </w:r>
          </w:p>
        </w:tc>
      </w:tr>
      <w:tr>
        <w:tc>
          <w:tcPr>
            <w:tcW w:type="dxa" w:w="1944"/>
            <w:vAlign w:val="top"/>
          </w:tcPr>
          <w:p>
            <w:pPr>
              <w:spacing w:after="0" w:before="0" w:line="240" w:lineRule="auto"/>
            </w:pPr>
            <w:r>
              <w:rPr>
                <w:rFonts w:ascii="Aptos" w:hAnsi="Aptos"/>
                <w:b w:val="0"/>
                <w:sz w:val="13"/>
              </w:rPr>
              <w:t>Sampling workspace</w:t>
            </w:r>
          </w:p>
        </w:tc>
        <w:tc>
          <w:tcPr>
            <w:tcW w:type="dxa" w:w="1584"/>
            <w:vAlign w:val="top"/>
          </w:tcPr>
          <w:p>
            <w:pPr>
              <w:spacing w:after="0" w:before="0" w:line="240" w:lineRule="auto"/>
            </w:pPr>
            <w:r>
              <w:rPr>
                <w:rFonts w:ascii="Aptos" w:hAnsi="Aptos"/>
                <w:b w:val="0"/>
                <w:sz w:val="13"/>
              </w:rPr>
              <w:t>Sampler</w:t>
            </w:r>
          </w:p>
        </w:tc>
        <w:tc>
          <w:tcPr>
            <w:tcW w:type="dxa" w:w="1728"/>
            <w:vAlign w:val="top"/>
          </w:tcPr>
          <w:p>
            <w:pPr>
              <w:spacing w:after="0" w:before="0" w:line="240" w:lineRule="auto"/>
            </w:pPr>
            <w:r>
              <w:rPr>
                <w:rFonts w:ascii="Aptos" w:hAnsi="Aptos"/>
                <w:b w:val="0"/>
                <w:sz w:val="13"/>
              </w:rPr>
              <w:t>Token selection and probability recording</w:t>
            </w:r>
          </w:p>
        </w:tc>
        <w:tc>
          <w:tcPr>
            <w:tcW w:type="dxa" w:w="2088"/>
            <w:vAlign w:val="top"/>
          </w:tcPr>
          <w:p>
            <w:pPr>
              <w:spacing w:after="0" w:before="0" w:line="240" w:lineRule="auto"/>
            </w:pPr>
            <w:r>
              <w:rPr>
                <w:rFonts w:ascii="Aptos" w:hAnsi="Aptos"/>
                <w:b w:val="0"/>
                <w:sz w:val="13"/>
              </w:rPr>
              <w:t>Per-request sequence order and RNG state</w:t>
            </w:r>
          </w:p>
        </w:tc>
        <w:tc>
          <w:tcPr>
            <w:tcW w:type="dxa" w:w="1296"/>
            <w:vAlign w:val="top"/>
          </w:tcPr>
          <w:p>
            <w:pPr>
              <w:spacing w:after="0" w:before="0" w:line="240" w:lineRule="auto"/>
            </w:pPr>
            <w:r>
              <w:rPr>
                <w:rFonts w:ascii="Aptos" w:hAnsi="Aptos"/>
                <w:b w:val="0"/>
                <w:sz w:val="13"/>
              </w:rPr>
              <w:t>Decode step</w:t>
            </w:r>
          </w:p>
        </w:tc>
        <w:tc>
          <w:tcPr>
            <w:tcW w:type="dxa" w:w="1080"/>
            <w:vAlign w:val="top"/>
          </w:tcPr>
          <w:p>
            <w:pPr>
              <w:spacing w:after="0" w:before="0" w:line="240" w:lineRule="auto"/>
            </w:pPr>
            <w:r>
              <w:rPr>
                <w:rFonts w:ascii="Aptos" w:hAnsi="Aptos"/>
                <w:b w:val="0"/>
                <w:sz w:val="13"/>
              </w:rPr>
              <w:t>G/R</w:t>
            </w:r>
          </w:p>
        </w:tc>
      </w:tr>
      <w:tr>
        <w:tc>
          <w:tcPr>
            <w:tcW w:type="dxa" w:w="1944"/>
            <w:vAlign w:val="top"/>
          </w:tcPr>
          <w:p>
            <w:pPr>
              <w:spacing w:after="0" w:before="0" w:line="240" w:lineRule="auto"/>
            </w:pPr>
            <w:r>
              <w:rPr>
                <w:rFonts w:ascii="Aptos" w:hAnsi="Aptos"/>
                <w:b w:val="0"/>
                <w:sz w:val="13"/>
              </w:rPr>
              <w:t>Sampled tokens / actions</w:t>
            </w:r>
          </w:p>
        </w:tc>
        <w:tc>
          <w:tcPr>
            <w:tcW w:type="dxa" w:w="1584"/>
            <w:vAlign w:val="top"/>
          </w:tcPr>
          <w:p>
            <w:pPr>
              <w:spacing w:after="0" w:before="0" w:line="240" w:lineRule="auto"/>
            </w:pPr>
            <w:r>
              <w:rPr>
                <w:rFonts w:ascii="Aptos" w:hAnsi="Aptos"/>
                <w:b w:val="0"/>
                <w:sz w:val="13"/>
              </w:rPr>
              <w:t>Sampler</w:t>
            </w:r>
          </w:p>
        </w:tc>
        <w:tc>
          <w:tcPr>
            <w:tcW w:type="dxa" w:w="1728"/>
            <w:vAlign w:val="top"/>
          </w:tcPr>
          <w:p>
            <w:pPr>
              <w:spacing w:after="0" w:before="0" w:line="240" w:lineRule="auto"/>
            </w:pPr>
            <w:r>
              <w:rPr>
                <w:rFonts w:ascii="Aptos" w:hAnsi="Aptos"/>
                <w:b w:val="0"/>
                <w:sz w:val="13"/>
              </w:rPr>
              <w:t>Next decode step, rollout trace, reward model</w:t>
            </w:r>
          </w:p>
        </w:tc>
        <w:tc>
          <w:tcPr>
            <w:tcW w:type="dxa" w:w="2088"/>
            <w:vAlign w:val="top"/>
          </w:tcPr>
          <w:p>
            <w:pPr>
              <w:spacing w:after="0" w:before="0" w:line="240" w:lineRule="auto"/>
            </w:pPr>
            <w:r>
              <w:rPr>
                <w:rFonts w:ascii="Aptos" w:hAnsi="Aptos"/>
                <w:b w:val="0"/>
                <w:sz w:val="13"/>
              </w:rPr>
              <w:t>Append ordering and request completion barrier</w:t>
            </w:r>
          </w:p>
        </w:tc>
        <w:tc>
          <w:tcPr>
            <w:tcW w:type="dxa" w:w="1296"/>
            <w:vAlign w:val="top"/>
          </w:tcPr>
          <w:p>
            <w:pPr>
              <w:spacing w:after="0" w:before="0" w:line="240" w:lineRule="auto"/>
            </w:pPr>
            <w:r>
              <w:rPr>
                <w:rFonts w:ascii="Aptos" w:hAnsi="Aptos"/>
                <w:b w:val="0"/>
                <w:sz w:val="13"/>
              </w:rPr>
              <w:t>Rollout and RL-step audit</w:t>
            </w:r>
          </w:p>
        </w:tc>
        <w:tc>
          <w:tcPr>
            <w:tcW w:type="dxa" w:w="1080"/>
            <w:vAlign w:val="top"/>
          </w:tcPr>
          <w:p>
            <w:pPr>
              <w:spacing w:after="0" w:before="0" w:line="240" w:lineRule="auto"/>
            </w:pPr>
            <w:r>
              <w:rPr>
                <w:rFonts w:ascii="Aptos" w:hAnsi="Aptos"/>
                <w:b w:val="0"/>
                <w:sz w:val="13"/>
              </w:rPr>
              <w:t>G -&gt; C/F</w:t>
            </w:r>
          </w:p>
        </w:tc>
      </w:tr>
      <w:tr>
        <w:tc>
          <w:tcPr>
            <w:tcW w:type="dxa" w:w="1944"/>
            <w:vAlign w:val="top"/>
          </w:tcPr>
          <w:p>
            <w:pPr>
              <w:spacing w:after="0" w:before="0" w:line="240" w:lineRule="auto"/>
            </w:pPr>
            <w:r>
              <w:rPr>
                <w:rFonts w:ascii="Aptos" w:hAnsi="Aptos"/>
                <w:b w:val="0"/>
                <w:sz w:val="13"/>
              </w:rPr>
              <w:t>Actor rollout logprobs</w:t>
            </w:r>
          </w:p>
        </w:tc>
        <w:tc>
          <w:tcPr>
            <w:tcW w:type="dxa" w:w="1584"/>
            <w:vAlign w:val="top"/>
          </w:tcPr>
          <w:p>
            <w:pPr>
              <w:spacing w:after="0" w:before="0" w:line="240" w:lineRule="auto"/>
            </w:pPr>
            <w:r>
              <w:rPr>
                <w:rFonts w:ascii="Aptos" w:hAnsi="Aptos"/>
                <w:b w:val="0"/>
                <w:sz w:val="13"/>
              </w:rPr>
              <w:t>Actor logprob kernel</w:t>
            </w:r>
          </w:p>
        </w:tc>
        <w:tc>
          <w:tcPr>
            <w:tcW w:type="dxa" w:w="1728"/>
            <w:vAlign w:val="top"/>
          </w:tcPr>
          <w:p>
            <w:pPr>
              <w:spacing w:after="0" w:before="0" w:line="240" w:lineRule="auto"/>
            </w:pPr>
            <w:r>
              <w:rPr>
                <w:rFonts w:ascii="Aptos" w:hAnsi="Aptos"/>
                <w:b w:val="0"/>
                <w:sz w:val="13"/>
              </w:rPr>
              <w:t>PPO/GRPO ratio, KL and audit</w:t>
            </w:r>
          </w:p>
        </w:tc>
        <w:tc>
          <w:tcPr>
            <w:tcW w:type="dxa" w:w="2088"/>
            <w:vAlign w:val="top"/>
          </w:tcPr>
          <w:p>
            <w:pPr>
              <w:spacing w:after="0" w:before="0" w:line="240" w:lineRule="auto"/>
            </w:pPr>
            <w:r>
              <w:rPr>
                <w:rFonts w:ascii="Aptos" w:hAnsi="Aptos"/>
                <w:b w:val="0"/>
                <w:sz w:val="13"/>
              </w:rPr>
              <w:t>Align token positions and actor weight version; gather if sharded</w:t>
            </w:r>
          </w:p>
        </w:tc>
        <w:tc>
          <w:tcPr>
            <w:tcW w:type="dxa" w:w="1296"/>
            <w:vAlign w:val="top"/>
          </w:tcPr>
          <w:p>
            <w:pPr>
              <w:spacing w:after="0" w:before="0" w:line="240" w:lineRule="auto"/>
            </w:pPr>
            <w:r>
              <w:rPr>
                <w:rFonts w:ascii="Aptos" w:hAnsi="Aptos"/>
                <w:b w:val="0"/>
                <w:sz w:val="13"/>
              </w:rPr>
              <w:t>Until policy update completes</w:t>
            </w:r>
          </w:p>
        </w:tc>
        <w:tc>
          <w:tcPr>
            <w:tcW w:type="dxa" w:w="1080"/>
            <w:vAlign w:val="top"/>
          </w:tcPr>
          <w:p>
            <w:pPr>
              <w:spacing w:after="0" w:before="0" w:line="240" w:lineRule="auto"/>
            </w:pPr>
            <w:r>
              <w:rPr>
                <w:rFonts w:ascii="Aptos" w:hAnsi="Aptos"/>
                <w:b w:val="0"/>
                <w:sz w:val="13"/>
              </w:rPr>
              <w:t>G; optional G -&gt; C/F</w:t>
            </w:r>
          </w:p>
        </w:tc>
      </w:tr>
      <w:tr>
        <w:tc>
          <w:tcPr>
            <w:tcW w:type="dxa" w:w="1944"/>
            <w:vAlign w:val="top"/>
          </w:tcPr>
          <w:p>
            <w:pPr>
              <w:spacing w:after="0" w:before="0" w:line="240" w:lineRule="auto"/>
            </w:pPr>
            <w:r>
              <w:rPr>
                <w:rFonts w:ascii="Aptos" w:hAnsi="Aptos"/>
                <w:b w:val="0"/>
                <w:sz w:val="13"/>
              </w:rPr>
              <w:t>KV cache per layer</w:t>
            </w:r>
          </w:p>
        </w:tc>
        <w:tc>
          <w:tcPr>
            <w:tcW w:type="dxa" w:w="1584"/>
            <w:vAlign w:val="top"/>
          </w:tcPr>
          <w:p>
            <w:pPr>
              <w:spacing w:after="0" w:before="0" w:line="240" w:lineRule="auto"/>
            </w:pPr>
            <w:r>
              <w:rPr>
                <w:rFonts w:ascii="Aptos" w:hAnsi="Aptos"/>
                <w:b w:val="0"/>
                <w:sz w:val="13"/>
              </w:rPr>
              <w:t>Prefill/decode attention</w:t>
            </w:r>
          </w:p>
        </w:tc>
        <w:tc>
          <w:tcPr>
            <w:tcW w:type="dxa" w:w="1728"/>
            <w:vAlign w:val="top"/>
          </w:tcPr>
          <w:p>
            <w:pPr>
              <w:spacing w:after="0" w:before="0" w:line="240" w:lineRule="auto"/>
            </w:pPr>
            <w:r>
              <w:rPr>
                <w:rFonts w:ascii="Aptos" w:hAnsi="Aptos"/>
                <w:b w:val="0"/>
                <w:sz w:val="13"/>
              </w:rPr>
              <w:t>Subsequent decode and prefix reuse</w:t>
            </w:r>
          </w:p>
        </w:tc>
        <w:tc>
          <w:tcPr>
            <w:tcW w:type="dxa" w:w="2088"/>
            <w:vAlign w:val="top"/>
          </w:tcPr>
          <w:p>
            <w:pPr>
              <w:spacing w:after="0" w:before="0" w:line="240" w:lineRule="auto"/>
            </w:pPr>
            <w:r>
              <w:rPr>
                <w:rFonts w:ascii="Aptos" w:hAnsi="Aptos"/>
                <w:b w:val="0"/>
                <w:sz w:val="13"/>
              </w:rPr>
              <w:t>KV allocator, page-table update, CUDA stream/event ordering</w:t>
            </w:r>
          </w:p>
        </w:tc>
        <w:tc>
          <w:tcPr>
            <w:tcW w:type="dxa" w:w="1296"/>
            <w:vAlign w:val="top"/>
          </w:tcPr>
          <w:p>
            <w:pPr>
              <w:spacing w:after="0" w:before="0" w:line="240" w:lineRule="auto"/>
            </w:pPr>
            <w:r>
              <w:rPr>
                <w:rFonts w:ascii="Aptos" w:hAnsi="Aptos"/>
                <w:b w:val="0"/>
                <w:sz w:val="13"/>
              </w:rPr>
              <w:t>Request or retained prefix</w:t>
            </w:r>
          </w:p>
        </w:tc>
        <w:tc>
          <w:tcPr>
            <w:tcW w:type="dxa" w:w="1080"/>
            <w:vAlign w:val="top"/>
          </w:tcPr>
          <w:p>
            <w:pPr>
              <w:spacing w:after="0" w:before="0" w:line="240" w:lineRule="auto"/>
            </w:pPr>
            <w:r>
              <w:rPr>
                <w:rFonts w:ascii="Aptos" w:hAnsi="Aptos"/>
                <w:b w:val="0"/>
                <w:sz w:val="13"/>
              </w:rPr>
              <w:t>G; G -&gt; S/R per kernel</w:t>
            </w:r>
          </w:p>
        </w:tc>
      </w:tr>
      <w:tr>
        <w:tc>
          <w:tcPr>
            <w:tcW w:type="dxa" w:w="1944"/>
            <w:vAlign w:val="top"/>
          </w:tcPr>
          <w:p>
            <w:pPr>
              <w:spacing w:after="0" w:before="0" w:line="240" w:lineRule="auto"/>
            </w:pPr>
            <w:r>
              <w:rPr>
                <w:rFonts w:ascii="Aptos" w:hAnsi="Aptos"/>
                <w:b w:val="0"/>
                <w:sz w:val="13"/>
              </w:rPr>
              <w:t>KV block table / cache metadata</w:t>
            </w:r>
          </w:p>
        </w:tc>
        <w:tc>
          <w:tcPr>
            <w:tcW w:type="dxa" w:w="1584"/>
            <w:vAlign w:val="top"/>
          </w:tcPr>
          <w:p>
            <w:pPr>
              <w:spacing w:after="0" w:before="0" w:line="240" w:lineRule="auto"/>
            </w:pPr>
            <w:r>
              <w:rPr>
                <w:rFonts w:ascii="Aptos" w:hAnsi="Aptos"/>
                <w:b w:val="0"/>
                <w:sz w:val="13"/>
              </w:rPr>
              <w:t>KV manager</w:t>
            </w:r>
          </w:p>
        </w:tc>
        <w:tc>
          <w:tcPr>
            <w:tcW w:type="dxa" w:w="1728"/>
            <w:vAlign w:val="top"/>
          </w:tcPr>
          <w:p>
            <w:pPr>
              <w:spacing w:after="0" w:before="0" w:line="240" w:lineRule="auto"/>
            </w:pPr>
            <w:r>
              <w:rPr>
                <w:rFonts w:ascii="Aptos" w:hAnsi="Aptos"/>
                <w:b w:val="0"/>
                <w:sz w:val="13"/>
              </w:rPr>
              <w:t>Scheduler and attention kernel</w:t>
            </w:r>
          </w:p>
        </w:tc>
        <w:tc>
          <w:tcPr>
            <w:tcW w:type="dxa" w:w="2088"/>
            <w:vAlign w:val="top"/>
          </w:tcPr>
          <w:p>
            <w:pPr>
              <w:spacing w:after="0" w:before="0" w:line="240" w:lineRule="auto"/>
            </w:pPr>
            <w:r>
              <w:rPr>
                <w:rFonts w:ascii="Aptos" w:hAnsi="Aptos"/>
                <w:b w:val="0"/>
                <w:sz w:val="13"/>
              </w:rPr>
              <w:t>Allocator serialization; request state update</w:t>
            </w:r>
          </w:p>
        </w:tc>
        <w:tc>
          <w:tcPr>
            <w:tcW w:type="dxa" w:w="1296"/>
            <w:vAlign w:val="top"/>
          </w:tcPr>
          <w:p>
            <w:pPr>
              <w:spacing w:after="0" w:before="0" w:line="240" w:lineRule="auto"/>
            </w:pPr>
            <w:r>
              <w:rPr>
                <w:rFonts w:ascii="Aptos" w:hAnsi="Aptos"/>
                <w:b w:val="0"/>
                <w:sz w:val="13"/>
              </w:rPr>
              <w:t>Request/prefix entry</w:t>
            </w:r>
          </w:p>
        </w:tc>
        <w:tc>
          <w:tcPr>
            <w:tcW w:type="dxa" w:w="1080"/>
            <w:vAlign w:val="top"/>
          </w:tcPr>
          <w:p>
            <w:pPr>
              <w:spacing w:after="0" w:before="0" w:line="240" w:lineRule="auto"/>
            </w:pPr>
            <w:r>
              <w:rPr>
                <w:rFonts w:ascii="Aptos" w:hAnsi="Aptos"/>
                <w:b w:val="0"/>
                <w:sz w:val="13"/>
              </w:rPr>
              <w:t>C/G</w:t>
            </w:r>
          </w:p>
        </w:tc>
      </w:tr>
      <w:tr>
        <w:tc>
          <w:tcPr>
            <w:tcW w:type="dxa" w:w="1944"/>
            <w:vAlign w:val="top"/>
          </w:tcPr>
          <w:p>
            <w:pPr>
              <w:spacing w:after="0" w:before="0" w:line="240" w:lineRule="auto"/>
            </w:pPr>
            <w:r>
              <w:rPr>
                <w:rFonts w:ascii="Aptos" w:hAnsi="Aptos"/>
                <w:b w:val="0"/>
                <w:sz w:val="13"/>
              </w:rPr>
              <w:t>Prefix cache entry</w:t>
            </w:r>
          </w:p>
        </w:tc>
        <w:tc>
          <w:tcPr>
            <w:tcW w:type="dxa" w:w="1584"/>
            <w:vAlign w:val="top"/>
          </w:tcPr>
          <w:p>
            <w:pPr>
              <w:spacing w:after="0" w:before="0" w:line="240" w:lineRule="auto"/>
            </w:pPr>
            <w:r>
              <w:rPr>
                <w:rFonts w:ascii="Aptos" w:hAnsi="Aptos"/>
                <w:b w:val="0"/>
                <w:sz w:val="13"/>
              </w:rPr>
              <w:t>Runtime cache manager</w:t>
            </w:r>
          </w:p>
        </w:tc>
        <w:tc>
          <w:tcPr>
            <w:tcW w:type="dxa" w:w="1728"/>
            <w:vAlign w:val="top"/>
          </w:tcPr>
          <w:p>
            <w:pPr>
              <w:spacing w:after="0" w:before="0" w:line="240" w:lineRule="auto"/>
            </w:pPr>
            <w:r>
              <w:rPr>
                <w:rFonts w:ascii="Aptos" w:hAnsi="Aptos"/>
                <w:b w:val="0"/>
                <w:sz w:val="13"/>
              </w:rPr>
              <w:t>Future matching rollout/inference requests</w:t>
            </w:r>
          </w:p>
        </w:tc>
        <w:tc>
          <w:tcPr>
            <w:tcW w:type="dxa" w:w="2088"/>
            <w:vAlign w:val="top"/>
          </w:tcPr>
          <w:p>
            <w:pPr>
              <w:spacing w:after="0" w:before="0" w:line="240" w:lineRule="auto"/>
            </w:pPr>
            <w:r>
              <w:rPr>
                <w:rFonts w:ascii="Aptos" w:hAnsi="Aptos"/>
                <w:b w:val="0"/>
                <w:sz w:val="13"/>
              </w:rPr>
              <w:t>Reference count, key validation, cache eviction protocol</w:t>
            </w:r>
          </w:p>
        </w:tc>
        <w:tc>
          <w:tcPr>
            <w:tcW w:type="dxa" w:w="1296"/>
            <w:vAlign w:val="top"/>
          </w:tcPr>
          <w:p>
            <w:pPr>
              <w:spacing w:after="0" w:before="0" w:line="240" w:lineRule="auto"/>
            </w:pPr>
            <w:r>
              <w:rPr>
                <w:rFonts w:ascii="Aptos" w:hAnsi="Aptos"/>
                <w:b w:val="0"/>
                <w:sz w:val="13"/>
              </w:rPr>
              <w:t>Across requests until eviction</w:t>
            </w:r>
          </w:p>
        </w:tc>
        <w:tc>
          <w:tcPr>
            <w:tcW w:type="dxa" w:w="1080"/>
            <w:vAlign w:val="top"/>
          </w:tcPr>
          <w:p>
            <w:pPr>
              <w:spacing w:after="0" w:before="0" w:line="240" w:lineRule="auto"/>
            </w:pPr>
            <w:r>
              <w:rPr>
                <w:rFonts w:ascii="Aptos" w:hAnsi="Aptos"/>
                <w:b w:val="0"/>
                <w:sz w:val="13"/>
              </w:rPr>
              <w:t>G; C/F metadata</w:t>
            </w:r>
          </w:p>
        </w:tc>
      </w:tr>
    </w:tbl>
    <w:p>
      <w:pPr>
        <w:pStyle w:val="Heading3"/>
      </w:pPr>
      <w:r>
        <w:t>9.3.3 Reference, Reward, Verifier, and RL Objective Entities</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944"/>
            <w:shd w:fill="D9EAF7"/>
            <w:vAlign w:val="top"/>
          </w:tcPr>
          <w:p>
            <w:pPr>
              <w:spacing w:after="0" w:before="0" w:line="240" w:lineRule="auto"/>
            </w:pPr>
            <w:r>
              <w:rPr>
                <w:rFonts w:ascii="Aptos" w:hAnsi="Aptos"/>
                <w:b/>
                <w:sz w:val="13"/>
              </w:rPr>
              <w:t>Tensor / data entity</w:t>
            </w:r>
          </w:p>
        </w:tc>
        <w:tc>
          <w:tcPr>
            <w:tcW w:type="dxa" w:w="1584"/>
            <w:shd w:fill="D9EAF7"/>
            <w:vAlign w:val="top"/>
          </w:tcPr>
          <w:p>
            <w:pPr>
              <w:spacing w:after="0" w:before="0" w:line="240" w:lineRule="auto"/>
            </w:pPr>
            <w:r>
              <w:rPr>
                <w:rFonts w:ascii="Aptos" w:hAnsi="Aptos"/>
                <w:b/>
                <w:sz w:val="13"/>
              </w:rPr>
              <w:t>Creator</w:t>
            </w:r>
          </w:p>
        </w:tc>
        <w:tc>
          <w:tcPr>
            <w:tcW w:type="dxa" w:w="1728"/>
            <w:shd w:fill="D9EAF7"/>
            <w:vAlign w:val="top"/>
          </w:tcPr>
          <w:p>
            <w:pPr>
              <w:spacing w:after="0" w:before="0" w:line="240" w:lineRule="auto"/>
            </w:pPr>
            <w:r>
              <w:rPr>
                <w:rFonts w:ascii="Aptos" w:hAnsi="Aptos"/>
                <w:b/>
                <w:sz w:val="13"/>
              </w:rPr>
              <w:t>Consumer</w:t>
            </w:r>
          </w:p>
        </w:tc>
        <w:tc>
          <w:tcPr>
            <w:tcW w:type="dxa" w:w="2088"/>
            <w:shd w:fill="D9EAF7"/>
            <w:vAlign w:val="top"/>
          </w:tcPr>
          <w:p>
            <w:pPr>
              <w:spacing w:after="0" w:before="0" w:line="240" w:lineRule="auto"/>
            </w:pPr>
            <w:r>
              <w:rPr>
                <w:rFonts w:ascii="Aptos" w:hAnsi="Aptos"/>
                <w:b/>
                <w:sz w:val="13"/>
              </w:rPr>
              <w:t>Synchronization</w:t>
            </w:r>
          </w:p>
        </w:tc>
        <w:tc>
          <w:tcPr>
            <w:tcW w:type="dxa" w:w="1296"/>
            <w:shd w:fill="D9EAF7"/>
            <w:vAlign w:val="top"/>
          </w:tcPr>
          <w:p>
            <w:pPr>
              <w:spacing w:after="0" w:before="0" w:line="240" w:lineRule="auto"/>
            </w:pPr>
            <w:r>
              <w:rPr>
                <w:rFonts w:ascii="Aptos" w:hAnsi="Aptos"/>
                <w:b/>
                <w:sz w:val="13"/>
              </w:rPr>
              <w:t>Lifetime</w:t>
            </w:r>
          </w:p>
        </w:tc>
        <w:tc>
          <w:tcPr>
            <w:tcW w:type="dxa" w:w="1080"/>
            <w:shd w:fill="D9EAF7"/>
            <w:vAlign w:val="top"/>
          </w:tcPr>
          <w:p>
            <w:pPr>
              <w:spacing w:after="0" w:before="0" w:line="240" w:lineRule="auto"/>
            </w:pPr>
            <w:r>
              <w:rPr>
                <w:rFonts w:ascii="Aptos" w:hAnsi="Aptos"/>
                <w:b/>
                <w:sz w:val="13"/>
              </w:rPr>
              <w:t>Memory path</w:t>
            </w:r>
          </w:p>
        </w:tc>
      </w:tr>
      <w:tr>
        <w:tc>
          <w:tcPr>
            <w:tcW w:type="dxa" w:w="1944"/>
            <w:vAlign w:val="top"/>
          </w:tcPr>
          <w:p>
            <w:pPr>
              <w:spacing w:after="0" w:before="0" w:line="240" w:lineRule="auto"/>
            </w:pPr>
            <w:r>
              <w:rPr>
                <w:rFonts w:ascii="Aptos" w:hAnsi="Aptos"/>
                <w:b w:val="0"/>
                <w:sz w:val="13"/>
              </w:rPr>
              <w:t>Reference model weight shards</w:t>
            </w:r>
          </w:p>
        </w:tc>
        <w:tc>
          <w:tcPr>
            <w:tcW w:type="dxa" w:w="1584"/>
            <w:vAlign w:val="top"/>
          </w:tcPr>
          <w:p>
            <w:pPr>
              <w:spacing w:after="0" w:before="0" w:line="240" w:lineRule="auto"/>
            </w:pPr>
            <w:r>
              <w:rPr>
                <w:rFonts w:ascii="Aptos" w:hAnsi="Aptos"/>
                <w:b w:val="0"/>
                <w:sz w:val="13"/>
              </w:rPr>
              <w:t>Checkpoint loader</w:t>
            </w:r>
          </w:p>
        </w:tc>
        <w:tc>
          <w:tcPr>
            <w:tcW w:type="dxa" w:w="1728"/>
            <w:vAlign w:val="top"/>
          </w:tcPr>
          <w:p>
            <w:pPr>
              <w:spacing w:after="0" w:before="0" w:line="240" w:lineRule="auto"/>
            </w:pPr>
            <w:r>
              <w:rPr>
                <w:rFonts w:ascii="Aptos" w:hAnsi="Aptos"/>
                <w:b w:val="0"/>
                <w:sz w:val="13"/>
              </w:rPr>
              <w:t>Reference-policy forward</w:t>
            </w:r>
          </w:p>
        </w:tc>
        <w:tc>
          <w:tcPr>
            <w:tcW w:type="dxa" w:w="2088"/>
            <w:vAlign w:val="top"/>
          </w:tcPr>
          <w:p>
            <w:pPr>
              <w:spacing w:after="0" w:before="0" w:line="240" w:lineRule="auto"/>
            </w:pPr>
            <w:r>
              <w:rPr>
                <w:rFonts w:ascii="Aptos" w:hAnsi="Aptos"/>
                <w:b w:val="0"/>
                <w:sz w:val="13"/>
              </w:rPr>
              <w:t>Frozen load/broadcast and sharded ownership</w:t>
            </w:r>
          </w:p>
        </w:tc>
        <w:tc>
          <w:tcPr>
            <w:tcW w:type="dxa" w:w="1296"/>
            <w:vAlign w:val="top"/>
          </w:tcPr>
          <w:p>
            <w:pPr>
              <w:spacing w:after="0" w:before="0" w:line="240" w:lineRule="auto"/>
            </w:pPr>
            <w:r>
              <w:rPr>
                <w:rFonts w:ascii="Aptos" w:hAnsi="Aptos"/>
                <w:b w:val="0"/>
                <w:sz w:val="13"/>
              </w:rPr>
              <w:t>Job</w:t>
            </w:r>
          </w:p>
        </w:tc>
        <w:tc>
          <w:tcPr>
            <w:tcW w:type="dxa" w:w="1080"/>
            <w:vAlign w:val="top"/>
          </w:tcPr>
          <w:p>
            <w:pPr>
              <w:spacing w:after="0" w:before="0" w:line="240" w:lineRule="auto"/>
            </w:pPr>
            <w:r>
              <w:rPr>
                <w:rFonts w:ascii="Aptos" w:hAnsi="Aptos"/>
                <w:b w:val="0"/>
                <w:sz w:val="13"/>
              </w:rPr>
              <w:t>F -&gt; C -&gt; G</w:t>
            </w:r>
          </w:p>
        </w:tc>
      </w:tr>
      <w:tr>
        <w:tc>
          <w:tcPr>
            <w:tcW w:type="dxa" w:w="1944"/>
            <w:vAlign w:val="top"/>
          </w:tcPr>
          <w:p>
            <w:pPr>
              <w:spacing w:after="0" w:before="0" w:line="240" w:lineRule="auto"/>
            </w:pPr>
            <w:r>
              <w:rPr>
                <w:rFonts w:ascii="Aptos" w:hAnsi="Aptos"/>
                <w:b w:val="0"/>
                <w:sz w:val="13"/>
              </w:rPr>
              <w:t>Reference logits</w:t>
            </w:r>
          </w:p>
        </w:tc>
        <w:tc>
          <w:tcPr>
            <w:tcW w:type="dxa" w:w="1584"/>
            <w:vAlign w:val="top"/>
          </w:tcPr>
          <w:p>
            <w:pPr>
              <w:spacing w:after="0" w:before="0" w:line="240" w:lineRule="auto"/>
            </w:pPr>
            <w:r>
              <w:rPr>
                <w:rFonts w:ascii="Aptos" w:hAnsi="Aptos"/>
                <w:b w:val="0"/>
                <w:sz w:val="13"/>
              </w:rPr>
              <w:t>Reference model forward</w:t>
            </w:r>
          </w:p>
        </w:tc>
        <w:tc>
          <w:tcPr>
            <w:tcW w:type="dxa" w:w="1728"/>
            <w:vAlign w:val="top"/>
          </w:tcPr>
          <w:p>
            <w:pPr>
              <w:spacing w:after="0" w:before="0" w:line="240" w:lineRule="auto"/>
            </w:pPr>
            <w:r>
              <w:rPr>
                <w:rFonts w:ascii="Aptos" w:hAnsi="Aptos"/>
                <w:b w:val="0"/>
                <w:sz w:val="13"/>
              </w:rPr>
              <w:t>Reference logprob computation</w:t>
            </w:r>
          </w:p>
        </w:tc>
        <w:tc>
          <w:tcPr>
            <w:tcW w:type="dxa" w:w="2088"/>
            <w:vAlign w:val="top"/>
          </w:tcPr>
          <w:p>
            <w:pPr>
              <w:spacing w:after="0" w:before="0" w:line="240" w:lineRule="auto"/>
            </w:pPr>
            <w:r>
              <w:rPr>
                <w:rFonts w:ascii="Aptos" w:hAnsi="Aptos"/>
                <w:b w:val="0"/>
                <w:sz w:val="13"/>
              </w:rPr>
              <w:t>Vocab-parallel collective as needed</w:t>
            </w:r>
          </w:p>
        </w:tc>
        <w:tc>
          <w:tcPr>
            <w:tcW w:type="dxa" w:w="1296"/>
            <w:vAlign w:val="top"/>
          </w:tcPr>
          <w:p>
            <w:pPr>
              <w:spacing w:after="0" w:before="0" w:line="240" w:lineRule="auto"/>
            </w:pPr>
            <w:r>
              <w:rPr>
                <w:rFonts w:ascii="Aptos" w:hAnsi="Aptos"/>
                <w:b w:val="0"/>
                <w:sz w:val="13"/>
              </w:rPr>
              <w:t>Minibatch</w:t>
            </w:r>
          </w:p>
        </w:tc>
        <w:tc>
          <w:tcPr>
            <w:tcW w:type="dxa" w:w="1080"/>
            <w:vAlign w:val="top"/>
          </w:tcPr>
          <w:p>
            <w:pPr>
              <w:spacing w:after="0" w:before="0" w:line="240" w:lineRule="auto"/>
            </w:pPr>
            <w:r>
              <w:rPr>
                <w:rFonts w:ascii="Aptos" w:hAnsi="Aptos"/>
                <w:b w:val="0"/>
                <w:sz w:val="13"/>
              </w:rPr>
              <w:t>G/S/R; optional N</w:t>
            </w:r>
          </w:p>
        </w:tc>
      </w:tr>
      <w:tr>
        <w:tc>
          <w:tcPr>
            <w:tcW w:type="dxa" w:w="1944"/>
            <w:vAlign w:val="top"/>
          </w:tcPr>
          <w:p>
            <w:pPr>
              <w:spacing w:after="0" w:before="0" w:line="240" w:lineRule="auto"/>
            </w:pPr>
            <w:r>
              <w:rPr>
                <w:rFonts w:ascii="Aptos" w:hAnsi="Aptos"/>
                <w:b w:val="0"/>
                <w:sz w:val="13"/>
              </w:rPr>
              <w:t>Reference logprobs</w:t>
            </w:r>
          </w:p>
        </w:tc>
        <w:tc>
          <w:tcPr>
            <w:tcW w:type="dxa" w:w="1584"/>
            <w:vAlign w:val="top"/>
          </w:tcPr>
          <w:p>
            <w:pPr>
              <w:spacing w:after="0" w:before="0" w:line="240" w:lineRule="auto"/>
            </w:pPr>
            <w:r>
              <w:rPr>
                <w:rFonts w:ascii="Aptos" w:hAnsi="Aptos"/>
                <w:b w:val="0"/>
                <w:sz w:val="13"/>
              </w:rPr>
              <w:t>Reference logprob kernel</w:t>
            </w:r>
          </w:p>
        </w:tc>
        <w:tc>
          <w:tcPr>
            <w:tcW w:type="dxa" w:w="1728"/>
            <w:vAlign w:val="top"/>
          </w:tcPr>
          <w:p>
            <w:pPr>
              <w:spacing w:after="0" w:before="0" w:line="240" w:lineRule="auto"/>
            </w:pPr>
            <w:r>
              <w:rPr>
                <w:rFonts w:ascii="Aptos" w:hAnsi="Aptos"/>
                <w:b w:val="0"/>
                <w:sz w:val="13"/>
              </w:rPr>
              <w:t>KL and policy objective</w:t>
            </w:r>
          </w:p>
        </w:tc>
        <w:tc>
          <w:tcPr>
            <w:tcW w:type="dxa" w:w="2088"/>
            <w:vAlign w:val="top"/>
          </w:tcPr>
          <w:p>
            <w:pPr>
              <w:spacing w:after="0" w:before="0" w:line="240" w:lineRule="auto"/>
            </w:pPr>
            <w:r>
              <w:rPr>
                <w:rFonts w:ascii="Aptos" w:hAnsi="Aptos"/>
                <w:b w:val="0"/>
                <w:sz w:val="13"/>
              </w:rPr>
              <w:t>Token/batch alignment with actor trajectory</w:t>
            </w:r>
          </w:p>
        </w:tc>
        <w:tc>
          <w:tcPr>
            <w:tcW w:type="dxa" w:w="1296"/>
            <w:vAlign w:val="top"/>
          </w:tcPr>
          <w:p>
            <w:pPr>
              <w:spacing w:after="0" w:before="0" w:line="240" w:lineRule="auto"/>
            </w:pPr>
            <w:r>
              <w:rPr>
                <w:rFonts w:ascii="Aptos" w:hAnsi="Aptos"/>
                <w:b w:val="0"/>
                <w:sz w:val="13"/>
              </w:rPr>
              <w:t>RL step/update epochs</w:t>
            </w:r>
          </w:p>
        </w:tc>
        <w:tc>
          <w:tcPr>
            <w:tcW w:type="dxa" w:w="1080"/>
            <w:vAlign w:val="top"/>
          </w:tcPr>
          <w:p>
            <w:pPr>
              <w:spacing w:after="0" w:before="0" w:line="240" w:lineRule="auto"/>
            </w:pPr>
            <w:r>
              <w:rPr>
                <w:rFonts w:ascii="Aptos" w:hAnsi="Aptos"/>
                <w:b w:val="0"/>
                <w:sz w:val="13"/>
              </w:rPr>
              <w:t>G; optional C/F</w:t>
            </w:r>
          </w:p>
        </w:tc>
      </w:tr>
      <w:tr>
        <w:tc>
          <w:tcPr>
            <w:tcW w:type="dxa" w:w="1944"/>
            <w:vAlign w:val="top"/>
          </w:tcPr>
          <w:p>
            <w:pPr>
              <w:spacing w:after="0" w:before="0" w:line="240" w:lineRule="auto"/>
            </w:pPr>
            <w:r>
              <w:rPr>
                <w:rFonts w:ascii="Aptos" w:hAnsi="Aptos"/>
                <w:b w:val="0"/>
                <w:sz w:val="13"/>
              </w:rPr>
              <w:t>Reward model weight shards</w:t>
            </w:r>
          </w:p>
        </w:tc>
        <w:tc>
          <w:tcPr>
            <w:tcW w:type="dxa" w:w="1584"/>
            <w:vAlign w:val="top"/>
          </w:tcPr>
          <w:p>
            <w:pPr>
              <w:spacing w:after="0" w:before="0" w:line="240" w:lineRule="auto"/>
            </w:pPr>
            <w:r>
              <w:rPr>
                <w:rFonts w:ascii="Aptos" w:hAnsi="Aptos"/>
                <w:b w:val="0"/>
                <w:sz w:val="13"/>
              </w:rPr>
              <w:t>Checkpoint loader</w:t>
            </w:r>
          </w:p>
        </w:tc>
        <w:tc>
          <w:tcPr>
            <w:tcW w:type="dxa" w:w="1728"/>
            <w:vAlign w:val="top"/>
          </w:tcPr>
          <w:p>
            <w:pPr>
              <w:spacing w:after="0" w:before="0" w:line="240" w:lineRule="auto"/>
            </w:pPr>
            <w:r>
              <w:rPr>
                <w:rFonts w:ascii="Aptos" w:hAnsi="Aptos"/>
                <w:b w:val="0"/>
                <w:sz w:val="13"/>
              </w:rPr>
              <w:t>Reward forward</w:t>
            </w:r>
          </w:p>
        </w:tc>
        <w:tc>
          <w:tcPr>
            <w:tcW w:type="dxa" w:w="2088"/>
            <w:vAlign w:val="top"/>
          </w:tcPr>
          <w:p>
            <w:pPr>
              <w:spacing w:after="0" w:before="0" w:line="240" w:lineRule="auto"/>
            </w:pPr>
            <w:r>
              <w:rPr>
                <w:rFonts w:ascii="Aptos" w:hAnsi="Aptos"/>
                <w:b w:val="0"/>
                <w:sz w:val="13"/>
              </w:rPr>
              <w:t>Frozen load/broadcast; TP/PP ownership</w:t>
            </w:r>
          </w:p>
        </w:tc>
        <w:tc>
          <w:tcPr>
            <w:tcW w:type="dxa" w:w="1296"/>
            <w:vAlign w:val="top"/>
          </w:tcPr>
          <w:p>
            <w:pPr>
              <w:spacing w:after="0" w:before="0" w:line="240" w:lineRule="auto"/>
            </w:pPr>
            <w:r>
              <w:rPr>
                <w:rFonts w:ascii="Aptos" w:hAnsi="Aptos"/>
                <w:b w:val="0"/>
                <w:sz w:val="13"/>
              </w:rPr>
              <w:t>Job</w:t>
            </w:r>
          </w:p>
        </w:tc>
        <w:tc>
          <w:tcPr>
            <w:tcW w:type="dxa" w:w="1080"/>
            <w:vAlign w:val="top"/>
          </w:tcPr>
          <w:p>
            <w:pPr>
              <w:spacing w:after="0" w:before="0" w:line="240" w:lineRule="auto"/>
            </w:pPr>
            <w:r>
              <w:rPr>
                <w:rFonts w:ascii="Aptos" w:hAnsi="Aptos"/>
                <w:b w:val="0"/>
                <w:sz w:val="13"/>
              </w:rPr>
              <w:t>F -&gt; C -&gt; G</w:t>
            </w:r>
          </w:p>
        </w:tc>
      </w:tr>
      <w:tr>
        <w:tc>
          <w:tcPr>
            <w:tcW w:type="dxa" w:w="1944"/>
            <w:vAlign w:val="top"/>
          </w:tcPr>
          <w:p>
            <w:pPr>
              <w:spacing w:after="0" w:before="0" w:line="240" w:lineRule="auto"/>
            </w:pPr>
            <w:r>
              <w:rPr>
                <w:rFonts w:ascii="Aptos" w:hAnsi="Aptos"/>
                <w:b w:val="0"/>
                <w:sz w:val="13"/>
              </w:rPr>
              <w:t>Reward model activations</w:t>
            </w:r>
          </w:p>
        </w:tc>
        <w:tc>
          <w:tcPr>
            <w:tcW w:type="dxa" w:w="1584"/>
            <w:vAlign w:val="top"/>
          </w:tcPr>
          <w:p>
            <w:pPr>
              <w:spacing w:after="0" w:before="0" w:line="240" w:lineRule="auto"/>
            </w:pPr>
            <w:r>
              <w:rPr>
                <w:rFonts w:ascii="Aptos" w:hAnsi="Aptos"/>
                <w:b w:val="0"/>
                <w:sz w:val="13"/>
              </w:rPr>
              <w:t>Reward forward</w:t>
            </w:r>
          </w:p>
        </w:tc>
        <w:tc>
          <w:tcPr>
            <w:tcW w:type="dxa" w:w="1728"/>
            <w:vAlign w:val="top"/>
          </w:tcPr>
          <w:p>
            <w:pPr>
              <w:spacing w:after="0" w:before="0" w:line="240" w:lineRule="auto"/>
            </w:pPr>
            <w:r>
              <w:rPr>
                <w:rFonts w:ascii="Aptos" w:hAnsi="Aptos"/>
                <w:b w:val="0"/>
                <w:sz w:val="13"/>
              </w:rPr>
              <w:t>Reward head and optional backward for RM training</w:t>
            </w:r>
          </w:p>
        </w:tc>
        <w:tc>
          <w:tcPr>
            <w:tcW w:type="dxa" w:w="2088"/>
            <w:vAlign w:val="top"/>
          </w:tcPr>
          <w:p>
            <w:pPr>
              <w:spacing w:after="0" w:before="0" w:line="240" w:lineRule="auto"/>
            </w:pPr>
            <w:r>
              <w:rPr>
                <w:rFonts w:ascii="Aptos" w:hAnsi="Aptos"/>
                <w:b w:val="0"/>
                <w:sz w:val="13"/>
              </w:rPr>
              <w:t>Kernel/stream dependency; PP communication if used</w:t>
            </w:r>
          </w:p>
        </w:tc>
        <w:tc>
          <w:tcPr>
            <w:tcW w:type="dxa" w:w="1296"/>
            <w:vAlign w:val="top"/>
          </w:tcPr>
          <w:p>
            <w:pPr>
              <w:spacing w:after="0" w:before="0" w:line="240" w:lineRule="auto"/>
            </w:pPr>
            <w:r>
              <w:rPr>
                <w:rFonts w:ascii="Aptos" w:hAnsi="Aptos"/>
                <w:b w:val="0"/>
                <w:sz w:val="13"/>
              </w:rPr>
              <w:t>Reward batch</w:t>
            </w:r>
          </w:p>
        </w:tc>
        <w:tc>
          <w:tcPr>
            <w:tcW w:type="dxa" w:w="1080"/>
            <w:vAlign w:val="top"/>
          </w:tcPr>
          <w:p>
            <w:pPr>
              <w:spacing w:after="0" w:before="0" w:line="240" w:lineRule="auto"/>
            </w:pPr>
            <w:r>
              <w:rPr>
                <w:rFonts w:ascii="Aptos" w:hAnsi="Aptos"/>
                <w:b w:val="0"/>
                <w:sz w:val="13"/>
              </w:rPr>
              <w:t>G/S/R</w:t>
            </w:r>
          </w:p>
        </w:tc>
      </w:tr>
      <w:tr>
        <w:tc>
          <w:tcPr>
            <w:tcW w:type="dxa" w:w="1944"/>
            <w:vAlign w:val="top"/>
          </w:tcPr>
          <w:p>
            <w:pPr>
              <w:spacing w:after="0" w:before="0" w:line="240" w:lineRule="auto"/>
            </w:pPr>
            <w:r>
              <w:rPr>
                <w:rFonts w:ascii="Aptos" w:hAnsi="Aptos"/>
                <w:b w:val="0"/>
                <w:sz w:val="13"/>
              </w:rPr>
              <w:t>Reward scalar / score vector</w:t>
            </w:r>
          </w:p>
        </w:tc>
        <w:tc>
          <w:tcPr>
            <w:tcW w:type="dxa" w:w="1584"/>
            <w:vAlign w:val="top"/>
          </w:tcPr>
          <w:p>
            <w:pPr>
              <w:spacing w:after="0" w:before="0" w:line="240" w:lineRule="auto"/>
            </w:pPr>
            <w:r>
              <w:rPr>
                <w:rFonts w:ascii="Aptos" w:hAnsi="Aptos"/>
                <w:b w:val="0"/>
                <w:sz w:val="13"/>
              </w:rPr>
              <w:t>Reward head or reward combiner</w:t>
            </w:r>
          </w:p>
        </w:tc>
        <w:tc>
          <w:tcPr>
            <w:tcW w:type="dxa" w:w="1728"/>
            <w:vAlign w:val="top"/>
          </w:tcPr>
          <w:p>
            <w:pPr>
              <w:spacing w:after="0" w:before="0" w:line="240" w:lineRule="auto"/>
            </w:pPr>
            <w:r>
              <w:rPr>
                <w:rFonts w:ascii="Aptos" w:hAnsi="Aptos"/>
                <w:b w:val="0"/>
                <w:sz w:val="13"/>
              </w:rPr>
              <w:t>Advantage estimator and trainer</w:t>
            </w:r>
          </w:p>
        </w:tc>
        <w:tc>
          <w:tcPr>
            <w:tcW w:type="dxa" w:w="2088"/>
            <w:vAlign w:val="top"/>
          </w:tcPr>
          <w:p>
            <w:pPr>
              <w:spacing w:after="0" w:before="0" w:line="240" w:lineRule="auto"/>
            </w:pPr>
            <w:r>
              <w:rPr>
                <w:rFonts w:ascii="Aptos" w:hAnsi="Aptos"/>
                <w:b w:val="0"/>
                <w:sz w:val="13"/>
              </w:rPr>
              <w:t>Batch gather/reduction; audit association</w:t>
            </w:r>
          </w:p>
        </w:tc>
        <w:tc>
          <w:tcPr>
            <w:tcW w:type="dxa" w:w="1296"/>
            <w:vAlign w:val="top"/>
          </w:tcPr>
          <w:p>
            <w:pPr>
              <w:spacing w:after="0" w:before="0" w:line="240" w:lineRule="auto"/>
            </w:pPr>
            <w:r>
              <w:rPr>
                <w:rFonts w:ascii="Aptos" w:hAnsi="Aptos"/>
                <w:b w:val="0"/>
                <w:sz w:val="13"/>
              </w:rPr>
              <w:t>RL step and audit policy</w:t>
            </w:r>
          </w:p>
        </w:tc>
        <w:tc>
          <w:tcPr>
            <w:tcW w:type="dxa" w:w="1080"/>
            <w:vAlign w:val="top"/>
          </w:tcPr>
          <w:p>
            <w:pPr>
              <w:spacing w:after="0" w:before="0" w:line="240" w:lineRule="auto"/>
            </w:pPr>
            <w:r>
              <w:rPr>
                <w:rFonts w:ascii="Aptos" w:hAnsi="Aptos"/>
                <w:b w:val="0"/>
                <w:sz w:val="13"/>
              </w:rPr>
              <w:t>G -&gt; C/F</w:t>
            </w:r>
          </w:p>
        </w:tc>
      </w:tr>
      <w:tr>
        <w:tc>
          <w:tcPr>
            <w:tcW w:type="dxa" w:w="1944"/>
            <w:vAlign w:val="top"/>
          </w:tcPr>
          <w:p>
            <w:pPr>
              <w:spacing w:after="0" w:before="0" w:line="240" w:lineRule="auto"/>
            </w:pPr>
            <w:r>
              <w:rPr>
                <w:rFonts w:ascii="Aptos" w:hAnsi="Aptos"/>
                <w:b w:val="0"/>
                <w:sz w:val="13"/>
              </w:rPr>
              <w:t>Verifier outputs</w:t>
            </w:r>
          </w:p>
        </w:tc>
        <w:tc>
          <w:tcPr>
            <w:tcW w:type="dxa" w:w="1584"/>
            <w:vAlign w:val="top"/>
          </w:tcPr>
          <w:p>
            <w:pPr>
              <w:spacing w:after="0" w:before="0" w:line="240" w:lineRule="auto"/>
            </w:pPr>
            <w:r>
              <w:rPr>
                <w:rFonts w:ascii="Aptos" w:hAnsi="Aptos"/>
                <w:b w:val="0"/>
                <w:sz w:val="13"/>
              </w:rPr>
              <w:t>Tests, rule engine, compiler, human or external checker</w:t>
            </w:r>
          </w:p>
        </w:tc>
        <w:tc>
          <w:tcPr>
            <w:tcW w:type="dxa" w:w="1728"/>
            <w:vAlign w:val="top"/>
          </w:tcPr>
          <w:p>
            <w:pPr>
              <w:spacing w:after="0" w:before="0" w:line="240" w:lineRule="auto"/>
            </w:pPr>
            <w:r>
              <w:rPr>
                <w:rFonts w:ascii="Aptos" w:hAnsi="Aptos"/>
                <w:b w:val="0"/>
                <w:sz w:val="13"/>
              </w:rPr>
              <w:t>Reward combiner and filtering</w:t>
            </w:r>
          </w:p>
        </w:tc>
        <w:tc>
          <w:tcPr>
            <w:tcW w:type="dxa" w:w="2088"/>
            <w:vAlign w:val="top"/>
          </w:tcPr>
          <w:p>
            <w:pPr>
              <w:spacing w:after="0" w:before="0" w:line="240" w:lineRule="auto"/>
            </w:pPr>
            <w:r>
              <w:rPr>
                <w:rFonts w:ascii="Aptos" w:hAnsi="Aptos"/>
                <w:b w:val="0"/>
                <w:sz w:val="13"/>
              </w:rPr>
              <w:t>CPU/GPU queue completion and trace linkage</w:t>
            </w:r>
          </w:p>
        </w:tc>
        <w:tc>
          <w:tcPr>
            <w:tcW w:type="dxa" w:w="1296"/>
            <w:vAlign w:val="top"/>
          </w:tcPr>
          <w:p>
            <w:pPr>
              <w:spacing w:after="0" w:before="0" w:line="240" w:lineRule="auto"/>
            </w:pPr>
            <w:r>
              <w:rPr>
                <w:rFonts w:ascii="Aptos" w:hAnsi="Aptos"/>
                <w:b w:val="0"/>
                <w:sz w:val="13"/>
              </w:rPr>
              <w:t>Audit/retention policy</w:t>
            </w:r>
          </w:p>
        </w:tc>
        <w:tc>
          <w:tcPr>
            <w:tcW w:type="dxa" w:w="1080"/>
            <w:vAlign w:val="top"/>
          </w:tcPr>
          <w:p>
            <w:pPr>
              <w:spacing w:after="0" w:before="0" w:line="240" w:lineRule="auto"/>
            </w:pPr>
            <w:r>
              <w:rPr>
                <w:rFonts w:ascii="Aptos" w:hAnsi="Aptos"/>
                <w:b w:val="0"/>
                <w:sz w:val="13"/>
              </w:rPr>
              <w:t>C/F; optional G</w:t>
            </w:r>
          </w:p>
        </w:tc>
      </w:tr>
      <w:tr>
        <w:tc>
          <w:tcPr>
            <w:tcW w:type="dxa" w:w="1944"/>
            <w:vAlign w:val="top"/>
          </w:tcPr>
          <w:p>
            <w:pPr>
              <w:spacing w:after="0" w:before="0" w:line="240" w:lineRule="auto"/>
            </w:pPr>
            <w:r>
              <w:rPr>
                <w:rFonts w:ascii="Aptos" w:hAnsi="Aptos"/>
                <w:b w:val="0"/>
                <w:sz w:val="13"/>
              </w:rPr>
              <w:t>KL tensor</w:t>
            </w:r>
          </w:p>
        </w:tc>
        <w:tc>
          <w:tcPr>
            <w:tcW w:type="dxa" w:w="1584"/>
            <w:vAlign w:val="top"/>
          </w:tcPr>
          <w:p>
            <w:pPr>
              <w:spacing w:after="0" w:before="0" w:line="240" w:lineRule="auto"/>
            </w:pPr>
            <w:r>
              <w:rPr>
                <w:rFonts w:ascii="Aptos" w:hAnsi="Aptos"/>
                <w:b w:val="0"/>
                <w:sz w:val="13"/>
              </w:rPr>
              <w:t>Actor/reference logprob comparison</w:t>
            </w:r>
          </w:p>
        </w:tc>
        <w:tc>
          <w:tcPr>
            <w:tcW w:type="dxa" w:w="1728"/>
            <w:vAlign w:val="top"/>
          </w:tcPr>
          <w:p>
            <w:pPr>
              <w:spacing w:after="0" w:before="0" w:line="240" w:lineRule="auto"/>
            </w:pPr>
            <w:r>
              <w:rPr>
                <w:rFonts w:ascii="Aptos" w:hAnsi="Aptos"/>
                <w:b w:val="0"/>
                <w:sz w:val="13"/>
              </w:rPr>
              <w:t>PPO/GRPO objective and diagnostics</w:t>
            </w:r>
          </w:p>
        </w:tc>
        <w:tc>
          <w:tcPr>
            <w:tcW w:type="dxa" w:w="2088"/>
            <w:vAlign w:val="top"/>
          </w:tcPr>
          <w:p>
            <w:pPr>
              <w:spacing w:after="0" w:before="0" w:line="240" w:lineRule="auto"/>
            </w:pPr>
            <w:r>
              <w:rPr>
                <w:rFonts w:ascii="Aptos" w:hAnsi="Aptos"/>
                <w:b w:val="0"/>
                <w:sz w:val="13"/>
              </w:rPr>
              <w:t>Actor/reference token and version alignment</w:t>
            </w:r>
          </w:p>
        </w:tc>
        <w:tc>
          <w:tcPr>
            <w:tcW w:type="dxa" w:w="1296"/>
            <w:vAlign w:val="top"/>
          </w:tcPr>
          <w:p>
            <w:pPr>
              <w:spacing w:after="0" w:before="0" w:line="240" w:lineRule="auto"/>
            </w:pPr>
            <w:r>
              <w:rPr>
                <w:rFonts w:ascii="Aptos" w:hAnsi="Aptos"/>
                <w:b w:val="0"/>
                <w:sz w:val="13"/>
              </w:rPr>
              <w:t>Update minibatch</w:t>
            </w:r>
          </w:p>
        </w:tc>
        <w:tc>
          <w:tcPr>
            <w:tcW w:type="dxa" w:w="1080"/>
            <w:vAlign w:val="top"/>
          </w:tcPr>
          <w:p>
            <w:pPr>
              <w:spacing w:after="0" w:before="0" w:line="240" w:lineRule="auto"/>
            </w:pPr>
            <w:r>
              <w:rPr>
                <w:rFonts w:ascii="Aptos" w:hAnsi="Aptos"/>
                <w:b w:val="0"/>
                <w:sz w:val="13"/>
              </w:rPr>
              <w:t>G/R</w:t>
            </w:r>
          </w:p>
        </w:tc>
      </w:tr>
      <w:tr>
        <w:tc>
          <w:tcPr>
            <w:tcW w:type="dxa" w:w="1944"/>
            <w:vAlign w:val="top"/>
          </w:tcPr>
          <w:p>
            <w:pPr>
              <w:spacing w:after="0" w:before="0" w:line="240" w:lineRule="auto"/>
            </w:pPr>
            <w:r>
              <w:rPr>
                <w:rFonts w:ascii="Aptos" w:hAnsi="Aptos"/>
                <w:b w:val="0"/>
                <w:sz w:val="13"/>
              </w:rPr>
              <w:t>Entropy tensor</w:t>
            </w:r>
          </w:p>
        </w:tc>
        <w:tc>
          <w:tcPr>
            <w:tcW w:type="dxa" w:w="1584"/>
            <w:vAlign w:val="top"/>
          </w:tcPr>
          <w:p>
            <w:pPr>
              <w:spacing w:after="0" w:before="0" w:line="240" w:lineRule="auto"/>
            </w:pPr>
            <w:r>
              <w:rPr>
                <w:rFonts w:ascii="Aptos" w:hAnsi="Aptos"/>
                <w:b w:val="0"/>
                <w:sz w:val="13"/>
              </w:rPr>
              <w:t>Actor logits/logprobs</w:t>
            </w:r>
          </w:p>
        </w:tc>
        <w:tc>
          <w:tcPr>
            <w:tcW w:type="dxa" w:w="1728"/>
            <w:vAlign w:val="top"/>
          </w:tcPr>
          <w:p>
            <w:pPr>
              <w:spacing w:after="0" w:before="0" w:line="240" w:lineRule="auto"/>
            </w:pPr>
            <w:r>
              <w:rPr>
                <w:rFonts w:ascii="Aptos" w:hAnsi="Aptos"/>
                <w:b w:val="0"/>
                <w:sz w:val="13"/>
              </w:rPr>
              <w:t>Entropy bonus and monitoring</w:t>
            </w:r>
          </w:p>
        </w:tc>
        <w:tc>
          <w:tcPr>
            <w:tcW w:type="dxa" w:w="2088"/>
            <w:vAlign w:val="top"/>
          </w:tcPr>
          <w:p>
            <w:pPr>
              <w:spacing w:after="0" w:before="0" w:line="240" w:lineRule="auto"/>
            </w:pPr>
            <w:r>
              <w:rPr>
                <w:rFonts w:ascii="Aptos" w:hAnsi="Aptos"/>
                <w:b w:val="0"/>
                <w:sz w:val="13"/>
              </w:rPr>
              <w:t>Token reduction and DP reduction if global</w:t>
            </w:r>
          </w:p>
        </w:tc>
        <w:tc>
          <w:tcPr>
            <w:tcW w:type="dxa" w:w="1296"/>
            <w:vAlign w:val="top"/>
          </w:tcPr>
          <w:p>
            <w:pPr>
              <w:spacing w:after="0" w:before="0" w:line="240" w:lineRule="auto"/>
            </w:pPr>
            <w:r>
              <w:rPr>
                <w:rFonts w:ascii="Aptos" w:hAnsi="Aptos"/>
                <w:b w:val="0"/>
                <w:sz w:val="13"/>
              </w:rPr>
              <w:t>Update minibatch</w:t>
            </w:r>
          </w:p>
        </w:tc>
        <w:tc>
          <w:tcPr>
            <w:tcW w:type="dxa" w:w="1080"/>
            <w:vAlign w:val="top"/>
          </w:tcPr>
          <w:p>
            <w:pPr>
              <w:spacing w:after="0" w:before="0" w:line="240" w:lineRule="auto"/>
            </w:pPr>
            <w:r>
              <w:rPr>
                <w:rFonts w:ascii="Aptos" w:hAnsi="Aptos"/>
                <w:b w:val="0"/>
                <w:sz w:val="13"/>
              </w:rPr>
              <w:t>G/R</w:t>
            </w:r>
          </w:p>
        </w:tc>
      </w:tr>
      <w:tr>
        <w:tc>
          <w:tcPr>
            <w:tcW w:type="dxa" w:w="1944"/>
            <w:vAlign w:val="top"/>
          </w:tcPr>
          <w:p>
            <w:pPr>
              <w:spacing w:after="0" w:before="0" w:line="240" w:lineRule="auto"/>
            </w:pPr>
            <w:r>
              <w:rPr>
                <w:rFonts w:ascii="Aptos" w:hAnsi="Aptos"/>
                <w:b w:val="0"/>
                <w:sz w:val="13"/>
              </w:rPr>
              <w:t>Advantages / returns</w:t>
            </w:r>
          </w:p>
        </w:tc>
        <w:tc>
          <w:tcPr>
            <w:tcW w:type="dxa" w:w="1584"/>
            <w:vAlign w:val="top"/>
          </w:tcPr>
          <w:p>
            <w:pPr>
              <w:spacing w:after="0" w:before="0" w:line="240" w:lineRule="auto"/>
            </w:pPr>
            <w:r>
              <w:rPr>
                <w:rFonts w:ascii="Aptos" w:hAnsi="Aptos"/>
                <w:b w:val="0"/>
                <w:sz w:val="13"/>
              </w:rPr>
              <w:t>Advantage estimator</w:t>
            </w:r>
          </w:p>
        </w:tc>
        <w:tc>
          <w:tcPr>
            <w:tcW w:type="dxa" w:w="1728"/>
            <w:vAlign w:val="top"/>
          </w:tcPr>
          <w:p>
            <w:pPr>
              <w:spacing w:after="0" w:before="0" w:line="240" w:lineRule="auto"/>
            </w:pPr>
            <w:r>
              <w:rPr>
                <w:rFonts w:ascii="Aptos" w:hAnsi="Aptos"/>
                <w:b w:val="0"/>
                <w:sz w:val="13"/>
              </w:rPr>
              <w:t>Policy loss</w:t>
            </w:r>
          </w:p>
        </w:tc>
        <w:tc>
          <w:tcPr>
            <w:tcW w:type="dxa" w:w="2088"/>
            <w:vAlign w:val="top"/>
          </w:tcPr>
          <w:p>
            <w:pPr>
              <w:spacing w:after="0" w:before="0" w:line="240" w:lineRule="auto"/>
            </w:pPr>
            <w:r>
              <w:rPr>
                <w:rFonts w:ascii="Aptos" w:hAnsi="Aptos"/>
                <w:b w:val="0"/>
                <w:sz w:val="13"/>
              </w:rPr>
              <w:t>Global normalization or DP reduction when configured</w:t>
            </w:r>
          </w:p>
        </w:tc>
        <w:tc>
          <w:tcPr>
            <w:tcW w:type="dxa" w:w="1296"/>
            <w:vAlign w:val="top"/>
          </w:tcPr>
          <w:p>
            <w:pPr>
              <w:spacing w:after="0" w:before="0" w:line="240" w:lineRule="auto"/>
            </w:pPr>
            <w:r>
              <w:rPr>
                <w:rFonts w:ascii="Aptos" w:hAnsi="Aptos"/>
                <w:b w:val="0"/>
                <w:sz w:val="13"/>
              </w:rPr>
              <w:t>Rollout batch and update epochs</w:t>
            </w:r>
          </w:p>
        </w:tc>
        <w:tc>
          <w:tcPr>
            <w:tcW w:type="dxa" w:w="1080"/>
            <w:vAlign w:val="top"/>
          </w:tcPr>
          <w:p>
            <w:pPr>
              <w:spacing w:after="0" w:before="0" w:line="240" w:lineRule="auto"/>
            </w:pPr>
            <w:r>
              <w:rPr>
                <w:rFonts w:ascii="Aptos" w:hAnsi="Aptos"/>
                <w:b w:val="0"/>
                <w:sz w:val="13"/>
              </w:rPr>
              <w:t>C/G</w:t>
            </w:r>
          </w:p>
        </w:tc>
      </w:tr>
      <w:tr>
        <w:tc>
          <w:tcPr>
            <w:tcW w:type="dxa" w:w="1944"/>
            <w:vAlign w:val="top"/>
          </w:tcPr>
          <w:p>
            <w:pPr>
              <w:spacing w:after="0" w:before="0" w:line="240" w:lineRule="auto"/>
            </w:pPr>
            <w:r>
              <w:rPr>
                <w:rFonts w:ascii="Aptos" w:hAnsi="Aptos"/>
                <w:b w:val="0"/>
                <w:sz w:val="13"/>
              </w:rPr>
              <w:t>Loss masks</w:t>
            </w:r>
          </w:p>
        </w:tc>
        <w:tc>
          <w:tcPr>
            <w:tcW w:type="dxa" w:w="1584"/>
            <w:vAlign w:val="top"/>
          </w:tcPr>
          <w:p>
            <w:pPr>
              <w:spacing w:after="0" w:before="0" w:line="240" w:lineRule="auto"/>
            </w:pPr>
            <w:r>
              <w:rPr>
                <w:rFonts w:ascii="Aptos" w:hAnsi="Aptos"/>
                <w:b w:val="0"/>
                <w:sz w:val="13"/>
              </w:rPr>
              <w:t>Collator/rollout processor</w:t>
            </w:r>
          </w:p>
        </w:tc>
        <w:tc>
          <w:tcPr>
            <w:tcW w:type="dxa" w:w="1728"/>
            <w:vAlign w:val="top"/>
          </w:tcPr>
          <w:p>
            <w:pPr>
              <w:spacing w:after="0" w:before="0" w:line="240" w:lineRule="auto"/>
            </w:pPr>
            <w:r>
              <w:rPr>
                <w:rFonts w:ascii="Aptos" w:hAnsi="Aptos"/>
                <w:b w:val="0"/>
                <w:sz w:val="13"/>
              </w:rPr>
              <w:t>RL or supervised loss</w:t>
            </w:r>
          </w:p>
        </w:tc>
        <w:tc>
          <w:tcPr>
            <w:tcW w:type="dxa" w:w="2088"/>
            <w:vAlign w:val="top"/>
          </w:tcPr>
          <w:p>
            <w:pPr>
              <w:spacing w:after="0" w:before="0" w:line="240" w:lineRule="auto"/>
            </w:pPr>
            <w:r>
              <w:rPr>
                <w:rFonts w:ascii="Aptos" w:hAnsi="Aptos"/>
                <w:b w:val="0"/>
                <w:sz w:val="13"/>
              </w:rPr>
              <w:t>Moves with token batch; shape alignment</w:t>
            </w:r>
          </w:p>
        </w:tc>
        <w:tc>
          <w:tcPr>
            <w:tcW w:type="dxa" w:w="1296"/>
            <w:vAlign w:val="top"/>
          </w:tcPr>
          <w:p>
            <w:pPr>
              <w:spacing w:after="0" w:before="0" w:line="240" w:lineRule="auto"/>
            </w:pPr>
            <w:r>
              <w:rPr>
                <w:rFonts w:ascii="Aptos" w:hAnsi="Aptos"/>
                <w:b w:val="0"/>
                <w:sz w:val="13"/>
              </w:rPr>
              <w:t>Minibatch</w:t>
            </w:r>
          </w:p>
        </w:tc>
        <w:tc>
          <w:tcPr>
            <w:tcW w:type="dxa" w:w="1080"/>
            <w:vAlign w:val="top"/>
          </w:tcPr>
          <w:p>
            <w:pPr>
              <w:spacing w:after="0" w:before="0" w:line="240" w:lineRule="auto"/>
            </w:pPr>
            <w:r>
              <w:rPr>
                <w:rFonts w:ascii="Aptos" w:hAnsi="Aptos"/>
                <w:b w:val="0"/>
                <w:sz w:val="13"/>
              </w:rPr>
              <w:t>C -&gt; G</w:t>
            </w:r>
          </w:p>
        </w:tc>
      </w:tr>
      <w:tr>
        <w:tc>
          <w:tcPr>
            <w:tcW w:type="dxa" w:w="1944"/>
            <w:vAlign w:val="top"/>
          </w:tcPr>
          <w:p>
            <w:pPr>
              <w:spacing w:after="0" w:before="0" w:line="240" w:lineRule="auto"/>
            </w:pPr>
            <w:r>
              <w:rPr>
                <w:rFonts w:ascii="Aptos" w:hAnsi="Aptos"/>
                <w:b w:val="0"/>
                <w:sz w:val="13"/>
              </w:rPr>
              <w:t>PPO/GRPO ratio and clipped objective</w:t>
            </w:r>
          </w:p>
        </w:tc>
        <w:tc>
          <w:tcPr>
            <w:tcW w:type="dxa" w:w="1584"/>
            <w:vAlign w:val="top"/>
          </w:tcPr>
          <w:p>
            <w:pPr>
              <w:spacing w:after="0" w:before="0" w:line="240" w:lineRule="auto"/>
            </w:pPr>
            <w:r>
              <w:rPr>
                <w:rFonts w:ascii="Aptos" w:hAnsi="Aptos"/>
                <w:b w:val="0"/>
                <w:sz w:val="13"/>
              </w:rPr>
              <w:t>RL loss kernel</w:t>
            </w:r>
          </w:p>
        </w:tc>
        <w:tc>
          <w:tcPr>
            <w:tcW w:type="dxa" w:w="1728"/>
            <w:vAlign w:val="top"/>
          </w:tcPr>
          <w:p>
            <w:pPr>
              <w:spacing w:after="0" w:before="0" w:line="240" w:lineRule="auto"/>
            </w:pPr>
            <w:r>
              <w:rPr>
                <w:rFonts w:ascii="Aptos" w:hAnsi="Aptos"/>
                <w:b w:val="0"/>
                <w:sz w:val="13"/>
              </w:rPr>
              <w:t>Loss reduction and backward</w:t>
            </w:r>
          </w:p>
        </w:tc>
        <w:tc>
          <w:tcPr>
            <w:tcW w:type="dxa" w:w="2088"/>
            <w:vAlign w:val="top"/>
          </w:tcPr>
          <w:p>
            <w:pPr>
              <w:spacing w:after="0" w:before="0" w:line="240" w:lineRule="auto"/>
            </w:pPr>
            <w:r>
              <w:rPr>
                <w:rFonts w:ascii="Aptos" w:hAnsi="Aptos"/>
                <w:b w:val="0"/>
                <w:sz w:val="13"/>
              </w:rPr>
              <w:t>Old/new policy version and token alignment</w:t>
            </w:r>
          </w:p>
        </w:tc>
        <w:tc>
          <w:tcPr>
            <w:tcW w:type="dxa" w:w="1296"/>
            <w:vAlign w:val="top"/>
          </w:tcPr>
          <w:p>
            <w:pPr>
              <w:spacing w:after="0" w:before="0" w:line="240" w:lineRule="auto"/>
            </w:pPr>
            <w:r>
              <w:rPr>
                <w:rFonts w:ascii="Aptos" w:hAnsi="Aptos"/>
                <w:b w:val="0"/>
                <w:sz w:val="13"/>
              </w:rPr>
              <w:t>Minibatch</w:t>
            </w:r>
          </w:p>
        </w:tc>
        <w:tc>
          <w:tcPr>
            <w:tcW w:type="dxa" w:w="1080"/>
            <w:vAlign w:val="top"/>
          </w:tcPr>
          <w:p>
            <w:pPr>
              <w:spacing w:after="0" w:before="0" w:line="240" w:lineRule="auto"/>
            </w:pPr>
            <w:r>
              <w:rPr>
                <w:rFonts w:ascii="Aptos" w:hAnsi="Aptos"/>
                <w:b w:val="0"/>
                <w:sz w:val="13"/>
              </w:rPr>
              <w:t>G/R</w:t>
            </w:r>
          </w:p>
        </w:tc>
      </w:tr>
      <w:tr>
        <w:tc>
          <w:tcPr>
            <w:tcW w:type="dxa" w:w="1944"/>
            <w:vAlign w:val="top"/>
          </w:tcPr>
          <w:p>
            <w:pPr>
              <w:spacing w:after="0" w:before="0" w:line="240" w:lineRule="auto"/>
            </w:pPr>
            <w:r>
              <w:rPr>
                <w:rFonts w:ascii="Aptos" w:hAnsi="Aptos"/>
                <w:b w:val="0"/>
                <w:sz w:val="13"/>
              </w:rPr>
              <w:t>Final loss scalar</w:t>
            </w:r>
          </w:p>
        </w:tc>
        <w:tc>
          <w:tcPr>
            <w:tcW w:type="dxa" w:w="1584"/>
            <w:vAlign w:val="top"/>
          </w:tcPr>
          <w:p>
            <w:pPr>
              <w:spacing w:after="0" w:before="0" w:line="240" w:lineRule="auto"/>
            </w:pPr>
            <w:r>
              <w:rPr>
                <w:rFonts w:ascii="Aptos" w:hAnsi="Aptos"/>
                <w:b w:val="0"/>
                <w:sz w:val="13"/>
              </w:rPr>
              <w:t>RL objective</w:t>
            </w:r>
          </w:p>
        </w:tc>
        <w:tc>
          <w:tcPr>
            <w:tcW w:type="dxa" w:w="1728"/>
            <w:vAlign w:val="top"/>
          </w:tcPr>
          <w:p>
            <w:pPr>
              <w:spacing w:after="0" w:before="0" w:line="240" w:lineRule="auto"/>
            </w:pPr>
            <w:r>
              <w:rPr>
                <w:rFonts w:ascii="Aptos" w:hAnsi="Aptos"/>
                <w:b w:val="0"/>
                <w:sz w:val="13"/>
              </w:rPr>
              <w:t>Backward launcher and logger</w:t>
            </w:r>
          </w:p>
        </w:tc>
        <w:tc>
          <w:tcPr>
            <w:tcW w:type="dxa" w:w="2088"/>
            <w:vAlign w:val="top"/>
          </w:tcPr>
          <w:p>
            <w:pPr>
              <w:spacing w:after="0" w:before="0" w:line="240" w:lineRule="auto"/>
            </w:pPr>
            <w:r>
              <w:rPr>
                <w:rFonts w:ascii="Aptos" w:hAnsi="Aptos"/>
                <w:b w:val="0"/>
                <w:sz w:val="13"/>
              </w:rPr>
              <w:t>DP all-reduce or weighted reduction</w:t>
            </w:r>
          </w:p>
        </w:tc>
        <w:tc>
          <w:tcPr>
            <w:tcW w:type="dxa" w:w="1296"/>
            <w:vAlign w:val="top"/>
          </w:tcPr>
          <w:p>
            <w:pPr>
              <w:spacing w:after="0" w:before="0" w:line="240" w:lineRule="auto"/>
            </w:pPr>
            <w:r>
              <w:rPr>
                <w:rFonts w:ascii="Aptos" w:hAnsi="Aptos"/>
                <w:b w:val="0"/>
                <w:sz w:val="13"/>
              </w:rPr>
              <w:t>Minibatch</w:t>
            </w:r>
          </w:p>
        </w:tc>
        <w:tc>
          <w:tcPr>
            <w:tcW w:type="dxa" w:w="1080"/>
            <w:vAlign w:val="top"/>
          </w:tcPr>
          <w:p>
            <w:pPr>
              <w:spacing w:after="0" w:before="0" w:line="240" w:lineRule="auto"/>
            </w:pPr>
            <w:r>
              <w:rPr>
                <w:rFonts w:ascii="Aptos" w:hAnsi="Aptos"/>
                <w:b w:val="0"/>
                <w:sz w:val="13"/>
              </w:rPr>
              <w:t>G -&gt; C</w:t>
            </w:r>
          </w:p>
        </w:tc>
      </w:tr>
    </w:tbl>
    <w:p>
      <w:pPr>
        <w:pStyle w:val="Heading3"/>
      </w:pPr>
      <w:r>
        <w:t>9.3.4 Backward, Optimizer, Weight Synchronization, and Checkpoint Entities</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944"/>
            <w:shd w:fill="D9EAF7"/>
            <w:vAlign w:val="top"/>
          </w:tcPr>
          <w:p>
            <w:pPr>
              <w:spacing w:after="0" w:before="0" w:line="240" w:lineRule="auto"/>
            </w:pPr>
            <w:r>
              <w:rPr>
                <w:rFonts w:ascii="Aptos" w:hAnsi="Aptos"/>
                <w:b/>
                <w:sz w:val="13"/>
              </w:rPr>
              <w:t>Tensor / data entity</w:t>
            </w:r>
          </w:p>
        </w:tc>
        <w:tc>
          <w:tcPr>
            <w:tcW w:type="dxa" w:w="1584"/>
            <w:shd w:fill="D9EAF7"/>
            <w:vAlign w:val="top"/>
          </w:tcPr>
          <w:p>
            <w:pPr>
              <w:spacing w:after="0" w:before="0" w:line="240" w:lineRule="auto"/>
            </w:pPr>
            <w:r>
              <w:rPr>
                <w:rFonts w:ascii="Aptos" w:hAnsi="Aptos"/>
                <w:b/>
                <w:sz w:val="13"/>
              </w:rPr>
              <w:t>Creator</w:t>
            </w:r>
          </w:p>
        </w:tc>
        <w:tc>
          <w:tcPr>
            <w:tcW w:type="dxa" w:w="1728"/>
            <w:shd w:fill="D9EAF7"/>
            <w:vAlign w:val="top"/>
          </w:tcPr>
          <w:p>
            <w:pPr>
              <w:spacing w:after="0" w:before="0" w:line="240" w:lineRule="auto"/>
            </w:pPr>
            <w:r>
              <w:rPr>
                <w:rFonts w:ascii="Aptos" w:hAnsi="Aptos"/>
                <w:b/>
                <w:sz w:val="13"/>
              </w:rPr>
              <w:t>Consumer</w:t>
            </w:r>
          </w:p>
        </w:tc>
        <w:tc>
          <w:tcPr>
            <w:tcW w:type="dxa" w:w="2088"/>
            <w:shd w:fill="D9EAF7"/>
            <w:vAlign w:val="top"/>
          </w:tcPr>
          <w:p>
            <w:pPr>
              <w:spacing w:after="0" w:before="0" w:line="240" w:lineRule="auto"/>
            </w:pPr>
            <w:r>
              <w:rPr>
                <w:rFonts w:ascii="Aptos" w:hAnsi="Aptos"/>
                <w:b/>
                <w:sz w:val="13"/>
              </w:rPr>
              <w:t>Synchronization</w:t>
            </w:r>
          </w:p>
        </w:tc>
        <w:tc>
          <w:tcPr>
            <w:tcW w:type="dxa" w:w="1296"/>
            <w:shd w:fill="D9EAF7"/>
            <w:vAlign w:val="top"/>
          </w:tcPr>
          <w:p>
            <w:pPr>
              <w:spacing w:after="0" w:before="0" w:line="240" w:lineRule="auto"/>
            </w:pPr>
            <w:r>
              <w:rPr>
                <w:rFonts w:ascii="Aptos" w:hAnsi="Aptos"/>
                <w:b/>
                <w:sz w:val="13"/>
              </w:rPr>
              <w:t>Lifetime</w:t>
            </w:r>
          </w:p>
        </w:tc>
        <w:tc>
          <w:tcPr>
            <w:tcW w:type="dxa" w:w="1080"/>
            <w:shd w:fill="D9EAF7"/>
            <w:vAlign w:val="top"/>
          </w:tcPr>
          <w:p>
            <w:pPr>
              <w:spacing w:after="0" w:before="0" w:line="240" w:lineRule="auto"/>
            </w:pPr>
            <w:r>
              <w:rPr>
                <w:rFonts w:ascii="Aptos" w:hAnsi="Aptos"/>
                <w:b/>
                <w:sz w:val="13"/>
              </w:rPr>
              <w:t>Memory path</w:t>
            </w:r>
          </w:p>
        </w:tc>
      </w:tr>
      <w:tr>
        <w:tc>
          <w:tcPr>
            <w:tcW w:type="dxa" w:w="1944"/>
            <w:vAlign w:val="top"/>
          </w:tcPr>
          <w:p>
            <w:pPr>
              <w:spacing w:after="0" w:before="0" w:line="240" w:lineRule="auto"/>
            </w:pPr>
            <w:r>
              <w:rPr>
                <w:rFonts w:ascii="Aptos" w:hAnsi="Aptos"/>
                <w:b w:val="0"/>
                <w:sz w:val="13"/>
              </w:rPr>
              <w:t>Saved forward activations</w:t>
            </w:r>
          </w:p>
        </w:tc>
        <w:tc>
          <w:tcPr>
            <w:tcW w:type="dxa" w:w="1584"/>
            <w:vAlign w:val="top"/>
          </w:tcPr>
          <w:p>
            <w:pPr>
              <w:spacing w:after="0" w:before="0" w:line="240" w:lineRule="auto"/>
            </w:pPr>
            <w:r>
              <w:rPr>
                <w:rFonts w:ascii="Aptos" w:hAnsi="Aptos"/>
                <w:b w:val="0"/>
                <w:sz w:val="13"/>
              </w:rPr>
              <w:t>Actor/reward forward</w:t>
            </w:r>
          </w:p>
        </w:tc>
        <w:tc>
          <w:tcPr>
            <w:tcW w:type="dxa" w:w="1728"/>
            <w:vAlign w:val="top"/>
          </w:tcPr>
          <w:p>
            <w:pPr>
              <w:spacing w:after="0" w:before="0" w:line="240" w:lineRule="auto"/>
            </w:pPr>
            <w:r>
              <w:rPr>
                <w:rFonts w:ascii="Aptos" w:hAnsi="Aptos"/>
                <w:b w:val="0"/>
                <w:sz w:val="13"/>
              </w:rPr>
              <w:t>Backward</w:t>
            </w:r>
          </w:p>
        </w:tc>
        <w:tc>
          <w:tcPr>
            <w:tcW w:type="dxa" w:w="2088"/>
            <w:vAlign w:val="top"/>
          </w:tcPr>
          <w:p>
            <w:pPr>
              <w:spacing w:after="0" w:before="0" w:line="240" w:lineRule="auto"/>
            </w:pPr>
            <w:r>
              <w:rPr>
                <w:rFonts w:ascii="Aptos" w:hAnsi="Aptos"/>
                <w:b w:val="0"/>
                <w:sz w:val="13"/>
              </w:rPr>
              <w:t>Pipeline schedule and activation-ready events</w:t>
            </w:r>
          </w:p>
        </w:tc>
        <w:tc>
          <w:tcPr>
            <w:tcW w:type="dxa" w:w="1296"/>
            <w:vAlign w:val="top"/>
          </w:tcPr>
          <w:p>
            <w:pPr>
              <w:spacing w:after="0" w:before="0" w:line="240" w:lineRule="auto"/>
            </w:pPr>
            <w:r>
              <w:rPr>
                <w:rFonts w:ascii="Aptos" w:hAnsi="Aptos"/>
                <w:b w:val="0"/>
                <w:sz w:val="13"/>
              </w:rPr>
              <w:t>Forward until corresponding backward</w:t>
            </w:r>
          </w:p>
        </w:tc>
        <w:tc>
          <w:tcPr>
            <w:tcW w:type="dxa" w:w="1080"/>
            <w:vAlign w:val="top"/>
          </w:tcPr>
          <w:p>
            <w:pPr>
              <w:spacing w:after="0" w:before="0" w:line="240" w:lineRule="auto"/>
            </w:pPr>
            <w:r>
              <w:rPr>
                <w:rFonts w:ascii="Aptos" w:hAnsi="Aptos"/>
                <w:b w:val="0"/>
                <w:sz w:val="13"/>
              </w:rPr>
              <w:t>G</w:t>
            </w:r>
          </w:p>
        </w:tc>
      </w:tr>
      <w:tr>
        <w:tc>
          <w:tcPr>
            <w:tcW w:type="dxa" w:w="1944"/>
            <w:vAlign w:val="top"/>
          </w:tcPr>
          <w:p>
            <w:pPr>
              <w:spacing w:after="0" w:before="0" w:line="240" w:lineRule="auto"/>
            </w:pPr>
            <w:r>
              <w:rPr>
                <w:rFonts w:ascii="Aptos" w:hAnsi="Aptos"/>
                <w:b w:val="0"/>
                <w:sz w:val="13"/>
              </w:rPr>
              <w:t>Recomputed activations</w:t>
            </w:r>
          </w:p>
        </w:tc>
        <w:tc>
          <w:tcPr>
            <w:tcW w:type="dxa" w:w="1584"/>
            <w:vAlign w:val="top"/>
          </w:tcPr>
          <w:p>
            <w:pPr>
              <w:spacing w:after="0" w:before="0" w:line="240" w:lineRule="auto"/>
            </w:pPr>
            <w:r>
              <w:rPr>
                <w:rFonts w:ascii="Aptos" w:hAnsi="Aptos"/>
                <w:b w:val="0"/>
                <w:sz w:val="13"/>
              </w:rPr>
              <w:t>Checkpoint/rematerialization pass</w:t>
            </w:r>
          </w:p>
        </w:tc>
        <w:tc>
          <w:tcPr>
            <w:tcW w:type="dxa" w:w="1728"/>
            <w:vAlign w:val="top"/>
          </w:tcPr>
          <w:p>
            <w:pPr>
              <w:spacing w:after="0" w:before="0" w:line="240" w:lineRule="auto"/>
            </w:pPr>
            <w:r>
              <w:rPr>
                <w:rFonts w:ascii="Aptos" w:hAnsi="Aptos"/>
                <w:b w:val="0"/>
                <w:sz w:val="13"/>
              </w:rPr>
              <w:t>Backward</w:t>
            </w:r>
          </w:p>
        </w:tc>
        <w:tc>
          <w:tcPr>
            <w:tcW w:type="dxa" w:w="2088"/>
            <w:vAlign w:val="top"/>
          </w:tcPr>
          <w:p>
            <w:pPr>
              <w:spacing w:after="0" w:before="0" w:line="240" w:lineRule="auto"/>
            </w:pPr>
            <w:r>
              <w:rPr>
                <w:rFonts w:ascii="Aptos" w:hAnsi="Aptos"/>
                <w:b w:val="0"/>
                <w:sz w:val="13"/>
              </w:rPr>
              <w:t>Deterministic recompute dependency</w:t>
            </w:r>
          </w:p>
        </w:tc>
        <w:tc>
          <w:tcPr>
            <w:tcW w:type="dxa" w:w="1296"/>
            <w:vAlign w:val="top"/>
          </w:tcPr>
          <w:p>
            <w:pPr>
              <w:spacing w:after="0" w:before="0" w:line="240" w:lineRule="auto"/>
            </w:pPr>
            <w:r>
              <w:rPr>
                <w:rFonts w:ascii="Aptos" w:hAnsi="Aptos"/>
                <w:b w:val="0"/>
                <w:sz w:val="13"/>
              </w:rPr>
              <w:t>Backward layer</w:t>
            </w:r>
          </w:p>
        </w:tc>
        <w:tc>
          <w:tcPr>
            <w:tcW w:type="dxa" w:w="1080"/>
            <w:vAlign w:val="top"/>
          </w:tcPr>
          <w:p>
            <w:pPr>
              <w:spacing w:after="0" w:before="0" w:line="240" w:lineRule="auto"/>
            </w:pPr>
            <w:r>
              <w:rPr>
                <w:rFonts w:ascii="Aptos" w:hAnsi="Aptos"/>
                <w:b w:val="0"/>
                <w:sz w:val="13"/>
              </w:rPr>
              <w:t>G -&gt; S/R</w:t>
            </w:r>
          </w:p>
        </w:tc>
      </w:tr>
      <w:tr>
        <w:tc>
          <w:tcPr>
            <w:tcW w:type="dxa" w:w="1944"/>
            <w:vAlign w:val="top"/>
          </w:tcPr>
          <w:p>
            <w:pPr>
              <w:spacing w:after="0" w:before="0" w:line="240" w:lineRule="auto"/>
            </w:pPr>
            <w:r>
              <w:rPr>
                <w:rFonts w:ascii="Aptos" w:hAnsi="Aptos"/>
                <w:b w:val="0"/>
                <w:sz w:val="13"/>
              </w:rPr>
              <w:t>Parameter gradients</w:t>
            </w:r>
          </w:p>
        </w:tc>
        <w:tc>
          <w:tcPr>
            <w:tcW w:type="dxa" w:w="1584"/>
            <w:vAlign w:val="top"/>
          </w:tcPr>
          <w:p>
            <w:pPr>
              <w:spacing w:after="0" w:before="0" w:line="240" w:lineRule="auto"/>
            </w:pPr>
            <w:r>
              <w:rPr>
                <w:rFonts w:ascii="Aptos" w:hAnsi="Aptos"/>
                <w:b w:val="0"/>
                <w:sz w:val="13"/>
              </w:rPr>
              <w:t>Backward kernels</w:t>
            </w:r>
          </w:p>
        </w:tc>
        <w:tc>
          <w:tcPr>
            <w:tcW w:type="dxa" w:w="1728"/>
            <w:vAlign w:val="top"/>
          </w:tcPr>
          <w:p>
            <w:pPr>
              <w:spacing w:after="0" w:before="0" w:line="240" w:lineRule="auto"/>
            </w:pPr>
            <w:r>
              <w:rPr>
                <w:rFonts w:ascii="Aptos" w:hAnsi="Aptos"/>
                <w:b w:val="0"/>
                <w:sz w:val="13"/>
              </w:rPr>
              <w:t>Reducer and optimizer</w:t>
            </w:r>
          </w:p>
        </w:tc>
        <w:tc>
          <w:tcPr>
            <w:tcW w:type="dxa" w:w="2088"/>
            <w:vAlign w:val="top"/>
          </w:tcPr>
          <w:p>
            <w:pPr>
              <w:spacing w:after="0" w:before="0" w:line="240" w:lineRule="auto"/>
            </w:pPr>
            <w:r>
              <w:rPr>
                <w:rFonts w:ascii="Aptos" w:hAnsi="Aptos"/>
                <w:b w:val="0"/>
                <w:sz w:val="13"/>
              </w:rPr>
              <w:t>All-reduce or reduce-scatter; overlap with backward</w:t>
            </w:r>
          </w:p>
        </w:tc>
        <w:tc>
          <w:tcPr>
            <w:tcW w:type="dxa" w:w="1296"/>
            <w:vAlign w:val="top"/>
          </w:tcPr>
          <w:p>
            <w:pPr>
              <w:spacing w:after="0" w:before="0" w:line="240" w:lineRule="auto"/>
            </w:pPr>
            <w:r>
              <w:rPr>
                <w:rFonts w:ascii="Aptos" w:hAnsi="Aptos"/>
                <w:b w:val="0"/>
                <w:sz w:val="13"/>
              </w:rPr>
              <w:t>Backward through optimizer step</w:t>
            </w:r>
          </w:p>
        </w:tc>
        <w:tc>
          <w:tcPr>
            <w:tcW w:type="dxa" w:w="1080"/>
            <w:vAlign w:val="top"/>
          </w:tcPr>
          <w:p>
            <w:pPr>
              <w:spacing w:after="0" w:before="0" w:line="240" w:lineRule="auto"/>
            </w:pPr>
            <w:r>
              <w:rPr>
                <w:rFonts w:ascii="Aptos" w:hAnsi="Aptos"/>
                <w:b w:val="0"/>
                <w:sz w:val="13"/>
              </w:rPr>
              <w:t>G &lt;-&gt; N</w:t>
            </w:r>
          </w:p>
        </w:tc>
      </w:tr>
      <w:tr>
        <w:tc>
          <w:tcPr>
            <w:tcW w:type="dxa" w:w="1944"/>
            <w:vAlign w:val="top"/>
          </w:tcPr>
          <w:p>
            <w:pPr>
              <w:spacing w:after="0" w:before="0" w:line="240" w:lineRule="auto"/>
            </w:pPr>
            <w:r>
              <w:rPr>
                <w:rFonts w:ascii="Aptos" w:hAnsi="Aptos"/>
                <w:b w:val="0"/>
                <w:sz w:val="13"/>
              </w:rPr>
              <w:t>Gradient buckets</w:t>
            </w:r>
          </w:p>
        </w:tc>
        <w:tc>
          <w:tcPr>
            <w:tcW w:type="dxa" w:w="1584"/>
            <w:vAlign w:val="top"/>
          </w:tcPr>
          <w:p>
            <w:pPr>
              <w:spacing w:after="0" w:before="0" w:line="240" w:lineRule="auto"/>
            </w:pPr>
            <w:r>
              <w:rPr>
                <w:rFonts w:ascii="Aptos" w:hAnsi="Aptos"/>
                <w:b w:val="0"/>
                <w:sz w:val="13"/>
              </w:rPr>
              <w:t>DDP/FSDP/Megatron reducer</w:t>
            </w:r>
          </w:p>
        </w:tc>
        <w:tc>
          <w:tcPr>
            <w:tcW w:type="dxa" w:w="1728"/>
            <w:vAlign w:val="top"/>
          </w:tcPr>
          <w:p>
            <w:pPr>
              <w:spacing w:after="0" w:before="0" w:line="240" w:lineRule="auto"/>
            </w:pPr>
            <w:r>
              <w:rPr>
                <w:rFonts w:ascii="Aptos" w:hAnsi="Aptos"/>
                <w:b w:val="0"/>
                <w:sz w:val="13"/>
              </w:rPr>
              <w:t>NCCL collectives</w:t>
            </w:r>
          </w:p>
        </w:tc>
        <w:tc>
          <w:tcPr>
            <w:tcW w:type="dxa" w:w="2088"/>
            <w:vAlign w:val="top"/>
          </w:tcPr>
          <w:p>
            <w:pPr>
              <w:spacing w:after="0" w:before="0" w:line="240" w:lineRule="auto"/>
            </w:pPr>
            <w:r>
              <w:rPr>
                <w:rFonts w:ascii="Aptos" w:hAnsi="Aptos"/>
                <w:b w:val="0"/>
                <w:sz w:val="13"/>
              </w:rPr>
              <w:t>Bucket readiness, collective stream, completion event</w:t>
            </w:r>
          </w:p>
        </w:tc>
        <w:tc>
          <w:tcPr>
            <w:tcW w:type="dxa" w:w="1296"/>
            <w:vAlign w:val="top"/>
          </w:tcPr>
          <w:p>
            <w:pPr>
              <w:spacing w:after="0" w:before="0" w:line="240" w:lineRule="auto"/>
            </w:pPr>
            <w:r>
              <w:rPr>
                <w:rFonts w:ascii="Aptos" w:hAnsi="Aptos"/>
                <w:b w:val="0"/>
                <w:sz w:val="13"/>
              </w:rPr>
              <w:t>Backward/step</w:t>
            </w:r>
          </w:p>
        </w:tc>
        <w:tc>
          <w:tcPr>
            <w:tcW w:type="dxa" w:w="1080"/>
            <w:vAlign w:val="top"/>
          </w:tcPr>
          <w:p>
            <w:pPr>
              <w:spacing w:after="0" w:before="0" w:line="240" w:lineRule="auto"/>
            </w:pPr>
            <w:r>
              <w:rPr>
                <w:rFonts w:ascii="Aptos" w:hAnsi="Aptos"/>
                <w:b w:val="0"/>
                <w:sz w:val="13"/>
              </w:rPr>
              <w:t>G &lt;-&gt; N</w:t>
            </w:r>
          </w:p>
        </w:tc>
      </w:tr>
      <w:tr>
        <w:tc>
          <w:tcPr>
            <w:tcW w:type="dxa" w:w="1944"/>
            <w:vAlign w:val="top"/>
          </w:tcPr>
          <w:p>
            <w:pPr>
              <w:spacing w:after="0" w:before="0" w:line="240" w:lineRule="auto"/>
            </w:pPr>
            <w:r>
              <w:rPr>
                <w:rFonts w:ascii="Aptos" w:hAnsi="Aptos"/>
                <w:b w:val="0"/>
                <w:sz w:val="13"/>
              </w:rPr>
              <w:t>Gradient norm and clipping statistics</w:t>
            </w:r>
          </w:p>
        </w:tc>
        <w:tc>
          <w:tcPr>
            <w:tcW w:type="dxa" w:w="1584"/>
            <w:vAlign w:val="top"/>
          </w:tcPr>
          <w:p>
            <w:pPr>
              <w:spacing w:after="0" w:before="0" w:line="240" w:lineRule="auto"/>
            </w:pPr>
            <w:r>
              <w:rPr>
                <w:rFonts w:ascii="Aptos" w:hAnsi="Aptos"/>
                <w:b w:val="0"/>
                <w:sz w:val="13"/>
              </w:rPr>
              <w:t>Optimizer pre-step</w:t>
            </w:r>
          </w:p>
        </w:tc>
        <w:tc>
          <w:tcPr>
            <w:tcW w:type="dxa" w:w="1728"/>
            <w:vAlign w:val="top"/>
          </w:tcPr>
          <w:p>
            <w:pPr>
              <w:spacing w:after="0" w:before="0" w:line="240" w:lineRule="auto"/>
            </w:pPr>
            <w:r>
              <w:rPr>
                <w:rFonts w:ascii="Aptos" w:hAnsi="Aptos"/>
                <w:b w:val="0"/>
                <w:sz w:val="13"/>
              </w:rPr>
              <w:t>Clip kernel and logger</w:t>
            </w:r>
          </w:p>
        </w:tc>
        <w:tc>
          <w:tcPr>
            <w:tcW w:type="dxa" w:w="2088"/>
            <w:vAlign w:val="top"/>
          </w:tcPr>
          <w:p>
            <w:pPr>
              <w:spacing w:after="0" w:before="0" w:line="240" w:lineRule="auto"/>
            </w:pPr>
            <w:r>
              <w:rPr>
                <w:rFonts w:ascii="Aptos" w:hAnsi="Aptos"/>
                <w:b w:val="0"/>
                <w:sz w:val="13"/>
              </w:rPr>
              <w:t>Global all-reduce for norm</w:t>
            </w:r>
          </w:p>
        </w:tc>
        <w:tc>
          <w:tcPr>
            <w:tcW w:type="dxa" w:w="1296"/>
            <w:vAlign w:val="top"/>
          </w:tcPr>
          <w:p>
            <w:pPr>
              <w:spacing w:after="0" w:before="0" w:line="240" w:lineRule="auto"/>
            </w:pPr>
            <w:r>
              <w:rPr>
                <w:rFonts w:ascii="Aptos" w:hAnsi="Aptos"/>
                <w:b w:val="0"/>
                <w:sz w:val="13"/>
              </w:rPr>
              <w:t>Optimizer step</w:t>
            </w:r>
          </w:p>
        </w:tc>
        <w:tc>
          <w:tcPr>
            <w:tcW w:type="dxa" w:w="1080"/>
            <w:vAlign w:val="top"/>
          </w:tcPr>
          <w:p>
            <w:pPr>
              <w:spacing w:after="0" w:before="0" w:line="240" w:lineRule="auto"/>
            </w:pPr>
            <w:r>
              <w:rPr>
                <w:rFonts w:ascii="Aptos" w:hAnsi="Aptos"/>
                <w:b w:val="0"/>
                <w:sz w:val="13"/>
              </w:rPr>
              <w:t>G -&gt; C</w:t>
            </w:r>
          </w:p>
        </w:tc>
      </w:tr>
      <w:tr>
        <w:tc>
          <w:tcPr>
            <w:tcW w:type="dxa" w:w="1944"/>
            <w:vAlign w:val="top"/>
          </w:tcPr>
          <w:p>
            <w:pPr>
              <w:spacing w:after="0" w:before="0" w:line="240" w:lineRule="auto"/>
            </w:pPr>
            <w:r>
              <w:rPr>
                <w:rFonts w:ascii="Aptos" w:hAnsi="Aptos"/>
                <w:b w:val="0"/>
                <w:sz w:val="13"/>
              </w:rPr>
              <w:t>High-precision master parameters</w:t>
            </w:r>
          </w:p>
        </w:tc>
        <w:tc>
          <w:tcPr>
            <w:tcW w:type="dxa" w:w="1584"/>
            <w:vAlign w:val="top"/>
          </w:tcPr>
          <w:p>
            <w:pPr>
              <w:spacing w:after="0" w:before="0" w:line="240" w:lineRule="auto"/>
            </w:pPr>
            <w:r>
              <w:rPr>
                <w:rFonts w:ascii="Aptos" w:hAnsi="Aptos"/>
                <w:b w:val="0"/>
                <w:sz w:val="13"/>
              </w:rPr>
              <w:t>Checkpoint conversion / optimizer init</w:t>
            </w:r>
          </w:p>
        </w:tc>
        <w:tc>
          <w:tcPr>
            <w:tcW w:type="dxa" w:w="1728"/>
            <w:vAlign w:val="top"/>
          </w:tcPr>
          <w:p>
            <w:pPr>
              <w:spacing w:after="0" w:before="0" w:line="240" w:lineRule="auto"/>
            </w:pPr>
            <w:r>
              <w:rPr>
                <w:rFonts w:ascii="Aptos" w:hAnsi="Aptos"/>
                <w:b w:val="0"/>
                <w:sz w:val="13"/>
              </w:rPr>
              <w:t>Optimizer update and checkpoint writer</w:t>
            </w:r>
          </w:p>
        </w:tc>
        <w:tc>
          <w:tcPr>
            <w:tcW w:type="dxa" w:w="2088"/>
            <w:vAlign w:val="top"/>
          </w:tcPr>
          <w:p>
            <w:pPr>
              <w:spacing w:after="0" w:before="0" w:line="240" w:lineRule="auto"/>
            </w:pPr>
            <w:r>
              <w:rPr>
                <w:rFonts w:ascii="Aptos" w:hAnsi="Aptos"/>
                <w:b w:val="0"/>
                <w:sz w:val="13"/>
              </w:rPr>
              <w:t>DP/FSDP sharded ownership; all-gather when materialized</w:t>
            </w:r>
          </w:p>
        </w:tc>
        <w:tc>
          <w:tcPr>
            <w:tcW w:type="dxa" w:w="1296"/>
            <w:vAlign w:val="top"/>
          </w:tcPr>
          <w:p>
            <w:pPr>
              <w:spacing w:after="0" w:before="0" w:line="240" w:lineRule="auto"/>
            </w:pPr>
            <w:r>
              <w:rPr>
                <w:rFonts w:ascii="Aptos" w:hAnsi="Aptos"/>
                <w:b w:val="0"/>
                <w:sz w:val="13"/>
              </w:rPr>
              <w:t>Job</w:t>
            </w:r>
          </w:p>
        </w:tc>
        <w:tc>
          <w:tcPr>
            <w:tcW w:type="dxa" w:w="1080"/>
            <w:vAlign w:val="top"/>
          </w:tcPr>
          <w:p>
            <w:pPr>
              <w:spacing w:after="0" w:before="0" w:line="240" w:lineRule="auto"/>
            </w:pPr>
            <w:r>
              <w:rPr>
                <w:rFonts w:ascii="Aptos" w:hAnsi="Aptos"/>
                <w:b w:val="0"/>
                <w:sz w:val="13"/>
              </w:rPr>
              <w:t>F/C/G; optional N</w:t>
            </w:r>
          </w:p>
        </w:tc>
      </w:tr>
      <w:tr>
        <w:tc>
          <w:tcPr>
            <w:tcW w:type="dxa" w:w="1944"/>
            <w:vAlign w:val="top"/>
          </w:tcPr>
          <w:p>
            <w:pPr>
              <w:spacing w:after="0" w:before="0" w:line="240" w:lineRule="auto"/>
            </w:pPr>
            <w:r>
              <w:rPr>
                <w:rFonts w:ascii="Aptos" w:hAnsi="Aptos"/>
                <w:b w:val="0"/>
                <w:sz w:val="13"/>
              </w:rPr>
              <w:t>Adam first moment (m)</w:t>
            </w:r>
          </w:p>
        </w:tc>
        <w:tc>
          <w:tcPr>
            <w:tcW w:type="dxa" w:w="1584"/>
            <w:vAlign w:val="top"/>
          </w:tcPr>
          <w:p>
            <w:pPr>
              <w:spacing w:after="0" w:before="0" w:line="240" w:lineRule="auto"/>
            </w:pPr>
            <w:r>
              <w:rPr>
                <w:rFonts w:ascii="Aptos" w:hAnsi="Aptos"/>
                <w:b w:val="0"/>
                <w:sz w:val="13"/>
              </w:rPr>
              <w:t>Optimizer init/update</w:t>
            </w:r>
          </w:p>
        </w:tc>
        <w:tc>
          <w:tcPr>
            <w:tcW w:type="dxa" w:w="1728"/>
            <w:vAlign w:val="top"/>
          </w:tcPr>
          <w:p>
            <w:pPr>
              <w:spacing w:after="0" w:before="0" w:line="240" w:lineRule="auto"/>
            </w:pPr>
            <w:r>
              <w:rPr>
                <w:rFonts w:ascii="Aptos" w:hAnsi="Aptos"/>
                <w:b w:val="0"/>
                <w:sz w:val="13"/>
              </w:rPr>
              <w:t>Adam update</w:t>
            </w:r>
          </w:p>
        </w:tc>
        <w:tc>
          <w:tcPr>
            <w:tcW w:type="dxa" w:w="2088"/>
            <w:vAlign w:val="top"/>
          </w:tcPr>
          <w:p>
            <w:pPr>
              <w:spacing w:after="0" w:before="0" w:line="240" w:lineRule="auto"/>
            </w:pPr>
            <w:r>
              <w:rPr>
                <w:rFonts w:ascii="Aptos" w:hAnsi="Aptos"/>
                <w:b w:val="0"/>
                <w:sz w:val="13"/>
              </w:rPr>
              <w:t>Sharded local ownership; checkpoint barrier</w:t>
            </w:r>
          </w:p>
        </w:tc>
        <w:tc>
          <w:tcPr>
            <w:tcW w:type="dxa" w:w="1296"/>
            <w:vAlign w:val="top"/>
          </w:tcPr>
          <w:p>
            <w:pPr>
              <w:spacing w:after="0" w:before="0" w:line="240" w:lineRule="auto"/>
            </w:pPr>
            <w:r>
              <w:rPr>
                <w:rFonts w:ascii="Aptos" w:hAnsi="Aptos"/>
                <w:b w:val="0"/>
                <w:sz w:val="13"/>
              </w:rPr>
              <w:t>Job</w:t>
            </w:r>
          </w:p>
        </w:tc>
        <w:tc>
          <w:tcPr>
            <w:tcW w:type="dxa" w:w="1080"/>
            <w:vAlign w:val="top"/>
          </w:tcPr>
          <w:p>
            <w:pPr>
              <w:spacing w:after="0" w:before="0" w:line="240" w:lineRule="auto"/>
            </w:pPr>
            <w:r>
              <w:rPr>
                <w:rFonts w:ascii="Aptos" w:hAnsi="Aptos"/>
                <w:b w:val="0"/>
                <w:sz w:val="13"/>
              </w:rPr>
              <w:t>F/C/G</w:t>
            </w:r>
          </w:p>
        </w:tc>
      </w:tr>
      <w:tr>
        <w:tc>
          <w:tcPr>
            <w:tcW w:type="dxa" w:w="1944"/>
            <w:vAlign w:val="top"/>
          </w:tcPr>
          <w:p>
            <w:pPr>
              <w:spacing w:after="0" w:before="0" w:line="240" w:lineRule="auto"/>
            </w:pPr>
            <w:r>
              <w:rPr>
                <w:rFonts w:ascii="Aptos" w:hAnsi="Aptos"/>
                <w:b w:val="0"/>
                <w:sz w:val="13"/>
              </w:rPr>
              <w:t>Adam second moment (v)</w:t>
            </w:r>
          </w:p>
        </w:tc>
        <w:tc>
          <w:tcPr>
            <w:tcW w:type="dxa" w:w="1584"/>
            <w:vAlign w:val="top"/>
          </w:tcPr>
          <w:p>
            <w:pPr>
              <w:spacing w:after="0" w:before="0" w:line="240" w:lineRule="auto"/>
            </w:pPr>
            <w:r>
              <w:rPr>
                <w:rFonts w:ascii="Aptos" w:hAnsi="Aptos"/>
                <w:b w:val="0"/>
                <w:sz w:val="13"/>
              </w:rPr>
              <w:t>Optimizer init/update</w:t>
            </w:r>
          </w:p>
        </w:tc>
        <w:tc>
          <w:tcPr>
            <w:tcW w:type="dxa" w:w="1728"/>
            <w:vAlign w:val="top"/>
          </w:tcPr>
          <w:p>
            <w:pPr>
              <w:spacing w:after="0" w:before="0" w:line="240" w:lineRule="auto"/>
            </w:pPr>
            <w:r>
              <w:rPr>
                <w:rFonts w:ascii="Aptos" w:hAnsi="Aptos"/>
                <w:b w:val="0"/>
                <w:sz w:val="13"/>
              </w:rPr>
              <w:t>Adam update</w:t>
            </w:r>
          </w:p>
        </w:tc>
        <w:tc>
          <w:tcPr>
            <w:tcW w:type="dxa" w:w="2088"/>
            <w:vAlign w:val="top"/>
          </w:tcPr>
          <w:p>
            <w:pPr>
              <w:spacing w:after="0" w:before="0" w:line="240" w:lineRule="auto"/>
            </w:pPr>
            <w:r>
              <w:rPr>
                <w:rFonts w:ascii="Aptos" w:hAnsi="Aptos"/>
                <w:b w:val="0"/>
                <w:sz w:val="13"/>
              </w:rPr>
              <w:t>Sharded local ownership; checkpoint barrier</w:t>
            </w:r>
          </w:p>
        </w:tc>
        <w:tc>
          <w:tcPr>
            <w:tcW w:type="dxa" w:w="1296"/>
            <w:vAlign w:val="top"/>
          </w:tcPr>
          <w:p>
            <w:pPr>
              <w:spacing w:after="0" w:before="0" w:line="240" w:lineRule="auto"/>
            </w:pPr>
            <w:r>
              <w:rPr>
                <w:rFonts w:ascii="Aptos" w:hAnsi="Aptos"/>
                <w:b w:val="0"/>
                <w:sz w:val="13"/>
              </w:rPr>
              <w:t>Job</w:t>
            </w:r>
          </w:p>
        </w:tc>
        <w:tc>
          <w:tcPr>
            <w:tcW w:type="dxa" w:w="1080"/>
            <w:vAlign w:val="top"/>
          </w:tcPr>
          <w:p>
            <w:pPr>
              <w:spacing w:after="0" w:before="0" w:line="240" w:lineRule="auto"/>
            </w:pPr>
            <w:r>
              <w:rPr>
                <w:rFonts w:ascii="Aptos" w:hAnsi="Aptos"/>
                <w:b w:val="0"/>
                <w:sz w:val="13"/>
              </w:rPr>
              <w:t>F/C/G</w:t>
            </w:r>
          </w:p>
        </w:tc>
      </w:tr>
      <w:tr>
        <w:tc>
          <w:tcPr>
            <w:tcW w:type="dxa" w:w="1944"/>
            <w:vAlign w:val="top"/>
          </w:tcPr>
          <w:p>
            <w:pPr>
              <w:spacing w:after="0" w:before="0" w:line="240" w:lineRule="auto"/>
            </w:pPr>
            <w:r>
              <w:rPr>
                <w:rFonts w:ascii="Aptos" w:hAnsi="Aptos"/>
                <w:b w:val="0"/>
                <w:sz w:val="13"/>
              </w:rPr>
              <w:t>Updated actor parameter shards</w:t>
            </w:r>
          </w:p>
        </w:tc>
        <w:tc>
          <w:tcPr>
            <w:tcW w:type="dxa" w:w="1584"/>
            <w:vAlign w:val="top"/>
          </w:tcPr>
          <w:p>
            <w:pPr>
              <w:spacing w:after="0" w:before="0" w:line="240" w:lineRule="auto"/>
            </w:pPr>
            <w:r>
              <w:rPr>
                <w:rFonts w:ascii="Aptos" w:hAnsi="Aptos"/>
                <w:b w:val="0"/>
                <w:sz w:val="13"/>
              </w:rPr>
              <w:t>Optimizer update</w:t>
            </w:r>
          </w:p>
        </w:tc>
        <w:tc>
          <w:tcPr>
            <w:tcW w:type="dxa" w:w="1728"/>
            <w:vAlign w:val="top"/>
          </w:tcPr>
          <w:p>
            <w:pPr>
              <w:spacing w:after="0" w:before="0" w:line="240" w:lineRule="auto"/>
            </w:pPr>
            <w:r>
              <w:rPr>
                <w:rFonts w:ascii="Aptos" w:hAnsi="Aptos"/>
                <w:b w:val="0"/>
                <w:sz w:val="13"/>
              </w:rPr>
              <w:t>Trainer and rollout engine</w:t>
            </w:r>
          </w:p>
        </w:tc>
        <w:tc>
          <w:tcPr>
            <w:tcW w:type="dxa" w:w="2088"/>
            <w:vAlign w:val="top"/>
          </w:tcPr>
          <w:p>
            <w:pPr>
              <w:spacing w:after="0" w:before="0" w:line="240" w:lineRule="auto"/>
            </w:pPr>
            <w:r>
              <w:rPr>
                <w:rFonts w:ascii="Aptos" w:hAnsi="Aptos"/>
                <w:b w:val="0"/>
                <w:sz w:val="13"/>
              </w:rPr>
              <w:t>All-gather/broadcast/refit; policy-epoch barrier</w:t>
            </w:r>
          </w:p>
        </w:tc>
        <w:tc>
          <w:tcPr>
            <w:tcW w:type="dxa" w:w="1296"/>
            <w:vAlign w:val="top"/>
          </w:tcPr>
          <w:p>
            <w:pPr>
              <w:spacing w:after="0" w:before="0" w:line="240" w:lineRule="auto"/>
            </w:pPr>
            <w:r>
              <w:rPr>
                <w:rFonts w:ascii="Aptos" w:hAnsi="Aptos"/>
                <w:b w:val="0"/>
                <w:sz w:val="13"/>
              </w:rPr>
              <w:t>RL policy version</w:t>
            </w:r>
          </w:p>
        </w:tc>
        <w:tc>
          <w:tcPr>
            <w:tcW w:type="dxa" w:w="1080"/>
            <w:vAlign w:val="top"/>
          </w:tcPr>
          <w:p>
            <w:pPr>
              <w:spacing w:after="0" w:before="0" w:line="240" w:lineRule="auto"/>
            </w:pPr>
            <w:r>
              <w:rPr>
                <w:rFonts w:ascii="Aptos" w:hAnsi="Aptos"/>
                <w:b w:val="0"/>
                <w:sz w:val="13"/>
              </w:rPr>
              <w:t>G &lt;-&gt; N; optional C staging</w:t>
            </w:r>
          </w:p>
        </w:tc>
      </w:tr>
      <w:tr>
        <w:tc>
          <w:tcPr>
            <w:tcW w:type="dxa" w:w="1944"/>
            <w:vAlign w:val="top"/>
          </w:tcPr>
          <w:p>
            <w:pPr>
              <w:spacing w:after="0" w:before="0" w:line="240" w:lineRule="auto"/>
            </w:pPr>
            <w:r>
              <w:rPr>
                <w:rFonts w:ascii="Aptos" w:hAnsi="Aptos"/>
                <w:b w:val="0"/>
                <w:sz w:val="13"/>
              </w:rPr>
              <w:t>Weight delta / sparse refit payload</w:t>
            </w:r>
          </w:p>
        </w:tc>
        <w:tc>
          <w:tcPr>
            <w:tcW w:type="dxa" w:w="1584"/>
            <w:vAlign w:val="top"/>
          </w:tcPr>
          <w:p>
            <w:pPr>
              <w:spacing w:after="0" w:before="0" w:line="240" w:lineRule="auto"/>
            </w:pPr>
            <w:r>
              <w:rPr>
                <w:rFonts w:ascii="Aptos" w:hAnsi="Aptos"/>
                <w:b w:val="0"/>
                <w:sz w:val="13"/>
              </w:rPr>
              <w:t>Weight-sync planner</w:t>
            </w:r>
          </w:p>
        </w:tc>
        <w:tc>
          <w:tcPr>
            <w:tcW w:type="dxa" w:w="1728"/>
            <w:vAlign w:val="top"/>
          </w:tcPr>
          <w:p>
            <w:pPr>
              <w:spacing w:after="0" w:before="0" w:line="240" w:lineRule="auto"/>
            </w:pPr>
            <w:r>
              <w:rPr>
                <w:rFonts w:ascii="Aptos" w:hAnsi="Aptos"/>
                <w:b w:val="0"/>
                <w:sz w:val="13"/>
              </w:rPr>
              <w:t>Rollout backend</w:t>
            </w:r>
          </w:p>
        </w:tc>
        <w:tc>
          <w:tcPr>
            <w:tcW w:type="dxa" w:w="2088"/>
            <w:vAlign w:val="top"/>
          </w:tcPr>
          <w:p>
            <w:pPr>
              <w:spacing w:after="0" w:before="0" w:line="240" w:lineRule="auto"/>
            </w:pPr>
            <w:r>
              <w:rPr>
                <w:rFonts w:ascii="Aptos" w:hAnsi="Aptos"/>
                <w:b w:val="0"/>
                <w:sz w:val="13"/>
              </w:rPr>
              <w:t>Version handshake and transport completion</w:t>
            </w:r>
          </w:p>
        </w:tc>
        <w:tc>
          <w:tcPr>
            <w:tcW w:type="dxa" w:w="1296"/>
            <w:vAlign w:val="top"/>
          </w:tcPr>
          <w:p>
            <w:pPr>
              <w:spacing w:after="0" w:before="0" w:line="240" w:lineRule="auto"/>
            </w:pPr>
            <w:r>
              <w:rPr>
                <w:rFonts w:ascii="Aptos" w:hAnsi="Aptos"/>
                <w:b w:val="0"/>
                <w:sz w:val="13"/>
              </w:rPr>
              <w:t>Policy transition</w:t>
            </w:r>
          </w:p>
        </w:tc>
        <w:tc>
          <w:tcPr>
            <w:tcW w:type="dxa" w:w="1080"/>
            <w:vAlign w:val="top"/>
          </w:tcPr>
          <w:p>
            <w:pPr>
              <w:spacing w:after="0" w:before="0" w:line="240" w:lineRule="auto"/>
            </w:pPr>
            <w:r>
              <w:rPr>
                <w:rFonts w:ascii="Aptos" w:hAnsi="Aptos"/>
                <w:b w:val="0"/>
                <w:sz w:val="13"/>
              </w:rPr>
              <w:t>G/N; optional C</w:t>
            </w:r>
          </w:p>
        </w:tc>
      </w:tr>
      <w:tr>
        <w:tc>
          <w:tcPr>
            <w:tcW w:type="dxa" w:w="1944"/>
            <w:vAlign w:val="top"/>
          </w:tcPr>
          <w:p>
            <w:pPr>
              <w:spacing w:after="0" w:before="0" w:line="240" w:lineRule="auto"/>
            </w:pPr>
            <w:r>
              <w:rPr>
                <w:rFonts w:ascii="Aptos" w:hAnsi="Aptos"/>
                <w:b w:val="0"/>
                <w:sz w:val="13"/>
              </w:rPr>
              <w:t>Checkpoint shards and manifest</w:t>
            </w:r>
          </w:p>
        </w:tc>
        <w:tc>
          <w:tcPr>
            <w:tcW w:type="dxa" w:w="1584"/>
            <w:vAlign w:val="top"/>
          </w:tcPr>
          <w:p>
            <w:pPr>
              <w:spacing w:after="0" w:before="0" w:line="240" w:lineRule="auto"/>
            </w:pPr>
            <w:r>
              <w:rPr>
                <w:rFonts w:ascii="Aptos" w:hAnsi="Aptos"/>
                <w:b w:val="0"/>
                <w:sz w:val="13"/>
              </w:rPr>
              <w:t>Checkpoint writer</w:t>
            </w:r>
          </w:p>
        </w:tc>
        <w:tc>
          <w:tcPr>
            <w:tcW w:type="dxa" w:w="1728"/>
            <w:vAlign w:val="top"/>
          </w:tcPr>
          <w:p>
            <w:pPr>
              <w:spacing w:after="0" w:before="0" w:line="240" w:lineRule="auto"/>
            </w:pPr>
            <w:r>
              <w:rPr>
                <w:rFonts w:ascii="Aptos" w:hAnsi="Aptos"/>
                <w:b w:val="0"/>
                <w:sz w:val="13"/>
              </w:rPr>
              <w:t>Resume, deployment and audit</w:t>
            </w:r>
          </w:p>
        </w:tc>
        <w:tc>
          <w:tcPr>
            <w:tcW w:type="dxa" w:w="2088"/>
            <w:vAlign w:val="top"/>
          </w:tcPr>
          <w:p>
            <w:pPr>
              <w:spacing w:after="0" w:before="0" w:line="240" w:lineRule="auto"/>
            </w:pPr>
            <w:r>
              <w:rPr>
                <w:rFonts w:ascii="Aptos" w:hAnsi="Aptos"/>
                <w:b w:val="0"/>
                <w:sz w:val="13"/>
              </w:rPr>
              <w:t>Rank-local writes followed by manifest/commit barrier</w:t>
            </w:r>
          </w:p>
        </w:tc>
        <w:tc>
          <w:tcPr>
            <w:tcW w:type="dxa" w:w="1296"/>
            <w:vAlign w:val="top"/>
          </w:tcPr>
          <w:p>
            <w:pPr>
              <w:spacing w:after="0" w:before="0" w:line="240" w:lineRule="auto"/>
            </w:pPr>
            <w:r>
              <w:rPr>
                <w:rFonts w:ascii="Aptos" w:hAnsi="Aptos"/>
                <w:b w:val="0"/>
                <w:sz w:val="13"/>
              </w:rPr>
              <w:t>Persistent</w:t>
            </w:r>
          </w:p>
        </w:tc>
        <w:tc>
          <w:tcPr>
            <w:tcW w:type="dxa" w:w="1080"/>
            <w:vAlign w:val="top"/>
          </w:tcPr>
          <w:p>
            <w:pPr>
              <w:spacing w:after="0" w:before="0" w:line="240" w:lineRule="auto"/>
            </w:pPr>
            <w:r>
              <w:rPr>
                <w:rFonts w:ascii="Aptos" w:hAnsi="Aptos"/>
                <w:b w:val="0"/>
                <w:sz w:val="13"/>
              </w:rPr>
              <w:t>G -&gt; C -&gt; F</w:t>
            </w:r>
          </w:p>
        </w:tc>
      </w:tr>
    </w:tbl>
    <w:p>
      <w:pPr>
        <w:pStyle w:val="Heading3"/>
      </w:pPr>
      <w:r>
        <w:t>9.3.5 MoE-Specific Entities</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944"/>
            <w:shd w:fill="D9EAF7"/>
            <w:vAlign w:val="top"/>
          </w:tcPr>
          <w:p>
            <w:pPr>
              <w:spacing w:after="0" w:before="0" w:line="240" w:lineRule="auto"/>
            </w:pPr>
            <w:r>
              <w:rPr>
                <w:rFonts w:ascii="Aptos" w:hAnsi="Aptos"/>
                <w:b/>
                <w:sz w:val="13"/>
              </w:rPr>
              <w:t>Tensor / data entity</w:t>
            </w:r>
          </w:p>
        </w:tc>
        <w:tc>
          <w:tcPr>
            <w:tcW w:type="dxa" w:w="1584"/>
            <w:shd w:fill="D9EAF7"/>
            <w:vAlign w:val="top"/>
          </w:tcPr>
          <w:p>
            <w:pPr>
              <w:spacing w:after="0" w:before="0" w:line="240" w:lineRule="auto"/>
            </w:pPr>
            <w:r>
              <w:rPr>
                <w:rFonts w:ascii="Aptos" w:hAnsi="Aptos"/>
                <w:b/>
                <w:sz w:val="13"/>
              </w:rPr>
              <w:t>Creator</w:t>
            </w:r>
          </w:p>
        </w:tc>
        <w:tc>
          <w:tcPr>
            <w:tcW w:type="dxa" w:w="1728"/>
            <w:shd w:fill="D9EAF7"/>
            <w:vAlign w:val="top"/>
          </w:tcPr>
          <w:p>
            <w:pPr>
              <w:spacing w:after="0" w:before="0" w:line="240" w:lineRule="auto"/>
            </w:pPr>
            <w:r>
              <w:rPr>
                <w:rFonts w:ascii="Aptos" w:hAnsi="Aptos"/>
                <w:b/>
                <w:sz w:val="13"/>
              </w:rPr>
              <w:t>Consumer</w:t>
            </w:r>
          </w:p>
        </w:tc>
        <w:tc>
          <w:tcPr>
            <w:tcW w:type="dxa" w:w="2088"/>
            <w:shd w:fill="D9EAF7"/>
            <w:vAlign w:val="top"/>
          </w:tcPr>
          <w:p>
            <w:pPr>
              <w:spacing w:after="0" w:before="0" w:line="240" w:lineRule="auto"/>
            </w:pPr>
            <w:r>
              <w:rPr>
                <w:rFonts w:ascii="Aptos" w:hAnsi="Aptos"/>
                <w:b/>
                <w:sz w:val="13"/>
              </w:rPr>
              <w:t>Synchronization</w:t>
            </w:r>
          </w:p>
        </w:tc>
        <w:tc>
          <w:tcPr>
            <w:tcW w:type="dxa" w:w="1296"/>
            <w:shd w:fill="D9EAF7"/>
            <w:vAlign w:val="top"/>
          </w:tcPr>
          <w:p>
            <w:pPr>
              <w:spacing w:after="0" w:before="0" w:line="240" w:lineRule="auto"/>
            </w:pPr>
            <w:r>
              <w:rPr>
                <w:rFonts w:ascii="Aptos" w:hAnsi="Aptos"/>
                <w:b/>
                <w:sz w:val="13"/>
              </w:rPr>
              <w:t>Lifetime</w:t>
            </w:r>
          </w:p>
        </w:tc>
        <w:tc>
          <w:tcPr>
            <w:tcW w:type="dxa" w:w="1080"/>
            <w:shd w:fill="D9EAF7"/>
            <w:vAlign w:val="top"/>
          </w:tcPr>
          <w:p>
            <w:pPr>
              <w:spacing w:after="0" w:before="0" w:line="240" w:lineRule="auto"/>
            </w:pPr>
            <w:r>
              <w:rPr>
                <w:rFonts w:ascii="Aptos" w:hAnsi="Aptos"/>
                <w:b/>
                <w:sz w:val="13"/>
              </w:rPr>
              <w:t>Memory path</w:t>
            </w:r>
          </w:p>
        </w:tc>
      </w:tr>
      <w:tr>
        <w:tc>
          <w:tcPr>
            <w:tcW w:type="dxa" w:w="1944"/>
            <w:vAlign w:val="top"/>
          </w:tcPr>
          <w:p>
            <w:pPr>
              <w:spacing w:after="0" w:before="0" w:line="240" w:lineRule="auto"/>
            </w:pPr>
            <w:r>
              <w:rPr>
                <w:rFonts w:ascii="Aptos" w:hAnsi="Aptos"/>
                <w:b w:val="0"/>
                <w:sz w:val="13"/>
              </w:rPr>
              <w:t>Router logits</w:t>
            </w:r>
          </w:p>
        </w:tc>
        <w:tc>
          <w:tcPr>
            <w:tcW w:type="dxa" w:w="1584"/>
            <w:vAlign w:val="top"/>
          </w:tcPr>
          <w:p>
            <w:pPr>
              <w:spacing w:after="0" w:before="0" w:line="240" w:lineRule="auto"/>
            </w:pPr>
            <w:r>
              <w:rPr>
                <w:rFonts w:ascii="Aptos" w:hAnsi="Aptos"/>
                <w:b w:val="0"/>
                <w:sz w:val="13"/>
              </w:rPr>
              <w:t>MoE router</w:t>
            </w:r>
          </w:p>
        </w:tc>
        <w:tc>
          <w:tcPr>
            <w:tcW w:type="dxa" w:w="1728"/>
            <w:vAlign w:val="top"/>
          </w:tcPr>
          <w:p>
            <w:pPr>
              <w:spacing w:after="0" w:before="0" w:line="240" w:lineRule="auto"/>
            </w:pPr>
            <w:r>
              <w:rPr>
                <w:rFonts w:ascii="Aptos" w:hAnsi="Aptos"/>
                <w:b w:val="0"/>
                <w:sz w:val="13"/>
              </w:rPr>
              <w:t>Top-k selection and load-balance loss</w:t>
            </w:r>
          </w:p>
        </w:tc>
        <w:tc>
          <w:tcPr>
            <w:tcW w:type="dxa" w:w="2088"/>
            <w:vAlign w:val="top"/>
          </w:tcPr>
          <w:p>
            <w:pPr>
              <w:spacing w:after="0" w:before="0" w:line="240" w:lineRule="auto"/>
            </w:pPr>
            <w:r>
              <w:rPr>
                <w:rFonts w:ascii="Aptos" w:hAnsi="Aptos"/>
                <w:b w:val="0"/>
                <w:sz w:val="13"/>
              </w:rPr>
              <w:t>TP/EP reduction or gather if sharded</w:t>
            </w:r>
          </w:p>
        </w:tc>
        <w:tc>
          <w:tcPr>
            <w:tcW w:type="dxa" w:w="1296"/>
            <w:vAlign w:val="top"/>
          </w:tcPr>
          <w:p>
            <w:pPr>
              <w:spacing w:after="0" w:before="0" w:line="240" w:lineRule="auto"/>
            </w:pPr>
            <w:r>
              <w:rPr>
                <w:rFonts w:ascii="Aptos" w:hAnsi="Aptos"/>
                <w:b w:val="0"/>
                <w:sz w:val="13"/>
              </w:rPr>
              <w:t>MoE layer</w:t>
            </w:r>
          </w:p>
        </w:tc>
        <w:tc>
          <w:tcPr>
            <w:tcW w:type="dxa" w:w="1080"/>
            <w:vAlign w:val="top"/>
          </w:tcPr>
          <w:p>
            <w:pPr>
              <w:spacing w:after="0" w:before="0" w:line="240" w:lineRule="auto"/>
            </w:pPr>
            <w:r>
              <w:rPr>
                <w:rFonts w:ascii="Aptos" w:hAnsi="Aptos"/>
                <w:b w:val="0"/>
                <w:sz w:val="13"/>
              </w:rPr>
              <w:t>G/R</w:t>
            </w:r>
          </w:p>
        </w:tc>
      </w:tr>
      <w:tr>
        <w:tc>
          <w:tcPr>
            <w:tcW w:type="dxa" w:w="1944"/>
            <w:vAlign w:val="top"/>
          </w:tcPr>
          <w:p>
            <w:pPr>
              <w:spacing w:after="0" w:before="0" w:line="240" w:lineRule="auto"/>
            </w:pPr>
            <w:r>
              <w:rPr>
                <w:rFonts w:ascii="Aptos" w:hAnsi="Aptos"/>
                <w:b w:val="0"/>
                <w:sz w:val="13"/>
              </w:rPr>
              <w:t>Top-k expert IDs</w:t>
            </w:r>
          </w:p>
        </w:tc>
        <w:tc>
          <w:tcPr>
            <w:tcW w:type="dxa" w:w="1584"/>
            <w:vAlign w:val="top"/>
          </w:tcPr>
          <w:p>
            <w:pPr>
              <w:spacing w:after="0" w:before="0" w:line="240" w:lineRule="auto"/>
            </w:pPr>
            <w:r>
              <w:rPr>
                <w:rFonts w:ascii="Aptos" w:hAnsi="Aptos"/>
                <w:b w:val="0"/>
                <w:sz w:val="13"/>
              </w:rPr>
              <w:t>Router top-k</w:t>
            </w:r>
          </w:p>
        </w:tc>
        <w:tc>
          <w:tcPr>
            <w:tcW w:type="dxa" w:w="1728"/>
            <w:vAlign w:val="top"/>
          </w:tcPr>
          <w:p>
            <w:pPr>
              <w:spacing w:after="0" w:before="0" w:line="240" w:lineRule="auto"/>
            </w:pPr>
            <w:r>
              <w:rPr>
                <w:rFonts w:ascii="Aptos" w:hAnsi="Aptos"/>
                <w:b w:val="0"/>
                <w:sz w:val="13"/>
              </w:rPr>
              <w:t>Token dispatcher</w:t>
            </w:r>
          </w:p>
        </w:tc>
        <w:tc>
          <w:tcPr>
            <w:tcW w:type="dxa" w:w="2088"/>
            <w:vAlign w:val="top"/>
          </w:tcPr>
          <w:p>
            <w:pPr>
              <w:spacing w:after="0" w:before="0" w:line="240" w:lineRule="auto"/>
            </w:pPr>
            <w:r>
              <w:rPr>
                <w:rFonts w:ascii="Aptos" w:hAnsi="Aptos"/>
                <w:b w:val="0"/>
                <w:sz w:val="13"/>
              </w:rPr>
              <w:t>Routing map publication to EP group</w:t>
            </w:r>
          </w:p>
        </w:tc>
        <w:tc>
          <w:tcPr>
            <w:tcW w:type="dxa" w:w="1296"/>
            <w:vAlign w:val="top"/>
          </w:tcPr>
          <w:p>
            <w:pPr>
              <w:spacing w:after="0" w:before="0" w:line="240" w:lineRule="auto"/>
            </w:pPr>
            <w:r>
              <w:rPr>
                <w:rFonts w:ascii="Aptos" w:hAnsi="Aptos"/>
                <w:b w:val="0"/>
                <w:sz w:val="13"/>
              </w:rPr>
              <w:t>MoE layer/batch</w:t>
            </w:r>
          </w:p>
        </w:tc>
        <w:tc>
          <w:tcPr>
            <w:tcW w:type="dxa" w:w="1080"/>
            <w:vAlign w:val="top"/>
          </w:tcPr>
          <w:p>
            <w:pPr>
              <w:spacing w:after="0" w:before="0" w:line="240" w:lineRule="auto"/>
            </w:pPr>
            <w:r>
              <w:rPr>
                <w:rFonts w:ascii="Aptos" w:hAnsi="Aptos"/>
                <w:b w:val="0"/>
                <w:sz w:val="13"/>
              </w:rPr>
              <w:t>G/C</w:t>
            </w:r>
          </w:p>
        </w:tc>
      </w:tr>
      <w:tr>
        <w:tc>
          <w:tcPr>
            <w:tcW w:type="dxa" w:w="1944"/>
            <w:vAlign w:val="top"/>
          </w:tcPr>
          <w:p>
            <w:pPr>
              <w:spacing w:after="0" w:before="0" w:line="240" w:lineRule="auto"/>
            </w:pPr>
            <w:r>
              <w:rPr>
                <w:rFonts w:ascii="Aptos" w:hAnsi="Aptos"/>
                <w:b w:val="0"/>
                <w:sz w:val="13"/>
              </w:rPr>
              <w:t>Combine weights</w:t>
            </w:r>
          </w:p>
        </w:tc>
        <w:tc>
          <w:tcPr>
            <w:tcW w:type="dxa" w:w="1584"/>
            <w:vAlign w:val="top"/>
          </w:tcPr>
          <w:p>
            <w:pPr>
              <w:spacing w:after="0" w:before="0" w:line="240" w:lineRule="auto"/>
            </w:pPr>
            <w:r>
              <w:rPr>
                <w:rFonts w:ascii="Aptos" w:hAnsi="Aptos"/>
                <w:b w:val="0"/>
                <w:sz w:val="13"/>
              </w:rPr>
              <w:t>Router normalization/top-k</w:t>
            </w:r>
          </w:p>
        </w:tc>
        <w:tc>
          <w:tcPr>
            <w:tcW w:type="dxa" w:w="1728"/>
            <w:vAlign w:val="top"/>
          </w:tcPr>
          <w:p>
            <w:pPr>
              <w:spacing w:after="0" w:before="0" w:line="240" w:lineRule="auto"/>
            </w:pPr>
            <w:r>
              <w:rPr>
                <w:rFonts w:ascii="Aptos" w:hAnsi="Aptos"/>
                <w:b w:val="0"/>
                <w:sz w:val="13"/>
              </w:rPr>
              <w:t>Expert output combiner</w:t>
            </w:r>
          </w:p>
        </w:tc>
        <w:tc>
          <w:tcPr>
            <w:tcW w:type="dxa" w:w="2088"/>
            <w:vAlign w:val="top"/>
          </w:tcPr>
          <w:p>
            <w:pPr>
              <w:spacing w:after="0" w:before="0" w:line="240" w:lineRule="auto"/>
            </w:pPr>
            <w:r>
              <w:rPr>
                <w:rFonts w:ascii="Aptos" w:hAnsi="Aptos"/>
                <w:b w:val="0"/>
                <w:sz w:val="13"/>
              </w:rPr>
              <w:t>Alignment with dispatch permutation and token order</w:t>
            </w:r>
          </w:p>
        </w:tc>
        <w:tc>
          <w:tcPr>
            <w:tcW w:type="dxa" w:w="1296"/>
            <w:vAlign w:val="top"/>
          </w:tcPr>
          <w:p>
            <w:pPr>
              <w:spacing w:after="0" w:before="0" w:line="240" w:lineRule="auto"/>
            </w:pPr>
            <w:r>
              <w:rPr>
                <w:rFonts w:ascii="Aptos" w:hAnsi="Aptos"/>
                <w:b w:val="0"/>
                <w:sz w:val="13"/>
              </w:rPr>
              <w:t>MoE layer/batch</w:t>
            </w:r>
          </w:p>
        </w:tc>
        <w:tc>
          <w:tcPr>
            <w:tcW w:type="dxa" w:w="1080"/>
            <w:vAlign w:val="top"/>
          </w:tcPr>
          <w:p>
            <w:pPr>
              <w:spacing w:after="0" w:before="0" w:line="240" w:lineRule="auto"/>
            </w:pPr>
            <w:r>
              <w:rPr>
                <w:rFonts w:ascii="Aptos" w:hAnsi="Aptos"/>
                <w:b w:val="0"/>
                <w:sz w:val="13"/>
              </w:rPr>
              <w:t>G</w:t>
            </w:r>
          </w:p>
        </w:tc>
      </w:tr>
      <w:tr>
        <w:tc>
          <w:tcPr>
            <w:tcW w:type="dxa" w:w="1944"/>
            <w:vAlign w:val="top"/>
          </w:tcPr>
          <w:p>
            <w:pPr>
              <w:spacing w:after="0" w:before="0" w:line="240" w:lineRule="auto"/>
            </w:pPr>
            <w:r>
              <w:rPr>
                <w:rFonts w:ascii="Aptos" w:hAnsi="Aptos"/>
                <w:b w:val="0"/>
                <w:sz w:val="13"/>
              </w:rPr>
              <w:t>Dispatch map / permutation</w:t>
            </w:r>
          </w:p>
        </w:tc>
        <w:tc>
          <w:tcPr>
            <w:tcW w:type="dxa" w:w="1584"/>
            <w:vAlign w:val="top"/>
          </w:tcPr>
          <w:p>
            <w:pPr>
              <w:spacing w:after="0" w:before="0" w:line="240" w:lineRule="auto"/>
            </w:pPr>
            <w:r>
              <w:rPr>
                <w:rFonts w:ascii="Aptos" w:hAnsi="Aptos"/>
                <w:b w:val="0"/>
                <w:sz w:val="13"/>
              </w:rPr>
              <w:t>MoE dispatcher</w:t>
            </w:r>
          </w:p>
        </w:tc>
        <w:tc>
          <w:tcPr>
            <w:tcW w:type="dxa" w:w="1728"/>
            <w:vAlign w:val="top"/>
          </w:tcPr>
          <w:p>
            <w:pPr>
              <w:spacing w:after="0" w:before="0" w:line="240" w:lineRule="auto"/>
            </w:pPr>
            <w:r>
              <w:rPr>
                <w:rFonts w:ascii="Aptos" w:hAnsi="Aptos"/>
                <w:b w:val="0"/>
                <w:sz w:val="13"/>
              </w:rPr>
              <w:t>All-to-all token movement and order restoration</w:t>
            </w:r>
          </w:p>
        </w:tc>
        <w:tc>
          <w:tcPr>
            <w:tcW w:type="dxa" w:w="2088"/>
            <w:vAlign w:val="top"/>
          </w:tcPr>
          <w:p>
            <w:pPr>
              <w:spacing w:after="0" w:before="0" w:line="240" w:lineRule="auto"/>
            </w:pPr>
            <w:r>
              <w:rPr>
                <w:rFonts w:ascii="Aptos" w:hAnsi="Aptos"/>
                <w:b w:val="0"/>
                <w:sz w:val="13"/>
              </w:rPr>
              <w:t>NCCL all-to-all or grouped send/receive</w:t>
            </w:r>
          </w:p>
        </w:tc>
        <w:tc>
          <w:tcPr>
            <w:tcW w:type="dxa" w:w="1296"/>
            <w:vAlign w:val="top"/>
          </w:tcPr>
          <w:p>
            <w:pPr>
              <w:spacing w:after="0" w:before="0" w:line="240" w:lineRule="auto"/>
            </w:pPr>
            <w:r>
              <w:rPr>
                <w:rFonts w:ascii="Aptos" w:hAnsi="Aptos"/>
                <w:b w:val="0"/>
                <w:sz w:val="13"/>
              </w:rPr>
              <w:t>MoE layer/batch</w:t>
            </w:r>
          </w:p>
        </w:tc>
        <w:tc>
          <w:tcPr>
            <w:tcW w:type="dxa" w:w="1080"/>
            <w:vAlign w:val="top"/>
          </w:tcPr>
          <w:p>
            <w:pPr>
              <w:spacing w:after="0" w:before="0" w:line="240" w:lineRule="auto"/>
            </w:pPr>
            <w:r>
              <w:rPr>
                <w:rFonts w:ascii="Aptos" w:hAnsi="Aptos"/>
                <w:b w:val="0"/>
                <w:sz w:val="13"/>
              </w:rPr>
              <w:t>G &lt;-&gt; N</w:t>
            </w:r>
          </w:p>
        </w:tc>
      </w:tr>
      <w:tr>
        <w:tc>
          <w:tcPr>
            <w:tcW w:type="dxa" w:w="1944"/>
            <w:vAlign w:val="top"/>
          </w:tcPr>
          <w:p>
            <w:pPr>
              <w:spacing w:after="0" w:before="0" w:line="240" w:lineRule="auto"/>
            </w:pPr>
            <w:r>
              <w:rPr>
                <w:rFonts w:ascii="Aptos" w:hAnsi="Aptos"/>
                <w:b w:val="0"/>
                <w:sz w:val="13"/>
              </w:rPr>
              <w:t>Expert input token buffers</w:t>
            </w:r>
          </w:p>
        </w:tc>
        <w:tc>
          <w:tcPr>
            <w:tcW w:type="dxa" w:w="1584"/>
            <w:vAlign w:val="top"/>
          </w:tcPr>
          <w:p>
            <w:pPr>
              <w:spacing w:after="0" w:before="0" w:line="240" w:lineRule="auto"/>
            </w:pPr>
            <w:r>
              <w:rPr>
                <w:rFonts w:ascii="Aptos" w:hAnsi="Aptos"/>
                <w:b w:val="0"/>
                <w:sz w:val="13"/>
              </w:rPr>
              <w:t>Dispatcher</w:t>
            </w:r>
          </w:p>
        </w:tc>
        <w:tc>
          <w:tcPr>
            <w:tcW w:type="dxa" w:w="1728"/>
            <w:vAlign w:val="top"/>
          </w:tcPr>
          <w:p>
            <w:pPr>
              <w:spacing w:after="0" w:before="0" w:line="240" w:lineRule="auto"/>
            </w:pPr>
            <w:r>
              <w:rPr>
                <w:rFonts w:ascii="Aptos" w:hAnsi="Aptos"/>
                <w:b w:val="0"/>
                <w:sz w:val="13"/>
              </w:rPr>
              <w:t>Grouped expert GEMM</w:t>
            </w:r>
          </w:p>
        </w:tc>
        <w:tc>
          <w:tcPr>
            <w:tcW w:type="dxa" w:w="2088"/>
            <w:vAlign w:val="top"/>
          </w:tcPr>
          <w:p>
            <w:pPr>
              <w:spacing w:after="0" w:before="0" w:line="240" w:lineRule="auto"/>
            </w:pPr>
            <w:r>
              <w:rPr>
                <w:rFonts w:ascii="Aptos" w:hAnsi="Aptos"/>
                <w:b w:val="0"/>
                <w:sz w:val="13"/>
              </w:rPr>
              <w:t>All-to-all completion and local grouping barrier</w:t>
            </w:r>
          </w:p>
        </w:tc>
        <w:tc>
          <w:tcPr>
            <w:tcW w:type="dxa" w:w="1296"/>
            <w:vAlign w:val="top"/>
          </w:tcPr>
          <w:p>
            <w:pPr>
              <w:spacing w:after="0" w:before="0" w:line="240" w:lineRule="auto"/>
            </w:pPr>
            <w:r>
              <w:rPr>
                <w:rFonts w:ascii="Aptos" w:hAnsi="Aptos"/>
                <w:b w:val="0"/>
                <w:sz w:val="13"/>
              </w:rPr>
              <w:t>MoE layer</w:t>
            </w:r>
          </w:p>
        </w:tc>
        <w:tc>
          <w:tcPr>
            <w:tcW w:type="dxa" w:w="1080"/>
            <w:vAlign w:val="top"/>
          </w:tcPr>
          <w:p>
            <w:pPr>
              <w:spacing w:after="0" w:before="0" w:line="240" w:lineRule="auto"/>
            </w:pPr>
            <w:r>
              <w:rPr>
                <w:rFonts w:ascii="Aptos" w:hAnsi="Aptos"/>
                <w:b w:val="0"/>
                <w:sz w:val="13"/>
              </w:rPr>
              <w:t>G -&gt; S/T/R</w:t>
            </w:r>
          </w:p>
        </w:tc>
      </w:tr>
      <w:tr>
        <w:tc>
          <w:tcPr>
            <w:tcW w:type="dxa" w:w="1944"/>
            <w:vAlign w:val="top"/>
          </w:tcPr>
          <w:p>
            <w:pPr>
              <w:spacing w:after="0" w:before="0" w:line="240" w:lineRule="auto"/>
            </w:pPr>
            <w:r>
              <w:rPr>
                <w:rFonts w:ascii="Aptos" w:hAnsi="Aptos"/>
                <w:b w:val="0"/>
                <w:sz w:val="13"/>
              </w:rPr>
              <w:t>Expert outputs</w:t>
            </w:r>
          </w:p>
        </w:tc>
        <w:tc>
          <w:tcPr>
            <w:tcW w:type="dxa" w:w="1584"/>
            <w:vAlign w:val="top"/>
          </w:tcPr>
          <w:p>
            <w:pPr>
              <w:spacing w:after="0" w:before="0" w:line="240" w:lineRule="auto"/>
            </w:pPr>
            <w:r>
              <w:rPr>
                <w:rFonts w:ascii="Aptos" w:hAnsi="Aptos"/>
                <w:b w:val="0"/>
                <w:sz w:val="13"/>
              </w:rPr>
              <w:t>Expert MLP</w:t>
            </w:r>
          </w:p>
        </w:tc>
        <w:tc>
          <w:tcPr>
            <w:tcW w:type="dxa" w:w="1728"/>
            <w:vAlign w:val="top"/>
          </w:tcPr>
          <w:p>
            <w:pPr>
              <w:spacing w:after="0" w:before="0" w:line="240" w:lineRule="auto"/>
            </w:pPr>
            <w:r>
              <w:rPr>
                <w:rFonts w:ascii="Aptos" w:hAnsi="Aptos"/>
                <w:b w:val="0"/>
                <w:sz w:val="13"/>
              </w:rPr>
              <w:t>Inverse dispatch and combine</w:t>
            </w:r>
          </w:p>
        </w:tc>
        <w:tc>
          <w:tcPr>
            <w:tcW w:type="dxa" w:w="2088"/>
            <w:vAlign w:val="top"/>
          </w:tcPr>
          <w:p>
            <w:pPr>
              <w:spacing w:after="0" w:before="0" w:line="240" w:lineRule="auto"/>
            </w:pPr>
            <w:r>
              <w:rPr>
                <w:rFonts w:ascii="Aptos" w:hAnsi="Aptos"/>
                <w:b w:val="0"/>
                <w:sz w:val="13"/>
              </w:rPr>
              <w:t>Return all-to-all and restore-order dependency</w:t>
            </w:r>
          </w:p>
        </w:tc>
        <w:tc>
          <w:tcPr>
            <w:tcW w:type="dxa" w:w="1296"/>
            <w:vAlign w:val="top"/>
          </w:tcPr>
          <w:p>
            <w:pPr>
              <w:spacing w:after="0" w:before="0" w:line="240" w:lineRule="auto"/>
            </w:pPr>
            <w:r>
              <w:rPr>
                <w:rFonts w:ascii="Aptos" w:hAnsi="Aptos"/>
                <w:b w:val="0"/>
                <w:sz w:val="13"/>
              </w:rPr>
              <w:t>MoE layer</w:t>
            </w:r>
          </w:p>
        </w:tc>
        <w:tc>
          <w:tcPr>
            <w:tcW w:type="dxa" w:w="1080"/>
            <w:vAlign w:val="top"/>
          </w:tcPr>
          <w:p>
            <w:pPr>
              <w:spacing w:after="0" w:before="0" w:line="240" w:lineRule="auto"/>
            </w:pPr>
            <w:r>
              <w:rPr>
                <w:rFonts w:ascii="Aptos" w:hAnsi="Aptos"/>
                <w:b w:val="0"/>
                <w:sz w:val="13"/>
              </w:rPr>
              <w:t>G &lt;-&gt; N</w:t>
            </w:r>
          </w:p>
        </w:tc>
      </w:tr>
      <w:tr>
        <w:tc>
          <w:tcPr>
            <w:tcW w:type="dxa" w:w="1944"/>
            <w:vAlign w:val="top"/>
          </w:tcPr>
          <w:p>
            <w:pPr>
              <w:spacing w:after="0" w:before="0" w:line="240" w:lineRule="auto"/>
            </w:pPr>
            <w:r>
              <w:rPr>
                <w:rFonts w:ascii="Aptos" w:hAnsi="Aptos"/>
                <w:b w:val="0"/>
                <w:sz w:val="13"/>
              </w:rPr>
              <w:t>Load-balance auxiliary loss</w:t>
            </w:r>
          </w:p>
        </w:tc>
        <w:tc>
          <w:tcPr>
            <w:tcW w:type="dxa" w:w="1584"/>
            <w:vAlign w:val="top"/>
          </w:tcPr>
          <w:p>
            <w:pPr>
              <w:spacing w:after="0" w:before="0" w:line="240" w:lineRule="auto"/>
            </w:pPr>
            <w:r>
              <w:rPr>
                <w:rFonts w:ascii="Aptos" w:hAnsi="Aptos"/>
                <w:b w:val="0"/>
                <w:sz w:val="13"/>
              </w:rPr>
              <w:t>MoE statistics/loss builder</w:t>
            </w:r>
          </w:p>
        </w:tc>
        <w:tc>
          <w:tcPr>
            <w:tcW w:type="dxa" w:w="1728"/>
            <w:vAlign w:val="top"/>
          </w:tcPr>
          <w:p>
            <w:pPr>
              <w:spacing w:after="0" w:before="0" w:line="240" w:lineRule="auto"/>
            </w:pPr>
            <w:r>
              <w:rPr>
                <w:rFonts w:ascii="Aptos" w:hAnsi="Aptos"/>
                <w:b w:val="0"/>
                <w:sz w:val="13"/>
              </w:rPr>
              <w:t>Total RL/SFT objective</w:t>
            </w:r>
          </w:p>
        </w:tc>
        <w:tc>
          <w:tcPr>
            <w:tcW w:type="dxa" w:w="2088"/>
            <w:vAlign w:val="top"/>
          </w:tcPr>
          <w:p>
            <w:pPr>
              <w:spacing w:after="0" w:before="0" w:line="240" w:lineRule="auto"/>
            </w:pPr>
            <w:r>
              <w:rPr>
                <w:rFonts w:ascii="Aptos" w:hAnsi="Aptos"/>
                <w:b w:val="0"/>
                <w:sz w:val="13"/>
              </w:rPr>
              <w:t>DP reduction</w:t>
            </w:r>
          </w:p>
        </w:tc>
        <w:tc>
          <w:tcPr>
            <w:tcW w:type="dxa" w:w="1296"/>
            <w:vAlign w:val="top"/>
          </w:tcPr>
          <w:p>
            <w:pPr>
              <w:spacing w:after="0" w:before="0" w:line="240" w:lineRule="auto"/>
            </w:pPr>
            <w:r>
              <w:rPr>
                <w:rFonts w:ascii="Aptos" w:hAnsi="Aptos"/>
                <w:b w:val="0"/>
                <w:sz w:val="13"/>
              </w:rPr>
              <w:t>Minibatch</w:t>
            </w:r>
          </w:p>
        </w:tc>
        <w:tc>
          <w:tcPr>
            <w:tcW w:type="dxa" w:w="1080"/>
            <w:vAlign w:val="top"/>
          </w:tcPr>
          <w:p>
            <w:pPr>
              <w:spacing w:after="0" w:before="0" w:line="240" w:lineRule="auto"/>
            </w:pPr>
            <w:r>
              <w:rPr>
                <w:rFonts w:ascii="Aptos" w:hAnsi="Aptos"/>
                <w:b w:val="0"/>
                <w:sz w:val="13"/>
              </w:rPr>
              <w:t>G -&gt; C</w:t>
            </w:r>
          </w:p>
        </w:tc>
      </w:tr>
    </w:tbl>
    <w:p>
      <w:pPr>
        <w:pStyle w:val="Heading2"/>
      </w:pPr>
      <w:r>
        <w:t>9.4 Durable Tensor Semantic and Legality Traits</w:t>
      </w:r>
    </w:p>
    <w:p>
      <w:pPr/>
      <w:r>
        <w:t>The Chapter 9 lifecycle inventory identifies semantic role, producer, consumer, synchronization, lifetime, and memory path. Only the application facts that must remain valid across many optimization passes should become tensor traits. Selected placement, layout, shard mappings, tile sizes, reuse distances, fusion candidates, bandwidth estimates, and other compiler-derived information must not turn TensorTraitSet into a kitchen sink. DSC therefore keeps one TENSOR_KIND and narrows TensorTraitSet to durable semantic and legality contracts; derived knowledge and selected representation decisions are stored in the separate IR buckets introduced in Section 9.4.</w:t>
      </w:r>
    </w:p>
    <w:p>
      <w:pPr>
        <w:pStyle w:val="Heading3"/>
      </w:pPr>
      <w:r>
        <w:t>9.4.1 Trait Model and Ownership</w:t>
      </w:r>
    </w:p>
    <w:p>
      <w:pPr/>
      <w:r>
        <w:t>Tensor traits are orthogonal, durable contracts attached to a flat tensor kind. The owning domain supplies semantic, lifecycle, versioning, and security traits. The Common Compiler Substrate may establish transformation-legality traits through verified contracts, but it must not encode transient analysis results or selected physical mappings as traits. Backend capability, mapping, locality, and profitability information belongs in DerivedAnalysisFactIR or OptimizationPlanIR. Every trait records provenance, validity scope, and the contract that permits refinement or removal; backend lowering may constrain a trait but may not silently erase it.</w:t>
      </w:r>
    </w:p>
    <w:p>
      <w:pPr>
        <w:pStyle w:val="CodeBlock"/>
      </w:pPr>
      <w:r>
        <w:t>TensorSemanticTraitSet {</w:t>
        <w:br/>
        <w:t xml:space="preserve">  semantic_role_traits</w:t>
        <w:br/>
        <w:t xml:space="preserve">  access_and_mutability_contracts</w:t>
        <w:br/>
        <w:t xml:space="preserve">  lifecycle_and_persistence_contracts</w:t>
        <w:br/>
        <w:t xml:space="preserve">  model_and_policy_version_contracts</w:t>
        <w:br/>
        <w:t xml:space="preserve">  numeric_and_precision_contracts</w:t>
        <w:br/>
        <w:t xml:space="preserve">  security_and_governance_contracts</w:t>
        <w:br/>
        <w:t xml:space="preserve">  transformation_legality_contracts</w:t>
        <w:br/>
        <w:t xml:space="preserve">  provenance</w:t>
        <w:br/>
        <w:t xml:space="preserve">  validity_scope</w:t>
        <w:br/>
        <w:t xml:space="preserve">  refinement_contracts</w:t>
        <w:br/>
        <w:t>}</w:t>
      </w:r>
    </w:p>
    <w:p>
      <w:pPr>
        <w:pStyle w:val="Heading3"/>
      </w:pPr>
      <w:r>
        <w:t>9.4.2 Trait Families and Their Optimization Meaning</w:t>
      </w:r>
    </w:p>
    <w:tbl>
      <w:tblPr>
        <w:tblStyle w:val="TableGrid"/>
        <w:tblW w:type="auto" w:w="0"/>
        <w:tblLayout w:type="autofit"/>
        <w:tblLook w:firstColumn="1" w:firstRow="1" w:lastColumn="0" w:lastRow="0" w:noHBand="0" w:noVBand="1" w:val="04A0"/>
      </w:tblPr>
      <w:tblGrid>
        <w:gridCol w:w="3312"/>
        <w:gridCol w:w="3312"/>
        <w:gridCol w:w="3312"/>
      </w:tblGrid>
      <w:tr>
        <w:trPr>
          <w:tblHeader w:val="true"/>
        </w:trPr>
        <w:tc>
          <w:tcPr>
            <w:tcW w:type="dxa" w:w="2088"/>
            <w:vAlign w:val="center"/>
            <w:tcMar>
              <w:top w:w="50" w:type="dxa"/>
              <w:start w:w="60" w:type="dxa"/>
              <w:bottom w:w="50" w:type="dxa"/>
              <w:end w:w="60" w:type="dxa"/>
            </w:tcMar>
            <w:shd w:fill="D9EAF7"/>
          </w:tcPr>
          <w:p>
            <w:pPr>
              <w:spacing w:before="0" w:after="0" w:line="240" w:lineRule="auto"/>
            </w:pPr>
            <w:r>
              <w:rPr>
                <w:b/>
                <w:sz w:val="14"/>
              </w:rPr>
              <w:t>Durable trait family</w:t>
            </w:r>
          </w:p>
        </w:tc>
        <w:tc>
          <w:tcPr>
            <w:tcW w:type="dxa" w:w="3816"/>
            <w:vAlign w:val="center"/>
            <w:tcMar>
              <w:top w:w="50" w:type="dxa"/>
              <w:start w:w="60" w:type="dxa"/>
              <w:bottom w:w="50" w:type="dxa"/>
              <w:end w:w="60" w:type="dxa"/>
            </w:tcMar>
            <w:shd w:fill="D9EAF7"/>
          </w:tcPr>
          <w:p>
            <w:pPr>
              <w:spacing w:before="0" w:after="0" w:line="240" w:lineRule="auto"/>
            </w:pPr>
            <w:r>
              <w:rPr>
                <w:b/>
                <w:sz w:val="14"/>
              </w:rPr>
              <w:t>Representative traits</w:t>
            </w:r>
          </w:p>
        </w:tc>
        <w:tc>
          <w:tcPr>
            <w:tcW w:type="dxa" w:w="4464"/>
            <w:vAlign w:val="center"/>
            <w:tcMar>
              <w:top w:w="50" w:type="dxa"/>
              <w:start w:w="60" w:type="dxa"/>
              <w:bottom w:w="50" w:type="dxa"/>
              <w:end w:w="60" w:type="dxa"/>
            </w:tcMar>
            <w:shd w:fill="D9EAF7"/>
          </w:tcPr>
          <w:p>
            <w:pPr>
              <w:spacing w:before="0" w:after="0" w:line="240" w:lineRule="auto"/>
            </w:pPr>
            <w:r>
              <w:rPr>
                <w:b/>
                <w:sz w:val="14"/>
              </w:rPr>
              <w:t>Contract enforced across optimization passes</w:t>
            </w:r>
          </w:p>
        </w:tc>
      </w:tr>
      <w:tr>
        <w:tc>
          <w:tcPr>
            <w:tcW w:type="dxa" w:w="2088"/>
            <w:vAlign w:val="center"/>
            <w:tcMar>
              <w:top w:w="50" w:type="dxa"/>
              <w:start w:w="60" w:type="dxa"/>
              <w:bottom w:w="50" w:type="dxa"/>
              <w:end w:w="60" w:type="dxa"/>
            </w:tcMar>
          </w:tcPr>
          <w:p>
            <w:pPr>
              <w:spacing w:before="0" w:after="0" w:line="240" w:lineRule="auto"/>
            </w:pPr>
            <w:r>
              <w:rPr>
                <w:b w:val="0"/>
                <w:sz w:val="14"/>
              </w:rPr>
              <w:t>Semantic role</w:t>
            </w:r>
          </w:p>
        </w:tc>
        <w:tc>
          <w:tcPr>
            <w:tcW w:type="dxa" w:w="3816"/>
            <w:vAlign w:val="center"/>
            <w:tcMar>
              <w:top w:w="50" w:type="dxa"/>
              <w:start w:w="60" w:type="dxa"/>
              <w:bottom w:w="50" w:type="dxa"/>
              <w:end w:w="60" w:type="dxa"/>
            </w:tcMar>
          </w:tcPr>
          <w:p>
            <w:pPr>
              <w:spacing w:before="0" w:after="0" w:line="240" w:lineRule="auto"/>
            </w:pPr>
            <w:r>
              <w:rPr>
                <w:b w:val="0"/>
                <w:sz w:val="14"/>
              </w:rPr>
              <w:t>Parameter, Activation, RuntimeState, KVState, Logits, Logprob, Reward, Advantage, Gradient, OptimizerState, RoutingMap, AuditEvidence</w:t>
            </w:r>
          </w:p>
        </w:tc>
        <w:tc>
          <w:tcPr>
            <w:tcW w:type="dxa" w:w="4464"/>
            <w:vAlign w:val="center"/>
            <w:tcMar>
              <w:top w:w="50" w:type="dxa"/>
              <w:start w:w="60" w:type="dxa"/>
              <w:bottom w:w="50" w:type="dxa"/>
              <w:end w:w="60" w:type="dxa"/>
            </w:tcMar>
          </w:tcPr>
          <w:p>
            <w:pPr>
              <w:spacing w:before="0" w:after="0" w:line="240" w:lineRule="auto"/>
            </w:pPr>
            <w:r>
              <w:rPr>
                <w:b w:val="0"/>
                <w:sz w:val="14"/>
              </w:rPr>
              <w:t>Preserves application meaning and selects domain-specific verification, protected consumers, and legal conversions.</w:t>
            </w:r>
          </w:p>
        </w:tc>
      </w:tr>
      <w:tr>
        <w:tc>
          <w:tcPr>
            <w:tcW w:type="dxa" w:w="2088"/>
            <w:vAlign w:val="center"/>
            <w:tcMar>
              <w:top w:w="50" w:type="dxa"/>
              <w:start w:w="60" w:type="dxa"/>
              <w:bottom w:w="50" w:type="dxa"/>
              <w:end w:w="60" w:type="dxa"/>
            </w:tcMar>
          </w:tcPr>
          <w:p>
            <w:pPr>
              <w:spacing w:before="0" w:after="0" w:line="240" w:lineRule="auto"/>
            </w:pPr>
            <w:r>
              <w:rPr>
                <w:b w:val="0"/>
                <w:sz w:val="14"/>
              </w:rPr>
              <w:t>Access and mutability</w:t>
            </w:r>
          </w:p>
        </w:tc>
        <w:tc>
          <w:tcPr>
            <w:tcW w:type="dxa" w:w="3816"/>
            <w:vAlign w:val="center"/>
            <w:tcMar>
              <w:top w:w="50" w:type="dxa"/>
              <w:start w:w="60" w:type="dxa"/>
              <w:bottom w:w="50" w:type="dxa"/>
              <w:end w:w="60" w:type="dxa"/>
            </w:tcMar>
          </w:tcPr>
          <w:p>
            <w:pPr>
              <w:spacing w:before="0" w:after="0" w:line="240" w:lineRule="auto"/>
            </w:pPr>
            <w:r>
              <w:rPr>
                <w:b w:val="0"/>
                <w:sz w:val="14"/>
              </w:rPr>
              <w:t>ReadOnly, ReadMostly, MutableAtStepBoundary, AppendOnly, InPlaceMutable, SingleWriter, MultiReader</w:t>
            </w:r>
          </w:p>
        </w:tc>
        <w:tc>
          <w:tcPr>
            <w:tcW w:type="dxa" w:w="4464"/>
            <w:vAlign w:val="center"/>
            <w:tcMar>
              <w:top w:w="50" w:type="dxa"/>
              <w:start w:w="60" w:type="dxa"/>
              <w:bottom w:w="50" w:type="dxa"/>
              <w:end w:w="60" w:type="dxa"/>
            </w:tcMar>
          </w:tcPr>
          <w:p>
            <w:pPr>
              <w:spacing w:before="0" w:after="0" w:line="240" w:lineRule="auto"/>
            </w:pPr>
            <w:r>
              <w:rPr>
                <w:b w:val="0"/>
                <w:sz w:val="14"/>
              </w:rPr>
              <w:t>Constrains destructive update, aliasing, copy-on-write, replication, version barriers, and buffer reuse.</w:t>
            </w:r>
          </w:p>
        </w:tc>
      </w:tr>
      <w:tr>
        <w:tc>
          <w:tcPr>
            <w:tcW w:type="dxa" w:w="2088"/>
            <w:vAlign w:val="center"/>
            <w:tcMar>
              <w:top w:w="50" w:type="dxa"/>
              <w:start w:w="60" w:type="dxa"/>
              <w:bottom w:w="50" w:type="dxa"/>
              <w:end w:w="60" w:type="dxa"/>
            </w:tcMar>
          </w:tcPr>
          <w:p>
            <w:pPr>
              <w:spacing w:before="0" w:after="0" w:line="240" w:lineRule="auto"/>
            </w:pPr>
            <w:r>
              <w:rPr>
                <w:b w:val="0"/>
                <w:sz w:val="14"/>
              </w:rPr>
              <w:t>Lifecycle and persistence</w:t>
            </w:r>
          </w:p>
        </w:tc>
        <w:tc>
          <w:tcPr>
            <w:tcW w:type="dxa" w:w="3816"/>
            <w:vAlign w:val="center"/>
            <w:tcMar>
              <w:top w:w="50" w:type="dxa"/>
              <w:start w:w="60" w:type="dxa"/>
              <w:bottom w:w="50" w:type="dxa"/>
              <w:end w:w="60" w:type="dxa"/>
            </w:tcMar>
          </w:tcPr>
          <w:p>
            <w:pPr>
              <w:spacing w:before="0" w:after="0" w:line="240" w:lineRule="auto"/>
            </w:pPr>
            <w:r>
              <w:rPr>
                <w:b w:val="0"/>
                <w:sz w:val="14"/>
              </w:rPr>
              <w:t>KernelScoped, LayerScoped, RequestScoped, RLStepScoped, PolicyEpochScoped, JobPersistent, AuditPersistent</w:t>
            </w:r>
          </w:p>
        </w:tc>
        <w:tc>
          <w:tcPr>
            <w:tcW w:type="dxa" w:w="4464"/>
            <w:vAlign w:val="center"/>
            <w:tcMar>
              <w:top w:w="50" w:type="dxa"/>
              <w:start w:w="60" w:type="dxa"/>
              <w:bottom w:w="50" w:type="dxa"/>
              <w:end w:w="60" w:type="dxa"/>
            </w:tcMar>
          </w:tcPr>
          <w:p>
            <w:pPr>
              <w:spacing w:before="0" w:after="0" w:line="240" w:lineRule="auto"/>
            </w:pPr>
            <w:r>
              <w:rPr>
                <w:b w:val="0"/>
                <w:sz w:val="14"/>
              </w:rPr>
              <w:t>Preserves release, checkpoint, retention, and secure-erasure obligations even when the physical representation changes.</w:t>
            </w:r>
          </w:p>
        </w:tc>
      </w:tr>
      <w:tr>
        <w:tc>
          <w:tcPr>
            <w:tcW w:type="dxa" w:w="2088"/>
            <w:vAlign w:val="center"/>
            <w:tcMar>
              <w:top w:w="50" w:type="dxa"/>
              <w:start w:w="60" w:type="dxa"/>
              <w:bottom w:w="50" w:type="dxa"/>
              <w:end w:w="60" w:type="dxa"/>
            </w:tcMar>
          </w:tcPr>
          <w:p>
            <w:pPr>
              <w:spacing w:before="0" w:after="0" w:line="240" w:lineRule="auto"/>
            </w:pPr>
            <w:r>
              <w:rPr>
                <w:b w:val="0"/>
                <w:sz w:val="14"/>
              </w:rPr>
              <w:t>Model and policy compatibility</w:t>
            </w:r>
          </w:p>
        </w:tc>
        <w:tc>
          <w:tcPr>
            <w:tcW w:type="dxa" w:w="3816"/>
            <w:vAlign w:val="center"/>
            <w:tcMar>
              <w:top w:w="50" w:type="dxa"/>
              <w:start w:w="60" w:type="dxa"/>
              <w:bottom w:w="50" w:type="dxa"/>
              <w:end w:w="60" w:type="dxa"/>
            </w:tcMar>
          </w:tcPr>
          <w:p>
            <w:pPr>
              <w:spacing w:before="0" w:after="0" w:line="240" w:lineRule="auto"/>
            </w:pPr>
            <w:r>
              <w:rPr>
                <w:b w:val="0"/>
                <w:sz w:val="14"/>
              </w:rPr>
              <w:t>PolicyVersioned, CheckpointVersioned, TokenAligned, AttentionStateCompatible, DeterministicReplayRequired</w:t>
            </w:r>
          </w:p>
        </w:tc>
        <w:tc>
          <w:tcPr>
            <w:tcW w:type="dxa" w:w="4464"/>
            <w:vAlign w:val="center"/>
            <w:tcMar>
              <w:top w:w="50" w:type="dxa"/>
              <w:start w:w="60" w:type="dxa"/>
              <w:bottom w:w="50" w:type="dxa"/>
              <w:end w:w="60" w:type="dxa"/>
            </w:tcMar>
          </w:tcPr>
          <w:p>
            <w:pPr>
              <w:spacing w:before="0" w:after="0" w:line="240" w:lineRule="auto"/>
            </w:pPr>
            <w:r>
              <w:rPr>
                <w:b w:val="0"/>
                <w:sz w:val="14"/>
              </w:rPr>
              <w:t>Prevents a physically resident but semantically stale tensor from satisfying a consumer.</w:t>
            </w:r>
          </w:p>
        </w:tc>
      </w:tr>
      <w:tr>
        <w:tc>
          <w:tcPr>
            <w:tcW w:type="dxa" w:w="2088"/>
            <w:vAlign w:val="center"/>
            <w:tcMar>
              <w:top w:w="50" w:type="dxa"/>
              <w:start w:w="60" w:type="dxa"/>
              <w:bottom w:w="50" w:type="dxa"/>
              <w:end w:w="60" w:type="dxa"/>
            </w:tcMar>
          </w:tcPr>
          <w:p>
            <w:pPr>
              <w:spacing w:before="0" w:after="0" w:line="240" w:lineRule="auto"/>
            </w:pPr>
            <w:r>
              <w:rPr>
                <w:b w:val="0"/>
                <w:sz w:val="14"/>
              </w:rPr>
              <w:t>Numeric and precision</w:t>
            </w:r>
          </w:p>
        </w:tc>
        <w:tc>
          <w:tcPr>
            <w:tcW w:type="dxa" w:w="3816"/>
            <w:vAlign w:val="center"/>
            <w:tcMar>
              <w:top w:w="50" w:type="dxa"/>
              <w:start w:w="60" w:type="dxa"/>
              <w:bottom w:w="50" w:type="dxa"/>
              <w:end w:w="60" w:type="dxa"/>
            </w:tcMar>
          </w:tcPr>
          <w:p>
            <w:pPr>
              <w:spacing w:before="0" w:after="0" w:line="240" w:lineRule="auto"/>
            </w:pPr>
            <w:r>
              <w:rPr>
                <w:b w:val="0"/>
                <w:sz w:val="14"/>
              </w:rPr>
              <w:t>PrecisionSensitive, AccumulationSensitive, QuantizationPermitted, DequantizationRequired, LossScaleSensitive</w:t>
            </w:r>
          </w:p>
        </w:tc>
        <w:tc>
          <w:tcPr>
            <w:tcW w:type="dxa" w:w="4464"/>
            <w:vAlign w:val="center"/>
            <w:tcMar>
              <w:top w:w="50" w:type="dxa"/>
              <w:start w:w="60" w:type="dxa"/>
              <w:bottom w:w="50" w:type="dxa"/>
              <w:end w:w="60" w:type="dxa"/>
            </w:tcMar>
          </w:tcPr>
          <w:p>
            <w:pPr>
              <w:spacing w:before="0" w:after="0" w:line="240" w:lineRule="auto"/>
            </w:pPr>
            <w:r>
              <w:rPr>
                <w:b w:val="0"/>
                <w:sz w:val="14"/>
              </w:rPr>
              <w:t>Constrains storage/compute/accumulator dtype, quantization legality, protected boundaries, and conformance tests.</w:t>
            </w:r>
          </w:p>
        </w:tc>
      </w:tr>
      <w:tr>
        <w:tc>
          <w:tcPr>
            <w:tcW w:type="dxa" w:w="2088"/>
            <w:vAlign w:val="center"/>
            <w:tcMar>
              <w:top w:w="50" w:type="dxa"/>
              <w:start w:w="60" w:type="dxa"/>
              <w:bottom w:w="50" w:type="dxa"/>
              <w:end w:w="60" w:type="dxa"/>
            </w:tcMar>
          </w:tcPr>
          <w:p>
            <w:pPr>
              <w:spacing w:before="0" w:after="0" w:line="240" w:lineRule="auto"/>
            </w:pPr>
            <w:r>
              <w:rPr>
                <w:b w:val="0"/>
                <w:sz w:val="14"/>
              </w:rPr>
              <w:t>Transformation legality</w:t>
            </w:r>
          </w:p>
        </w:tc>
        <w:tc>
          <w:tcPr>
            <w:tcW w:type="dxa" w:w="3816"/>
            <w:vAlign w:val="center"/>
            <w:tcMar>
              <w:top w:w="50" w:type="dxa"/>
              <w:start w:w="60" w:type="dxa"/>
              <w:bottom w:w="50" w:type="dxa"/>
              <w:end w:w="60" w:type="dxa"/>
            </w:tcMar>
          </w:tcPr>
          <w:p>
            <w:pPr>
              <w:spacing w:before="0" w:after="0" w:line="240" w:lineRule="auto"/>
            </w:pPr>
            <w:r>
              <w:rPr>
                <w:b w:val="0"/>
                <w:sz w:val="14"/>
              </w:rPr>
              <w:t>RecomputationPermitted, AliasPermitted, OffloadPermitted, PrefixReuseEligible, ReorderProhibited, ExportProhibited</w:t>
            </w:r>
          </w:p>
        </w:tc>
        <w:tc>
          <w:tcPr>
            <w:tcW w:type="dxa" w:w="4464"/>
            <w:vAlign w:val="center"/>
            <w:tcMar>
              <w:top w:w="50" w:type="dxa"/>
              <w:start w:w="60" w:type="dxa"/>
              <w:bottom w:w="50" w:type="dxa"/>
              <w:end w:w="60" w:type="dxa"/>
            </w:tcMar>
          </w:tcPr>
          <w:p>
            <w:pPr>
              <w:spacing w:before="0" w:after="0" w:line="240" w:lineRule="auto"/>
            </w:pPr>
            <w:r>
              <w:rPr>
                <w:b w:val="0"/>
                <w:sz w:val="14"/>
              </w:rPr>
              <w:t>States what classes of transformation are legal; it does not state that the compiler has selected a particular transformation.</w:t>
            </w:r>
          </w:p>
        </w:tc>
      </w:tr>
      <w:tr>
        <w:tc>
          <w:tcPr>
            <w:tcW w:type="dxa" w:w="2088"/>
            <w:vAlign w:val="center"/>
            <w:tcMar>
              <w:top w:w="50" w:type="dxa"/>
              <w:start w:w="60" w:type="dxa"/>
              <w:bottom w:w="50" w:type="dxa"/>
              <w:end w:w="60" w:type="dxa"/>
            </w:tcMar>
          </w:tcPr>
          <w:p>
            <w:pPr>
              <w:spacing w:before="0" w:after="0" w:line="240" w:lineRule="auto"/>
            </w:pPr>
            <w:r>
              <w:rPr>
                <w:b w:val="0"/>
                <w:sz w:val="14"/>
              </w:rPr>
              <w:t>Security and governance</w:t>
            </w:r>
          </w:p>
        </w:tc>
        <w:tc>
          <w:tcPr>
            <w:tcW w:type="dxa" w:w="3816"/>
            <w:vAlign w:val="center"/>
            <w:tcMar>
              <w:top w:w="50" w:type="dxa"/>
              <w:start w:w="60" w:type="dxa"/>
              <w:bottom w:w="50" w:type="dxa"/>
              <w:end w:w="60" w:type="dxa"/>
            </w:tcMar>
          </w:tcPr>
          <w:p>
            <w:pPr>
              <w:spacing w:before="0" w:after="0" w:line="240" w:lineRule="auto"/>
            </w:pPr>
            <w:r>
              <w:rPr>
                <w:b w:val="0"/>
                <w:sz w:val="14"/>
              </w:rPr>
              <w:t>Confidential, TenantScoped, RetentionLimited, RedactionRequired, EncryptedAtRest, AuditRequired</w:t>
            </w:r>
          </w:p>
        </w:tc>
        <w:tc>
          <w:tcPr>
            <w:tcW w:type="dxa" w:w="4464"/>
            <w:vAlign w:val="center"/>
            <w:tcMar>
              <w:top w:w="50" w:type="dxa"/>
              <w:start w:w="60" w:type="dxa"/>
              <w:bottom w:w="50" w:type="dxa"/>
              <w:end w:w="60" w:type="dxa"/>
            </w:tcMar>
          </w:tcPr>
          <w:p>
            <w:pPr>
              <w:spacing w:before="0" w:after="0" w:line="240" w:lineRule="auto"/>
            </w:pPr>
            <w:r>
              <w:rPr>
                <w:b w:val="0"/>
                <w:sz w:val="14"/>
              </w:rPr>
              <w:t>Constrains legal destinations, cache sharing, telemetry, persistence, checkpoint export, and release.</w:t>
            </w:r>
          </w:p>
        </w:tc>
      </w:tr>
    </w:tbl>
    <w:p>
      <w:pPr>
        <w:pStyle w:val="Heading3"/>
      </w:pPr>
      <w:r>
        <w:t>9.4.3 Representative RL Tensor Trait Profiles</w:t>
      </w:r>
    </w:p>
    <w:tbl>
      <w:tblPr>
        <w:tblStyle w:val="TableGrid"/>
        <w:tblW w:type="auto" w:w="0"/>
        <w:tblLayout w:type="autofit"/>
        <w:tblLook w:firstColumn="1" w:firstRow="1" w:lastColumn="0" w:lastRow="0" w:noHBand="0" w:noVBand="1" w:val="04A0"/>
      </w:tblPr>
      <w:tblGrid>
        <w:gridCol w:w="2484"/>
        <w:gridCol w:w="2484"/>
        <w:gridCol w:w="2484"/>
        <w:gridCol w:w="2484"/>
      </w:tblGrid>
      <w:tr>
        <w:trPr>
          <w:tblHeader w:val="true"/>
        </w:trPr>
        <w:tc>
          <w:tcPr>
            <w:tcW w:type="dxa" w:w="1728"/>
            <w:vAlign w:val="center"/>
            <w:tcMar>
              <w:top w:w="50" w:type="dxa"/>
              <w:start w:w="60" w:type="dxa"/>
              <w:bottom w:w="50" w:type="dxa"/>
              <w:end w:w="60" w:type="dxa"/>
            </w:tcMar>
            <w:shd w:fill="D9EAF7"/>
          </w:tcPr>
          <w:p>
            <w:pPr>
              <w:spacing w:before="0" w:after="0" w:line="240" w:lineRule="auto"/>
            </w:pPr>
            <w:r>
              <w:rPr>
                <w:b/>
                <w:sz w:val="14"/>
              </w:rPr>
              <w:t>Tensor entity</w:t>
            </w:r>
          </w:p>
        </w:tc>
        <w:tc>
          <w:tcPr>
            <w:tcW w:type="dxa" w:w="3240"/>
            <w:vAlign w:val="center"/>
            <w:tcMar>
              <w:top w:w="50" w:type="dxa"/>
              <w:start w:w="60" w:type="dxa"/>
              <w:bottom w:w="50" w:type="dxa"/>
              <w:end w:w="60" w:type="dxa"/>
            </w:tcMar>
            <w:shd w:fill="D9EAF7"/>
          </w:tcPr>
          <w:p>
            <w:pPr>
              <w:spacing w:before="0" w:after="0" w:line="240" w:lineRule="auto"/>
            </w:pPr>
            <w:r>
              <w:rPr>
                <w:b/>
                <w:sz w:val="14"/>
              </w:rPr>
              <w:t>Durable semantic / legality traits</w:t>
            </w:r>
          </w:p>
        </w:tc>
        <w:tc>
          <w:tcPr>
            <w:tcW w:type="dxa" w:w="3384"/>
            <w:vAlign w:val="center"/>
            <w:tcMar>
              <w:top w:w="50" w:type="dxa"/>
              <w:start w:w="60" w:type="dxa"/>
              <w:bottom w:w="50" w:type="dxa"/>
              <w:end w:w="60" w:type="dxa"/>
            </w:tcMar>
            <w:shd w:fill="D9EAF7"/>
          </w:tcPr>
          <w:p>
            <w:pPr>
              <w:spacing w:before="0" w:after="0" w:line="240" w:lineRule="auto"/>
            </w:pPr>
            <w:r>
              <w:rPr>
                <w:b/>
                <w:sz w:val="14"/>
              </w:rPr>
              <w:t>Derived facts or deferred plans (not traits)</w:t>
            </w:r>
          </w:p>
        </w:tc>
        <w:tc>
          <w:tcPr>
            <w:tcW w:type="dxa" w:w="2880"/>
            <w:vAlign w:val="center"/>
            <w:tcMar>
              <w:top w:w="50" w:type="dxa"/>
              <w:start w:w="60" w:type="dxa"/>
              <w:bottom w:w="50" w:type="dxa"/>
              <w:end w:w="60" w:type="dxa"/>
            </w:tcMar>
            <w:shd w:fill="D9EAF7"/>
          </w:tcPr>
          <w:p>
            <w:pPr>
              <w:spacing w:before="0" w:after="0" w:line="240" w:lineRule="auto"/>
            </w:pPr>
            <w:r>
              <w:rPr>
                <w:b/>
                <w:sz w:val="14"/>
              </w:rPr>
              <w:t>Compiler consequence</w:t>
            </w:r>
          </w:p>
        </w:tc>
      </w:tr>
      <w:tr>
        <w:tc>
          <w:tcPr>
            <w:tcW w:type="dxa" w:w="1728"/>
            <w:vAlign w:val="center"/>
            <w:tcMar>
              <w:top w:w="50" w:type="dxa"/>
              <w:start w:w="60" w:type="dxa"/>
              <w:bottom w:w="50" w:type="dxa"/>
              <w:end w:w="60" w:type="dxa"/>
            </w:tcMar>
          </w:tcPr>
          <w:p>
            <w:pPr>
              <w:spacing w:before="0" w:after="0" w:line="240" w:lineRule="auto"/>
            </w:pPr>
            <w:r>
              <w:rPr>
                <w:b w:val="0"/>
                <w:sz w:val="14"/>
              </w:rPr>
              <w:t>Actor weight shard</w:t>
            </w:r>
          </w:p>
        </w:tc>
        <w:tc>
          <w:tcPr>
            <w:tcW w:type="dxa" w:w="3240"/>
            <w:vAlign w:val="center"/>
            <w:tcMar>
              <w:top w:w="50" w:type="dxa"/>
              <w:start w:w="60" w:type="dxa"/>
              <w:bottom w:w="50" w:type="dxa"/>
              <w:end w:w="60" w:type="dxa"/>
            </w:tcMar>
          </w:tcPr>
          <w:p>
            <w:pPr>
              <w:spacing w:before="0" w:after="0" w:line="240" w:lineRule="auto"/>
            </w:pPr>
            <w:r>
              <w:rPr>
                <w:b w:val="0"/>
                <w:sz w:val="14"/>
              </w:rPr>
              <w:t>Parameter; ReadMostly; MutableAtStepBoundary; PolicyVersioned; QuantizationPermitted; JobPersistent; Confidential</w:t>
            </w:r>
          </w:p>
        </w:tc>
        <w:tc>
          <w:tcPr>
            <w:tcW w:type="dxa" w:w="3384"/>
            <w:vAlign w:val="center"/>
            <w:tcMar>
              <w:top w:w="50" w:type="dxa"/>
              <w:start w:w="60" w:type="dxa"/>
              <w:bottom w:w="50" w:type="dxa"/>
              <w:end w:w="60" w:type="dxa"/>
            </w:tcMar>
          </w:tcPr>
          <w:p>
            <w:pPr>
              <w:spacing w:before="0" w:after="0" w:line="240" w:lineRule="auto"/>
            </w:pPr>
            <w:r>
              <w:rPr>
                <w:b w:val="0"/>
                <w:sz w:val="14"/>
              </w:rPr>
              <w:t>Observed reuse, selected TP/PP mapping, HBM placement, rollout-copy precision, weight-sync schedule</w:t>
            </w:r>
          </w:p>
        </w:tc>
        <w:tc>
          <w:tcPr>
            <w:tcW w:type="dxa" w:w="2880"/>
            <w:vAlign w:val="center"/>
            <w:tcMar>
              <w:top w:w="50" w:type="dxa"/>
              <w:start w:w="60" w:type="dxa"/>
              <w:bottom w:w="50" w:type="dxa"/>
              <w:end w:w="60" w:type="dxa"/>
            </w:tcMar>
          </w:tcPr>
          <w:p>
            <w:pPr>
              <w:spacing w:before="0" w:after="0" w:line="240" w:lineRule="auto"/>
            </w:pPr>
            <w:r>
              <w:rPr>
                <w:b w:val="0"/>
                <w:sz w:val="14"/>
              </w:rPr>
              <w:t>Keep semantic and version contracts stable while comparing co-residency, sharding, quantized-copy, and synchronization plans.</w:t>
            </w:r>
          </w:p>
        </w:tc>
      </w:tr>
      <w:tr>
        <w:tc>
          <w:tcPr>
            <w:tcW w:type="dxa" w:w="1728"/>
            <w:vAlign w:val="center"/>
            <w:tcMar>
              <w:top w:w="50" w:type="dxa"/>
              <w:start w:w="60" w:type="dxa"/>
              <w:bottom w:w="50" w:type="dxa"/>
              <w:end w:w="60" w:type="dxa"/>
            </w:tcMar>
          </w:tcPr>
          <w:p>
            <w:pPr>
              <w:spacing w:before="0" w:after="0" w:line="240" w:lineRule="auto"/>
            </w:pPr>
            <w:r>
              <w:rPr>
                <w:b w:val="0"/>
                <w:sz w:val="14"/>
              </w:rPr>
              <w:t>KV cache page</w:t>
            </w:r>
          </w:p>
        </w:tc>
        <w:tc>
          <w:tcPr>
            <w:tcW w:type="dxa" w:w="3240"/>
            <w:vAlign w:val="center"/>
            <w:tcMar>
              <w:top w:w="50" w:type="dxa"/>
              <w:start w:w="60" w:type="dxa"/>
              <w:bottom w:w="50" w:type="dxa"/>
              <w:end w:w="60" w:type="dxa"/>
            </w:tcMar>
          </w:tcPr>
          <w:p>
            <w:pPr>
              <w:spacing w:before="0" w:after="0" w:line="240" w:lineRule="auto"/>
            </w:pPr>
            <w:r>
              <w:rPr>
                <w:b w:val="0"/>
                <w:sz w:val="14"/>
              </w:rPr>
              <w:t>RuntimeState; KVState; AppendOnly; RequestScoped; PrefixReuseEligible; Confidential</w:t>
            </w:r>
          </w:p>
        </w:tc>
        <w:tc>
          <w:tcPr>
            <w:tcW w:type="dxa" w:w="3384"/>
            <w:vAlign w:val="center"/>
            <w:tcMar>
              <w:top w:w="50" w:type="dxa"/>
              <w:start w:w="60" w:type="dxa"/>
              <w:bottom w:w="50" w:type="dxa"/>
              <w:end w:w="60" w:type="dxa"/>
            </w:tcMar>
          </w:tcPr>
          <w:p>
            <w:pPr>
              <w:spacing w:before="0" w:after="0" w:line="240" w:lineRule="auto"/>
            </w:pPr>
            <w:r>
              <w:rPr>
                <w:b w:val="0"/>
                <w:sz w:val="14"/>
              </w:rPr>
              <w:t>Prefix-hit probability, selected paging geometry, owner ranks, current HBM pressure, eviction priority</w:t>
            </w:r>
          </w:p>
        </w:tc>
        <w:tc>
          <w:tcPr>
            <w:tcW w:type="dxa" w:w="2880"/>
            <w:vAlign w:val="center"/>
            <w:tcMar>
              <w:top w:w="50" w:type="dxa"/>
              <w:start w:w="60" w:type="dxa"/>
              <w:bottom w:w="50" w:type="dxa"/>
              <w:end w:w="60" w:type="dxa"/>
            </w:tcMar>
          </w:tcPr>
          <w:p>
            <w:pPr>
              <w:spacing w:before="0" w:after="0" w:line="240" w:lineRule="auto"/>
            </w:pPr>
            <w:r>
              <w:rPr>
                <w:b w:val="0"/>
                <w:sz w:val="14"/>
              </w:rPr>
              <w:t>Reuse is legal only under model/tokenizer/security contracts; allocation and eviction remain plan/runtime decisions.</w:t>
            </w:r>
          </w:p>
        </w:tc>
      </w:tr>
      <w:tr>
        <w:tc>
          <w:tcPr>
            <w:tcW w:type="dxa" w:w="1728"/>
            <w:vAlign w:val="center"/>
            <w:tcMar>
              <w:top w:w="50" w:type="dxa"/>
              <w:start w:w="60" w:type="dxa"/>
              <w:bottom w:w="50" w:type="dxa"/>
              <w:end w:w="60" w:type="dxa"/>
            </w:tcMar>
          </w:tcPr>
          <w:p>
            <w:pPr>
              <w:spacing w:before="0" w:after="0" w:line="240" w:lineRule="auto"/>
            </w:pPr>
            <w:r>
              <w:rPr>
                <w:b w:val="0"/>
                <w:sz w:val="14"/>
              </w:rPr>
              <w:t>Logits</w:t>
            </w:r>
          </w:p>
        </w:tc>
        <w:tc>
          <w:tcPr>
            <w:tcW w:type="dxa" w:w="3240"/>
            <w:vAlign w:val="center"/>
            <w:tcMar>
              <w:top w:w="50" w:type="dxa"/>
              <w:start w:w="60" w:type="dxa"/>
              <w:bottom w:w="50" w:type="dxa"/>
              <w:end w:w="60" w:type="dxa"/>
            </w:tcMar>
          </w:tcPr>
          <w:p>
            <w:pPr>
              <w:spacing w:before="0" w:after="0" w:line="240" w:lineRule="auto"/>
            </w:pPr>
            <w:r>
              <w:rPr>
                <w:b w:val="0"/>
                <w:sz w:val="14"/>
              </w:rPr>
              <w:t>Logits; PrecisionSensitive; ReorderProhibited; ExportProhibited; LayerScoped</w:t>
            </w:r>
          </w:p>
        </w:tc>
        <w:tc>
          <w:tcPr>
            <w:tcW w:type="dxa" w:w="3384"/>
            <w:vAlign w:val="center"/>
            <w:tcMar>
              <w:top w:w="50" w:type="dxa"/>
              <w:start w:w="60" w:type="dxa"/>
              <w:bottom w:w="50" w:type="dxa"/>
              <w:end w:w="60" w:type="dxa"/>
            </w:tcMar>
          </w:tcPr>
          <w:p>
            <w:pPr>
              <w:spacing w:before="0" w:after="0" w:line="240" w:lineRule="auto"/>
            </w:pPr>
            <w:r>
              <w:rPr>
                <w:b w:val="0"/>
                <w:sz w:val="14"/>
              </w:rPr>
              <w:t>Vocab-shard plan, fusion candidate, dequantization location, selected accumulator dtype</w:t>
            </w:r>
          </w:p>
        </w:tc>
        <w:tc>
          <w:tcPr>
            <w:tcW w:type="dxa" w:w="2880"/>
            <w:vAlign w:val="center"/>
            <w:tcMar>
              <w:top w:w="50" w:type="dxa"/>
              <w:start w:w="60" w:type="dxa"/>
              <w:bottom w:w="50" w:type="dxa"/>
              <w:end w:w="60" w:type="dxa"/>
            </w:tcMar>
          </w:tcPr>
          <w:p>
            <w:pPr>
              <w:spacing w:before="0" w:after="0" w:line="240" w:lineRule="auto"/>
            </w:pPr>
            <w:r>
              <w:rPr>
                <w:b w:val="0"/>
                <w:sz w:val="14"/>
              </w:rPr>
              <w:t>Permit aggressive late fusion only after sharding and precision facts prove that sampling/logprob semantics remain valid.</w:t>
            </w:r>
          </w:p>
        </w:tc>
      </w:tr>
      <w:tr>
        <w:tc>
          <w:tcPr>
            <w:tcW w:type="dxa" w:w="1728"/>
            <w:vAlign w:val="center"/>
            <w:tcMar>
              <w:top w:w="50" w:type="dxa"/>
              <w:start w:w="60" w:type="dxa"/>
              <w:bottom w:w="50" w:type="dxa"/>
              <w:end w:w="60" w:type="dxa"/>
            </w:tcMar>
          </w:tcPr>
          <w:p>
            <w:pPr>
              <w:spacing w:before="0" w:after="0" w:line="240" w:lineRule="auto"/>
            </w:pPr>
            <w:r>
              <w:rPr>
                <w:b w:val="0"/>
                <w:sz w:val="14"/>
              </w:rPr>
              <w:t>Old actor logprobs</w:t>
            </w:r>
          </w:p>
        </w:tc>
        <w:tc>
          <w:tcPr>
            <w:tcW w:type="dxa" w:w="3240"/>
            <w:vAlign w:val="center"/>
            <w:tcMar>
              <w:top w:w="50" w:type="dxa"/>
              <w:start w:w="60" w:type="dxa"/>
              <w:bottom w:w="50" w:type="dxa"/>
              <w:end w:w="60" w:type="dxa"/>
            </w:tcMar>
          </w:tcPr>
          <w:p>
            <w:pPr>
              <w:spacing w:before="0" w:after="0" w:line="240" w:lineRule="auto"/>
            </w:pPr>
            <w:r>
              <w:rPr>
                <w:b w:val="0"/>
                <w:sz w:val="14"/>
              </w:rPr>
              <w:t>Logprob; ReadOnly; RLStepScoped; PolicyVersioned; DeterministicReplayRequired; AuditRequired; Confidential</w:t>
            </w:r>
          </w:p>
        </w:tc>
        <w:tc>
          <w:tcPr>
            <w:tcW w:type="dxa" w:w="3384"/>
            <w:vAlign w:val="center"/>
            <w:tcMar>
              <w:top w:w="50" w:type="dxa"/>
              <w:start w:w="60" w:type="dxa"/>
              <w:bottom w:w="50" w:type="dxa"/>
              <w:end w:w="60" w:type="dxa"/>
            </w:tcMar>
          </w:tcPr>
          <w:p>
            <w:pPr>
              <w:spacing w:before="0" w:after="0" w:line="240" w:lineRule="auto"/>
            </w:pPr>
            <w:r>
              <w:rPr>
                <w:b w:val="0"/>
                <w:sz w:val="14"/>
              </w:rPr>
              <w:t>Live range, storage tier candidate, compression error estimate, replay demand</w:t>
            </w:r>
          </w:p>
        </w:tc>
        <w:tc>
          <w:tcPr>
            <w:tcW w:type="dxa" w:w="2880"/>
            <w:vAlign w:val="center"/>
            <w:tcMar>
              <w:top w:w="50" w:type="dxa"/>
              <w:start w:w="60" w:type="dxa"/>
              <w:bottom w:w="50" w:type="dxa"/>
              <w:end w:w="60" w:type="dxa"/>
            </w:tcMar>
          </w:tcPr>
          <w:p>
            <w:pPr>
              <w:spacing w:before="0" w:after="0" w:line="240" w:lineRule="auto"/>
            </w:pPr>
            <w:r>
              <w:rPr>
                <w:b w:val="0"/>
                <w:sz w:val="14"/>
              </w:rPr>
              <w:t>Retain through all required update epochs and reject stale-policy or lossy plans outside certified tolerance.</w:t>
            </w:r>
          </w:p>
        </w:tc>
      </w:tr>
      <w:tr>
        <w:tc>
          <w:tcPr>
            <w:tcW w:type="dxa" w:w="1728"/>
            <w:vAlign w:val="center"/>
            <w:tcMar>
              <w:top w:w="50" w:type="dxa"/>
              <w:start w:w="60" w:type="dxa"/>
              <w:bottom w:w="50" w:type="dxa"/>
              <w:end w:w="60" w:type="dxa"/>
            </w:tcMar>
          </w:tcPr>
          <w:p>
            <w:pPr>
              <w:spacing w:before="0" w:after="0" w:line="240" w:lineRule="auto"/>
            </w:pPr>
            <w:r>
              <w:rPr>
                <w:b w:val="0"/>
                <w:sz w:val="14"/>
              </w:rPr>
              <w:t>Saved activation</w:t>
            </w:r>
          </w:p>
        </w:tc>
        <w:tc>
          <w:tcPr>
            <w:tcW w:type="dxa" w:w="3240"/>
            <w:vAlign w:val="center"/>
            <w:tcMar>
              <w:top w:w="50" w:type="dxa"/>
              <w:start w:w="60" w:type="dxa"/>
              <w:bottom w:w="50" w:type="dxa"/>
              <w:end w:w="60" w:type="dxa"/>
            </w:tcMar>
          </w:tcPr>
          <w:p>
            <w:pPr>
              <w:spacing w:before="0" w:after="0" w:line="240" w:lineRule="auto"/>
            </w:pPr>
            <w:r>
              <w:rPr>
                <w:b w:val="0"/>
                <w:sz w:val="14"/>
              </w:rPr>
              <w:t>Activation; LayerScoped; RecomputationPermitted when certified; AliasPermitted only after last use</w:t>
            </w:r>
          </w:p>
        </w:tc>
        <w:tc>
          <w:tcPr>
            <w:tcW w:type="dxa" w:w="3384"/>
            <w:vAlign w:val="center"/>
            <w:tcMar>
              <w:top w:w="50" w:type="dxa"/>
              <w:start w:w="60" w:type="dxa"/>
              <w:bottom w:w="50" w:type="dxa"/>
              <w:end w:w="60" w:type="dxa"/>
            </w:tcMar>
          </w:tcPr>
          <w:p>
            <w:pPr>
              <w:spacing w:before="0" w:after="0" w:line="240" w:lineRule="auto"/>
            </w:pPr>
            <w:r>
              <w:rPr>
                <w:b w:val="0"/>
                <w:sz w:val="14"/>
              </w:rPr>
              <w:t>Recompute cost, last backward use, peak-memory contribution, selected save/rematerialize plan</w:t>
            </w:r>
          </w:p>
        </w:tc>
        <w:tc>
          <w:tcPr>
            <w:tcW w:type="dxa" w:w="2880"/>
            <w:vAlign w:val="center"/>
            <w:tcMar>
              <w:top w:w="50" w:type="dxa"/>
              <w:start w:w="60" w:type="dxa"/>
              <w:bottom w:w="50" w:type="dxa"/>
              <w:end w:w="60" w:type="dxa"/>
            </w:tcMar>
          </w:tcPr>
          <w:p>
            <w:pPr>
              <w:spacing w:before="0" w:after="0" w:line="240" w:lineRule="auto"/>
            </w:pPr>
            <w:r>
              <w:rPr>
                <w:b w:val="0"/>
                <w:sz w:val="14"/>
              </w:rPr>
              <w:t>Choose storage versus rematerialization from derived cost/liveness facts without changing activation semantics.</w:t>
            </w:r>
          </w:p>
        </w:tc>
      </w:tr>
      <w:tr>
        <w:tc>
          <w:tcPr>
            <w:tcW w:type="dxa" w:w="1728"/>
            <w:vAlign w:val="center"/>
            <w:tcMar>
              <w:top w:w="50" w:type="dxa"/>
              <w:start w:w="60" w:type="dxa"/>
              <w:bottom w:w="50" w:type="dxa"/>
              <w:end w:w="60" w:type="dxa"/>
            </w:tcMar>
          </w:tcPr>
          <w:p>
            <w:pPr>
              <w:spacing w:before="0" w:after="0" w:line="240" w:lineRule="auto"/>
            </w:pPr>
            <w:r>
              <w:rPr>
                <w:b w:val="0"/>
                <w:sz w:val="14"/>
              </w:rPr>
              <w:t>Gradient bucket</w:t>
            </w:r>
          </w:p>
        </w:tc>
        <w:tc>
          <w:tcPr>
            <w:tcW w:type="dxa" w:w="3240"/>
            <w:vAlign w:val="center"/>
            <w:tcMar>
              <w:top w:w="50" w:type="dxa"/>
              <w:start w:w="60" w:type="dxa"/>
              <w:bottom w:w="50" w:type="dxa"/>
              <w:end w:w="60" w:type="dxa"/>
            </w:tcMar>
          </w:tcPr>
          <w:p>
            <w:pPr>
              <w:spacing w:before="0" w:after="0" w:line="240" w:lineRule="auto"/>
            </w:pPr>
            <w:r>
              <w:rPr>
                <w:b w:val="0"/>
                <w:sz w:val="14"/>
              </w:rPr>
              <w:t>Gradient; InPlaceMutable; ReductionRequired; ReorderProhibited; ShortLived</w:t>
            </w:r>
          </w:p>
        </w:tc>
        <w:tc>
          <w:tcPr>
            <w:tcW w:type="dxa" w:w="3384"/>
            <w:vAlign w:val="center"/>
            <w:tcMar>
              <w:top w:w="50" w:type="dxa"/>
              <w:start w:w="60" w:type="dxa"/>
              <w:bottom w:w="50" w:type="dxa"/>
              <w:end w:w="60" w:type="dxa"/>
            </w:tcMar>
          </w:tcPr>
          <w:p>
            <w:pPr>
              <w:spacing w:before="0" w:after="0" w:line="240" w:lineRule="auto"/>
            </w:pPr>
            <w:r>
              <w:rPr>
                <w:b w:val="0"/>
                <w:sz w:val="14"/>
              </w:rPr>
              <w:t>Bucket boundaries, selected reduce-scatter stream, readiness event, buffer-reuse point</w:t>
            </w:r>
          </w:p>
        </w:tc>
        <w:tc>
          <w:tcPr>
            <w:tcW w:type="dxa" w:w="2880"/>
            <w:vAlign w:val="center"/>
            <w:tcMar>
              <w:top w:w="50" w:type="dxa"/>
              <w:start w:w="60" w:type="dxa"/>
              <w:bottom w:w="50" w:type="dxa"/>
              <w:end w:w="60" w:type="dxa"/>
            </w:tcMar>
          </w:tcPr>
          <w:p>
            <w:pPr>
              <w:spacing w:before="0" w:after="0" w:line="240" w:lineRule="auto"/>
            </w:pPr>
            <w:r>
              <w:rPr>
                <w:b w:val="0"/>
                <w:sz w:val="14"/>
              </w:rPr>
              <w:t>Materialize packing and collectives only after the communication and overlap plan is certified.</w:t>
            </w:r>
          </w:p>
        </w:tc>
      </w:tr>
      <w:tr>
        <w:tc>
          <w:tcPr>
            <w:tcW w:type="dxa" w:w="1728"/>
            <w:vAlign w:val="center"/>
            <w:tcMar>
              <w:top w:w="50" w:type="dxa"/>
              <w:start w:w="60" w:type="dxa"/>
              <w:bottom w:w="50" w:type="dxa"/>
              <w:end w:w="60" w:type="dxa"/>
            </w:tcMar>
          </w:tcPr>
          <w:p>
            <w:pPr>
              <w:spacing w:before="0" w:after="0" w:line="240" w:lineRule="auto"/>
            </w:pPr>
            <w:r>
              <w:rPr>
                <w:b w:val="0"/>
                <w:sz w:val="14"/>
              </w:rPr>
              <w:t>Optimizer state shard</w:t>
            </w:r>
          </w:p>
        </w:tc>
        <w:tc>
          <w:tcPr>
            <w:tcW w:type="dxa" w:w="3240"/>
            <w:vAlign w:val="center"/>
            <w:tcMar>
              <w:top w:w="50" w:type="dxa"/>
              <w:start w:w="60" w:type="dxa"/>
              <w:bottom w:w="50" w:type="dxa"/>
              <w:end w:w="60" w:type="dxa"/>
            </w:tcMar>
          </w:tcPr>
          <w:p>
            <w:pPr>
              <w:spacing w:before="0" w:after="0" w:line="240" w:lineRule="auto"/>
            </w:pPr>
            <w:r>
              <w:rPr>
                <w:b w:val="0"/>
                <w:sz w:val="14"/>
              </w:rPr>
              <w:t>OptimizerState; MutableAtStepBoundary; PrecisionSensitive; JobPersistent; OffloadPermitted under contract</w:t>
            </w:r>
          </w:p>
        </w:tc>
        <w:tc>
          <w:tcPr>
            <w:tcW w:type="dxa" w:w="3384"/>
            <w:vAlign w:val="center"/>
            <w:tcMar>
              <w:top w:w="50" w:type="dxa"/>
              <w:start w:w="60" w:type="dxa"/>
              <w:bottom w:w="50" w:type="dxa"/>
              <w:end w:w="60" w:type="dxa"/>
            </w:tcMar>
          </w:tcPr>
          <w:p>
            <w:pPr>
              <w:spacing w:before="0" w:after="0" w:line="240" w:lineRule="auto"/>
            </w:pPr>
            <w:r>
              <w:rPr>
                <w:b w:val="0"/>
                <w:sz w:val="14"/>
              </w:rPr>
              <w:t>Selected DP shard, CPU offload candidate, bandwidth estimate, prefetch schedule</w:t>
            </w:r>
          </w:p>
        </w:tc>
        <w:tc>
          <w:tcPr>
            <w:tcW w:type="dxa" w:w="2880"/>
            <w:vAlign w:val="center"/>
            <w:tcMar>
              <w:top w:w="50" w:type="dxa"/>
              <w:start w:w="60" w:type="dxa"/>
              <w:bottom w:w="50" w:type="dxa"/>
              <w:end w:w="60" w:type="dxa"/>
            </w:tcMar>
          </w:tcPr>
          <w:p>
            <w:pPr>
              <w:spacing w:before="0" w:after="0" w:line="240" w:lineRule="auto"/>
            </w:pPr>
            <w:r>
              <w:rPr>
                <w:b w:val="0"/>
                <w:sz w:val="14"/>
              </w:rPr>
              <w:t>Preserve update precision while evaluating sharding and offload as deferred plans.</w:t>
            </w:r>
          </w:p>
        </w:tc>
      </w:tr>
      <w:tr>
        <w:tc>
          <w:tcPr>
            <w:tcW w:type="dxa" w:w="1728"/>
            <w:vAlign w:val="center"/>
            <w:tcMar>
              <w:top w:w="50" w:type="dxa"/>
              <w:start w:w="60" w:type="dxa"/>
              <w:bottom w:w="50" w:type="dxa"/>
              <w:end w:w="60" w:type="dxa"/>
            </w:tcMar>
          </w:tcPr>
          <w:p>
            <w:pPr>
              <w:spacing w:before="0" w:after="0" w:line="240" w:lineRule="auto"/>
            </w:pPr>
            <w:r>
              <w:rPr>
                <w:b w:val="0"/>
                <w:sz w:val="14"/>
              </w:rPr>
              <w:t>MoE dispatch map</w:t>
            </w:r>
          </w:p>
        </w:tc>
        <w:tc>
          <w:tcPr>
            <w:tcW w:type="dxa" w:w="3240"/>
            <w:vAlign w:val="center"/>
            <w:tcMar>
              <w:top w:w="50" w:type="dxa"/>
              <w:start w:w="60" w:type="dxa"/>
              <w:bottom w:w="50" w:type="dxa"/>
              <w:end w:w="60" w:type="dxa"/>
            </w:tcMar>
          </w:tcPr>
          <w:p>
            <w:pPr>
              <w:spacing w:before="0" w:after="0" w:line="240" w:lineRule="auto"/>
            </w:pPr>
            <w:r>
              <w:rPr>
                <w:b w:val="0"/>
                <w:sz w:val="14"/>
              </w:rPr>
              <w:t>RoutingMap; OrderSensitive; ReorderProhibited; LayerScoped; Confidential</w:t>
            </w:r>
          </w:p>
        </w:tc>
        <w:tc>
          <w:tcPr>
            <w:tcW w:type="dxa" w:w="3384"/>
            <w:vAlign w:val="center"/>
            <w:tcMar>
              <w:top w:w="50" w:type="dxa"/>
              <w:start w:w="60" w:type="dxa"/>
              <w:bottom w:w="50" w:type="dxa"/>
              <w:end w:w="60" w:type="dxa"/>
            </w:tcMar>
          </w:tcPr>
          <w:p>
            <w:pPr>
              <w:spacing w:before="0" w:after="0" w:line="240" w:lineRule="auto"/>
            </w:pPr>
            <w:r>
              <w:rPr>
                <w:b w:val="0"/>
                <w:sz w:val="14"/>
              </w:rPr>
              <w:t>Token-count distribution, all-to-all plan, packing layout, hot-expert profile</w:t>
            </w:r>
          </w:p>
        </w:tc>
        <w:tc>
          <w:tcPr>
            <w:tcW w:type="dxa" w:w="2880"/>
            <w:vAlign w:val="center"/>
            <w:tcMar>
              <w:top w:w="50" w:type="dxa"/>
              <w:start w:w="60" w:type="dxa"/>
              <w:bottom w:w="50" w:type="dxa"/>
              <w:end w:w="60" w:type="dxa"/>
            </w:tcMar>
          </w:tcPr>
          <w:p>
            <w:pPr>
              <w:spacing w:before="0" w:after="0" w:line="240" w:lineRule="auto"/>
            </w:pPr>
            <w:r>
              <w:rPr>
                <w:b w:val="0"/>
                <w:sz w:val="14"/>
              </w:rPr>
              <w:t>Keep routing identity visible while delaying concrete dispatch, packing, and expert-placement transformations.</w:t>
            </w:r>
          </w:p>
        </w:tc>
      </w:tr>
      <w:tr>
        <w:tc>
          <w:tcPr>
            <w:tcW w:type="dxa" w:w="1728"/>
            <w:vAlign w:val="center"/>
            <w:tcMar>
              <w:top w:w="50" w:type="dxa"/>
              <w:start w:w="60" w:type="dxa"/>
              <w:bottom w:w="50" w:type="dxa"/>
              <w:end w:w="60" w:type="dxa"/>
            </w:tcMar>
          </w:tcPr>
          <w:p>
            <w:pPr>
              <w:spacing w:before="0" w:after="0" w:line="240" w:lineRule="auto"/>
            </w:pPr>
            <w:r>
              <w:rPr>
                <w:b w:val="0"/>
                <w:sz w:val="14"/>
              </w:rPr>
              <w:t>Reward / verifier result</w:t>
            </w:r>
          </w:p>
        </w:tc>
        <w:tc>
          <w:tcPr>
            <w:tcW w:type="dxa" w:w="3240"/>
            <w:vAlign w:val="center"/>
            <w:tcMar>
              <w:top w:w="50" w:type="dxa"/>
              <w:start w:w="60" w:type="dxa"/>
              <w:bottom w:w="50" w:type="dxa"/>
              <w:end w:w="60" w:type="dxa"/>
            </w:tcMar>
          </w:tcPr>
          <w:p>
            <w:pPr>
              <w:spacing w:before="0" w:after="0" w:line="240" w:lineRule="auto"/>
            </w:pPr>
            <w:r>
              <w:rPr>
                <w:b w:val="0"/>
                <w:sz w:val="14"/>
              </w:rPr>
              <w:t>Reward or AuditEvidence; ReadOnly; RLStepScoped; PrecisionSensitive; AuditRequired</w:t>
            </w:r>
          </w:p>
        </w:tc>
        <w:tc>
          <w:tcPr>
            <w:tcW w:type="dxa" w:w="3384"/>
            <w:vAlign w:val="center"/>
            <w:tcMar>
              <w:top w:w="50" w:type="dxa"/>
              <w:start w:w="60" w:type="dxa"/>
              <w:bottom w:w="50" w:type="dxa"/>
              <w:end w:w="60" w:type="dxa"/>
            </w:tcMar>
          </w:tcPr>
          <w:p>
            <w:pPr>
              <w:spacing w:before="0" w:after="0" w:line="240" w:lineRule="auto"/>
            </w:pPr>
            <w:r>
              <w:rPr>
                <w:b w:val="0"/>
                <w:sz w:val="14"/>
              </w:rPr>
              <w:t>Live range, asynchronous audit-copy plan, selected persistence tier</w:t>
            </w:r>
          </w:p>
        </w:tc>
        <w:tc>
          <w:tcPr>
            <w:tcW w:type="dxa" w:w="2880"/>
            <w:vAlign w:val="center"/>
            <w:tcMar>
              <w:top w:w="50" w:type="dxa"/>
              <w:start w:w="60" w:type="dxa"/>
              <w:bottom w:w="50" w:type="dxa"/>
              <w:end w:w="60" w:type="dxa"/>
            </w:tcMar>
          </w:tcPr>
          <w:p>
            <w:pPr>
              <w:spacing w:before="0" w:after="0" w:line="240" w:lineRule="auto"/>
            </w:pPr>
            <w:r>
              <w:rPr>
                <w:b w:val="0"/>
                <w:sz w:val="14"/>
              </w:rPr>
              <w:t>Use immediately in loss construction and separately plan governed persistence without weakening the semantic evidence contract.</w:t>
            </w:r>
          </w:p>
        </w:tc>
      </w:tr>
    </w:tbl>
    <w:p>
      <w:pPr>
        <w:pStyle w:val="Heading3"/>
      </w:pPr>
      <w:r>
        <w:t>9.4.4 Trait Propagation, Refinement, and Conflict Resolution</w:t>
      </w:r>
    </w:p>
    <w:p>
      <w:pPr/>
      <w:r>
        <w:t>Trait propagation is an explicit compiler service, but it applies only to durable semantic and legality contracts. Semantic, versioning, and security traits normally survive copying, sharding, layout conversion, memory movement, and target lowering. A semantic conversion may refine the trait set only through a registered contract. Placement, layout, partiality, readiness, selected sharding, reuse distance, fusion candidacy, tile shape, memory pressure, and profitability are derived or planned states and must use the Section 9.4 buckets with independent dependency and invalidation rules.</w:t>
      </w:r>
    </w:p>
    <w:p>
      <w:pPr>
        <w:pStyle w:val="CodeBlock"/>
      </w:pPr>
      <w:r>
        <w:t>Durable trait rules:</w:t>
        <w:br/>
        <w:t xml:space="preserve">  attach semantic, lifecycle, versioning, precision, and security contracts before optimization</w:t>
        <w:br/>
        <w:t xml:space="preserve">  do not encode selected placement, layout, sharding, tiling, fusion, reuse distance, or cost as traits</w:t>
        <w:br/>
        <w:t xml:space="preserve">  preserve semantic traits across copy, reshard, layout cast, memory movement, and backend lowering</w:t>
        <w:br/>
        <w:t xml:space="preserve">  refine or remove a trait only through an explicit semantic or legality contract</w:t>
        <w:br/>
        <w:t xml:space="preserve">  treat a missing legality trait as lack of permission, not as permission</w:t>
        <w:br/>
        <w:t xml:space="preserve">  invalidate derived facts and plans when their dependencies change; do not mutate durable traits</w:t>
        <w:br/>
        <w:t xml:space="preserve">  reject conflicts such as ReadOnly + destructive update, Confidential + unencrypted spill,</w:t>
        <w:br/>
        <w:t xml:space="preserve">    or PrecisionSensitive + uncertified low-precision materialization</w:t>
      </w:r>
    </w:p>
    <w:p>
      <w:pPr/>
      <w:r>
        <w:t>Gatekeeper position. Trait verification establishes the durable legality envelope. Derived analyses determine what is possible and profitable inside that envelope; plans record candidate or selected decisions; explicit commit passes materialize the decision. This separation preserves long-term application information while allowing analysis knowledge to evolve or be invalidated independently.</w:t>
      </w:r>
    </w:p>
    <w:p>
      <w:pPr>
        <w:pStyle w:val="Heading2"/>
      </w:pPr>
      <w:r>
        <w:t>9.5 Tensor Availability, Ownership, Completeness, and Version</w:t>
      </w:r>
    </w:p>
    <w:p>
      <w:r>
        <w:t>For LLM inference and RL post-training, physical residency is not sufficient to make a tensor consumable. A value may be local but incomplete, stale, not yet synchronized, associated with the wrong actor-policy epoch, or outside the consumer security scope. TensorAvailabilityIR makes these conditions first-class and causes communication, prefetch, reduction, dequantization, page-in, rematerialization, or weight synchronization to be derived from unmet consumer requirements.</w:t>
      </w:r>
    </w:p>
    <w:p>
      <w:pPr>
        <w:pStyle w:val="CodeBlock"/>
      </w:pPr>
      <w:r>
        <w:t>TensorAvailabilityIR {</w:t>
        <w:br/>
        <w:t xml:space="preserve">  tensor_id</w:t>
        <w:br/>
        <w:t xml:space="preserve">  logical_region</w:t>
        <w:br/>
        <w:t xml:space="preserve">  owner_set</w:t>
        <w:br/>
        <w:t xml:space="preserve">  replica_set</w:t>
        <w:br/>
        <w:t xml:space="preserve">  current_mapping</w:t>
        <w:br/>
        <w:t xml:space="preserve">  memory_tier</w:t>
        <w:br/>
        <w:t xml:space="preserve">  value_state: complete | partial | stale | materializing | ready</w:t>
        <w:br/>
        <w:t xml:space="preserve">  version: {model_epoch, policy_epoch, checkpoint_epoch}</w:t>
        <w:br/>
        <w:t xml:space="preserve">  readiness_event</w:t>
        <w:br/>
        <w:t xml:space="preserve">  valid_from</w:t>
        <w:br/>
        <w:t xml:space="preserve">  valid_until</w:t>
        <w:br/>
        <w:t xml:space="preserve">  consumer_scope</w:t>
        <w:br/>
        <w:t xml:space="preserve">  confidentiality_scope</w:t>
        <w:br/>
        <w:t>}</w:t>
      </w:r>
    </w:p>
    <w:tbl>
      <w:tblPr>
        <w:tblStyle w:val="TableGrid"/>
        <w:tblW w:type="auto" w:w="0"/>
        <w:tblLayout w:type="autofit"/>
        <w:tblLook w:firstColumn="1" w:firstRow="1" w:lastColumn="0" w:lastRow="0" w:noHBand="0" w:noVBand="1" w:val="04A0"/>
      </w:tblPr>
      <w:tblGrid>
        <w:gridCol w:w="3312"/>
        <w:gridCol w:w="3312"/>
        <w:gridCol w:w="3312"/>
      </w:tblGrid>
      <w:tr>
        <w:trPr>
          <w:tblHeader w:val="true"/>
        </w:trPr>
        <w:tc>
          <w:tcPr>
            <w:tcW w:type="dxa" w:w="3312"/>
          </w:tcPr>
          <w:p>
            <w:r>
              <w:rPr>
                <w:b/>
              </w:rPr>
              <w:t>Availability question</w:t>
            </w:r>
          </w:p>
        </w:tc>
        <w:tc>
          <w:tcPr>
            <w:tcW w:type="dxa" w:w="3312"/>
          </w:tcPr>
          <w:p>
            <w:r>
              <w:rPr>
                <w:b/>
              </w:rPr>
              <w:t>Required information</w:t>
            </w:r>
          </w:p>
        </w:tc>
        <w:tc>
          <w:tcPr>
            <w:tcW w:type="dxa" w:w="3312"/>
          </w:tcPr>
          <w:p>
            <w:r>
              <w:rPr>
                <w:b/>
              </w:rPr>
              <w:t>Typical synthesized transition</w:t>
            </w:r>
          </w:p>
        </w:tc>
      </w:tr>
      <w:tr>
        <w:tc>
          <w:tcPr>
            <w:tcW w:type="dxa" w:w="3312"/>
          </w:tcPr>
          <w:p>
            <w:r>
              <w:t>Is the required logical region local?</w:t>
            </w:r>
          </w:p>
        </w:tc>
        <w:tc>
          <w:tcPr>
            <w:tcW w:type="dxa" w:w="3312"/>
          </w:tcPr>
          <w:p>
            <w:r>
              <w:t>owner/replica set, axis map, requested region</w:t>
            </w:r>
          </w:p>
        </w:tc>
        <w:tc>
          <w:tcPr>
            <w:tcW w:type="dxa" w:w="3312"/>
          </w:tcPr>
          <w:p>
            <w:r>
              <w:t>all-gather, all-to-all, send/receive, page-in</w:t>
            </w:r>
          </w:p>
        </w:tc>
      </w:tr>
      <w:tr>
        <w:tc>
          <w:tcPr>
            <w:tcW w:type="dxa" w:w="3312"/>
          </w:tcPr>
          <w:p>
            <w:r>
              <w:t>Is the value complete?</w:t>
            </w:r>
          </w:p>
        </w:tc>
        <w:tc>
          <w:tcPr>
            <w:tcW w:type="dxa" w:w="3312"/>
          </w:tcPr>
          <w:p>
            <w:r>
              <w:t>partial axis, reduction operator/group</w:t>
            </w:r>
          </w:p>
        </w:tc>
        <w:tc>
          <w:tcPr>
            <w:tcW w:type="dxa" w:w="3312"/>
          </w:tcPr>
          <w:p>
            <w:r>
              <w:t>all-reduce, reduce-scatter, combine/restore-order</w:t>
            </w:r>
          </w:p>
        </w:tc>
      </w:tr>
      <w:tr>
        <w:tc>
          <w:tcPr>
            <w:tcW w:type="dxa" w:w="3312"/>
          </w:tcPr>
          <w:p>
            <w:r>
              <w:t>Is the value current?</w:t>
            </w:r>
          </w:p>
        </w:tc>
        <w:tc>
          <w:tcPr>
            <w:tcW w:type="dxa" w:w="3312"/>
          </w:tcPr>
          <w:p>
            <w:r>
              <w:t>model, policy, checkpoint, adapter and calibration epochs</w:t>
            </w:r>
          </w:p>
        </w:tc>
        <w:tc>
          <w:tcPr>
            <w:tcW w:type="dxa" w:w="3312"/>
          </w:tcPr>
          <w:p>
            <w:r>
              <w:t>weight synchronization, cache invalidation, checkpoint refresh</w:t>
            </w:r>
          </w:p>
        </w:tc>
      </w:tr>
      <w:tr>
        <w:tc>
          <w:tcPr>
            <w:tcW w:type="dxa" w:w="3312"/>
          </w:tcPr>
          <w:p>
            <w:r>
              <w:t>Is the precision legal?</w:t>
            </w:r>
          </w:p>
        </w:tc>
        <w:tc>
          <w:tcPr>
            <w:tcW w:type="dxa" w:w="3312"/>
          </w:tcPr>
          <w:p>
            <w:r>
              <w:t>storage/compute/accumulator dtype and protected boundaries</w:t>
            </w:r>
          </w:p>
        </w:tc>
        <w:tc>
          <w:tcPr>
            <w:tcW w:type="dxa" w:w="3312"/>
          </w:tcPr>
          <w:p>
            <w:r>
              <w:t>dequantize, cast, higher-precision recomputation</w:t>
            </w:r>
          </w:p>
        </w:tc>
      </w:tr>
      <w:tr>
        <w:tc>
          <w:tcPr>
            <w:tcW w:type="dxa" w:w="3312"/>
          </w:tcPr>
          <w:p>
            <w:r>
              <w:t>Is the value ready?</w:t>
            </w:r>
          </w:p>
        </w:tc>
        <w:tc>
          <w:tcPr>
            <w:tcW w:type="dxa" w:w="3312"/>
          </w:tcPr>
          <w:p>
            <w:r>
              <w:t>stream/event/collective/barrier dependency</w:t>
            </w:r>
          </w:p>
        </w:tc>
        <w:tc>
          <w:tcPr>
            <w:tcW w:type="dxa" w:w="3312"/>
          </w:tcPr>
          <w:p>
            <w:r>
              <w:t>wait event, barrier, queue dependency, runtime guard</w:t>
            </w:r>
          </w:p>
        </w:tc>
      </w:tr>
      <w:tr>
        <w:tc>
          <w:tcPr>
            <w:tcW w:type="dxa" w:w="3312"/>
          </w:tcPr>
          <w:p>
            <w:r>
              <w:t>Is the movement permitted?</w:t>
            </w:r>
          </w:p>
        </w:tc>
        <w:tc>
          <w:tcPr>
            <w:tcW w:type="dxa" w:w="3312"/>
          </w:tcPr>
          <w:p>
            <w:r>
              <w:t>confidentiality, tenant, retention and export contracts</w:t>
            </w:r>
          </w:p>
        </w:tc>
        <w:tc>
          <w:tcPr>
            <w:tcW w:type="dxa" w:w="3312"/>
          </w:tcPr>
          <w:p>
            <w:r>
              <w:t>encrypted staging, local-only placement, reject movement</w:t>
            </w:r>
          </w:p>
        </w:tc>
      </w:tr>
    </w:tbl>
    <w:p>
      <w:r>
        <w:t>Availability is consumer-relative. The same tensor may be ready for a local diagnostic consumer yet unavailable for a rollout engine that requires a newer policy epoch or a complete replicated view. Availability transitions must preserve semantic identity and record their cause in TensorEvolutionRecord.</w:t>
      </w:r>
    </w:p>
    <w:p>
      <w:pPr>
        <w:pStyle w:val="Heading2"/>
      </w:pPr>
      <w:r>
        <w:t>9.6 Lifetime, Alias, and Recomputability Contracts</w:t>
      </w:r>
    </w:p>
    <w:p>
      <w:r>
        <w:t>The compiler should classify each entity by lifetime before placement or reuse. Lifetime classification controls peak-memory accounting, alias legality, spill/offload decisions, confidentiality retention, checkpointing, and the earliest safe release point.</w:t>
      </w:r>
    </w:p>
    <w:tbl>
      <w:tblPr>
        <w:tblStyle w:val="TableGrid"/>
        <w:tblW w:type="auto" w:w="0"/>
        <w:jc w:val="center"/>
        <w:tblLayout w:type="fixed"/>
        <w:tblLook w:firstColumn="1" w:firstRow="1" w:lastColumn="0" w:lastRow="0" w:noHBand="0" w:noVBand="1" w:val="04A0"/>
      </w:tblPr>
      <w:tblGrid>
        <w:gridCol w:w="3312"/>
        <w:gridCol w:w="3312"/>
        <w:gridCol w:w="3312"/>
      </w:tblGrid>
      <w:tr>
        <w:trPr>
          <w:tblHeader w:val="true"/>
          <w:cantSplit/>
        </w:trPr>
        <w:tc>
          <w:tcPr>
            <w:tcW w:type="dxa" w:w="1800"/>
            <w:shd w:fill="D9EAF7"/>
            <w:vAlign w:val="top"/>
          </w:tcPr>
          <w:p>
            <w:pPr>
              <w:spacing w:after="0" w:before="0" w:line="240" w:lineRule="auto"/>
            </w:pPr>
            <w:r>
              <w:rPr>
                <w:rFonts w:ascii="Aptos" w:hAnsi="Aptos"/>
                <w:b/>
                <w:sz w:val="15"/>
              </w:rPr>
              <w:t>Lifetime class</w:t>
            </w:r>
          </w:p>
        </w:tc>
        <w:tc>
          <w:tcPr>
            <w:tcW w:type="dxa" w:w="3384"/>
            <w:shd w:fill="D9EAF7"/>
            <w:vAlign w:val="top"/>
          </w:tcPr>
          <w:p>
            <w:pPr>
              <w:spacing w:after="0" w:before="0" w:line="240" w:lineRule="auto"/>
            </w:pPr>
            <w:r>
              <w:rPr>
                <w:rFonts w:ascii="Aptos" w:hAnsi="Aptos"/>
                <w:b/>
                <w:sz w:val="15"/>
              </w:rPr>
              <w:t>Representative entities</w:t>
            </w:r>
          </w:p>
        </w:tc>
        <w:tc>
          <w:tcPr>
            <w:tcW w:type="dxa" w:w="4320"/>
            <w:shd w:fill="D9EAF7"/>
            <w:vAlign w:val="top"/>
          </w:tcPr>
          <w:p>
            <w:pPr>
              <w:spacing w:after="0" w:before="0" w:line="240" w:lineRule="auto"/>
            </w:pPr>
            <w:r>
              <w:rPr>
                <w:rFonts w:ascii="Aptos" w:hAnsi="Aptos"/>
                <w:b/>
                <w:sz w:val="15"/>
              </w:rPr>
              <w:t>Compiler obligation</w:t>
            </w:r>
          </w:p>
        </w:tc>
      </w:tr>
      <w:tr>
        <w:trPr>
          <w:cantSplit/>
        </w:trPr>
        <w:tc>
          <w:tcPr>
            <w:tcW w:type="dxa" w:w="1800"/>
            <w:vAlign w:val="top"/>
          </w:tcPr>
          <w:p>
            <w:pPr>
              <w:spacing w:after="0" w:before="0" w:line="240" w:lineRule="auto"/>
            </w:pPr>
            <w:r>
              <w:rPr>
                <w:rFonts w:ascii="Aptos" w:hAnsi="Aptos"/>
                <w:b w:val="0"/>
                <w:sz w:val="15"/>
              </w:rPr>
              <w:t>Persistent job lifetime</w:t>
            </w:r>
          </w:p>
        </w:tc>
        <w:tc>
          <w:tcPr>
            <w:tcW w:type="dxa" w:w="3384"/>
            <w:vAlign w:val="top"/>
          </w:tcPr>
          <w:p>
            <w:pPr>
              <w:spacing w:after="0" w:before="0" w:line="240" w:lineRule="auto"/>
            </w:pPr>
            <w:r>
              <w:rPr>
                <w:rFonts w:ascii="Aptos" w:hAnsi="Aptos"/>
                <w:b w:val="0"/>
                <w:sz w:val="15"/>
              </w:rPr>
              <w:t>Actor, reference and reward weights; optimizer state; master parameters</w:t>
            </w:r>
          </w:p>
        </w:tc>
        <w:tc>
          <w:tcPr>
            <w:tcW w:type="dxa" w:w="4320"/>
            <w:vAlign w:val="top"/>
          </w:tcPr>
          <w:p>
            <w:pPr>
              <w:spacing w:after="0" w:before="0" w:line="240" w:lineRule="auto"/>
            </w:pPr>
            <w:r>
              <w:rPr>
                <w:rFonts w:ascii="Aptos" w:hAnsi="Aptos"/>
                <w:b w:val="0"/>
                <w:sz w:val="15"/>
              </w:rPr>
              <w:t>Shard and colocate; pin hot states; offload only under explicit cost/security contract; version every mutable state</w:t>
            </w:r>
          </w:p>
        </w:tc>
      </w:tr>
      <w:tr>
        <w:trPr>
          <w:cantSplit/>
        </w:trPr>
        <w:tc>
          <w:tcPr>
            <w:tcW w:type="dxa" w:w="1800"/>
            <w:vAlign w:val="top"/>
          </w:tcPr>
          <w:p>
            <w:pPr>
              <w:spacing w:after="0" w:before="0" w:line="240" w:lineRule="auto"/>
            </w:pPr>
            <w:r>
              <w:rPr>
                <w:rFonts w:ascii="Aptos" w:hAnsi="Aptos"/>
                <w:b w:val="0"/>
                <w:sz w:val="15"/>
              </w:rPr>
              <w:t>Policy/RL-step lifetime</w:t>
            </w:r>
          </w:p>
        </w:tc>
        <w:tc>
          <w:tcPr>
            <w:tcW w:type="dxa" w:w="3384"/>
            <w:vAlign w:val="top"/>
          </w:tcPr>
          <w:p>
            <w:pPr>
              <w:spacing w:after="0" w:before="0" w:line="240" w:lineRule="auto"/>
            </w:pPr>
            <w:r>
              <w:rPr>
                <w:rFonts w:ascii="Aptos" w:hAnsi="Aptos"/>
                <w:b w:val="0"/>
                <w:sz w:val="15"/>
              </w:rPr>
              <w:t>Rollout traces, old logprobs, rewards, advantages, weight-refit payloads</w:t>
            </w:r>
          </w:p>
        </w:tc>
        <w:tc>
          <w:tcPr>
            <w:tcW w:type="dxa" w:w="4320"/>
            <w:vAlign w:val="top"/>
          </w:tcPr>
          <w:p>
            <w:pPr>
              <w:spacing w:after="0" w:before="0" w:line="240" w:lineRule="auto"/>
            </w:pPr>
            <w:r>
              <w:rPr>
                <w:rFonts w:ascii="Aptos" w:hAnsi="Aptos"/>
                <w:b w:val="0"/>
                <w:sz w:val="15"/>
              </w:rPr>
              <w:t>Retain until all update epochs and replay checks finish; then securely release or archive</w:t>
            </w:r>
          </w:p>
        </w:tc>
      </w:tr>
      <w:tr>
        <w:trPr>
          <w:cantSplit/>
        </w:trPr>
        <w:tc>
          <w:tcPr>
            <w:tcW w:type="dxa" w:w="1800"/>
            <w:vAlign w:val="top"/>
          </w:tcPr>
          <w:p>
            <w:pPr>
              <w:spacing w:after="0" w:before="0" w:line="240" w:lineRule="auto"/>
            </w:pPr>
            <w:r>
              <w:rPr>
                <w:rFonts w:ascii="Aptos" w:hAnsi="Aptos"/>
                <w:b w:val="0"/>
                <w:sz w:val="15"/>
              </w:rPr>
              <w:t>Request lifetime</w:t>
            </w:r>
          </w:p>
        </w:tc>
        <w:tc>
          <w:tcPr>
            <w:tcW w:type="dxa" w:w="3384"/>
            <w:vAlign w:val="top"/>
          </w:tcPr>
          <w:p>
            <w:pPr>
              <w:spacing w:after="0" w:before="0" w:line="240" w:lineRule="auto"/>
            </w:pPr>
            <w:r>
              <w:rPr>
                <w:rFonts w:ascii="Aptos" w:hAnsi="Aptos"/>
                <w:b w:val="0"/>
                <w:sz w:val="15"/>
              </w:rPr>
              <w:t>KV cache, block tables, generated tokens and sampler state</w:t>
            </w:r>
          </w:p>
        </w:tc>
        <w:tc>
          <w:tcPr>
            <w:tcW w:type="dxa" w:w="4320"/>
            <w:vAlign w:val="top"/>
          </w:tcPr>
          <w:p>
            <w:pPr>
              <w:spacing w:after="0" w:before="0" w:line="240" w:lineRule="auto"/>
            </w:pPr>
            <w:r>
              <w:rPr>
                <w:rFonts w:ascii="Aptos" w:hAnsi="Aptos"/>
                <w:b w:val="0"/>
                <w:sz w:val="15"/>
              </w:rPr>
              <w:t>Paged allocation, prefix reuse, deterministic eviction and request-scoped confidentiality</w:t>
            </w:r>
          </w:p>
        </w:tc>
      </w:tr>
      <w:tr>
        <w:trPr>
          <w:cantSplit/>
        </w:trPr>
        <w:tc>
          <w:tcPr>
            <w:tcW w:type="dxa" w:w="1800"/>
            <w:vAlign w:val="top"/>
          </w:tcPr>
          <w:p>
            <w:pPr>
              <w:spacing w:after="0" w:before="0" w:line="240" w:lineRule="auto"/>
            </w:pPr>
            <w:r>
              <w:rPr>
                <w:rFonts w:ascii="Aptos" w:hAnsi="Aptos"/>
                <w:b w:val="0"/>
                <w:sz w:val="15"/>
              </w:rPr>
              <w:t>Layer lifetime</w:t>
            </w:r>
          </w:p>
        </w:tc>
        <w:tc>
          <w:tcPr>
            <w:tcW w:type="dxa" w:w="3384"/>
            <w:vAlign w:val="top"/>
          </w:tcPr>
          <w:p>
            <w:pPr>
              <w:spacing w:after="0" w:before="0" w:line="240" w:lineRule="auto"/>
            </w:pPr>
            <w:r>
              <w:rPr>
                <w:rFonts w:ascii="Aptos" w:hAnsi="Aptos"/>
                <w:b w:val="0"/>
                <w:sz w:val="15"/>
              </w:rPr>
              <w:t>Residuals, QKV, attention/MLP outputs and saved activations</w:t>
            </w:r>
          </w:p>
        </w:tc>
        <w:tc>
          <w:tcPr>
            <w:tcW w:type="dxa" w:w="4320"/>
            <w:vAlign w:val="top"/>
          </w:tcPr>
          <w:p>
            <w:pPr>
              <w:spacing w:after="0" w:before="0" w:line="240" w:lineRule="auto"/>
            </w:pPr>
            <w:r>
              <w:rPr>
                <w:rFonts w:ascii="Aptos" w:hAnsi="Aptos"/>
                <w:b w:val="0"/>
                <w:sz w:val="15"/>
              </w:rPr>
              <w:t>Fuse, checkpoint, recompute, alias or free after last consumer</w:t>
            </w:r>
          </w:p>
        </w:tc>
      </w:tr>
      <w:tr>
        <w:trPr>
          <w:cantSplit/>
        </w:trPr>
        <w:tc>
          <w:tcPr>
            <w:tcW w:type="dxa" w:w="1800"/>
            <w:vAlign w:val="top"/>
          </w:tcPr>
          <w:p>
            <w:pPr>
              <w:spacing w:after="0" w:before="0" w:line="240" w:lineRule="auto"/>
            </w:pPr>
            <w:r>
              <w:rPr>
                <w:rFonts w:ascii="Aptos" w:hAnsi="Aptos"/>
                <w:b w:val="0"/>
                <w:sz w:val="15"/>
              </w:rPr>
              <w:t>Kernel lifetime</w:t>
            </w:r>
          </w:p>
        </w:tc>
        <w:tc>
          <w:tcPr>
            <w:tcW w:type="dxa" w:w="3384"/>
            <w:vAlign w:val="top"/>
          </w:tcPr>
          <w:p>
            <w:pPr>
              <w:spacing w:after="0" w:before="0" w:line="240" w:lineRule="auto"/>
            </w:pPr>
            <w:r>
              <w:rPr>
                <w:rFonts w:ascii="Aptos" w:hAnsi="Aptos"/>
                <w:b w:val="0"/>
                <w:sz w:val="15"/>
              </w:rPr>
              <w:t>Attention scores, softmax partials, MMA fragments and local reductions</w:t>
            </w:r>
          </w:p>
        </w:tc>
        <w:tc>
          <w:tcPr>
            <w:tcW w:type="dxa" w:w="4320"/>
            <w:vAlign w:val="top"/>
          </w:tcPr>
          <w:p>
            <w:pPr>
              <w:spacing w:after="0" w:before="0" w:line="240" w:lineRule="auto"/>
            </w:pPr>
            <w:r>
              <w:rPr>
                <w:rFonts w:ascii="Aptos" w:hAnsi="Aptos"/>
                <w:b w:val="0"/>
                <w:sz w:val="15"/>
              </w:rPr>
              <w:t>Keep in S/T/R; prevent spills where profitable; synchronize at warp/block/cluster scope</w:t>
            </w:r>
          </w:p>
        </w:tc>
      </w:tr>
      <w:tr>
        <w:trPr>
          <w:cantSplit/>
        </w:trPr>
        <w:tc>
          <w:tcPr>
            <w:tcW w:type="dxa" w:w="1800"/>
            <w:vAlign w:val="top"/>
          </w:tcPr>
          <w:p>
            <w:pPr>
              <w:spacing w:after="0" w:before="0" w:line="240" w:lineRule="auto"/>
            </w:pPr>
            <w:r>
              <w:rPr>
                <w:rFonts w:ascii="Aptos" w:hAnsi="Aptos"/>
                <w:b w:val="0"/>
                <w:sz w:val="15"/>
              </w:rPr>
              <w:t>Audit/retention lifetime</w:t>
            </w:r>
          </w:p>
        </w:tc>
        <w:tc>
          <w:tcPr>
            <w:tcW w:type="dxa" w:w="3384"/>
            <w:vAlign w:val="top"/>
          </w:tcPr>
          <w:p>
            <w:pPr>
              <w:spacing w:after="0" w:before="0" w:line="240" w:lineRule="auto"/>
            </w:pPr>
            <w:r>
              <w:rPr>
                <w:rFonts w:ascii="Aptos" w:hAnsi="Aptos"/>
                <w:b w:val="0"/>
                <w:sz w:val="15"/>
              </w:rPr>
              <w:t>Confidential prompts, verifier evidence, reward traces and certification artifacts</w:t>
            </w:r>
          </w:p>
        </w:tc>
        <w:tc>
          <w:tcPr>
            <w:tcW w:type="dxa" w:w="4320"/>
            <w:vAlign w:val="top"/>
          </w:tcPr>
          <w:p>
            <w:pPr>
              <w:spacing w:after="0" w:before="0" w:line="240" w:lineRule="auto"/>
            </w:pPr>
            <w:r>
              <w:rPr>
                <w:rFonts w:ascii="Aptos" w:hAnsi="Aptos"/>
                <w:b w:val="0"/>
                <w:sz w:val="15"/>
              </w:rPr>
              <w:t>Encrypt, redact, limit export, enforce retention and maintain provenance</w:t>
            </w:r>
          </w:p>
        </w:tc>
      </w:tr>
    </w:tbl>
    <w:p>
      <w:r>
        <w:t>Alias and recomputability decisions are legal only after lifetime and consumer requirements are known. A short-lived activation with Recomputable and NoExternalSideEffect contracts may be rematerialized; a policy-versioned logprob, audit evidence tensor, or non-deterministic reward result normally may not. Buffer reuse additionally requires compatible shape, alignment, precision, security scope, and completion of all prior synchronization obligations.</w:t>
      </w:r>
    </w:p>
    <w:p>
      <w:pPr>
        <w:pStyle w:val="Heading2"/>
      </w:pPr>
      <w:r>
        <w:t>9.7 Memory Placement, Movement, and Capacity Optimizations</w:t>
      </w:r>
    </w:p>
    <w:p>
      <w:r>
        <w:t>The following optimization families operate on Chapter 9 tensor contracts. They may be analyzed and costed early, but their selected representations are committed only through the deferred-planning discipline in Chapter 10.</w:t>
      </w:r>
    </w:p>
    <w:p>
      <w:pPr>
        <w:pStyle w:val="Heading3"/>
      </w:pPr>
      <w:r>
        <w:t>9.7.1 Model-State Co-Residency and Version Planning</w:t>
      </w:r>
    </w:p>
    <w:p>
      <w:r>
        <w:t>RL commonly requires mutable actor state plus frozen or slowly changing reference and reward states. The compiler should decide whether those states are colocated, independently sharded, quantized, offloaded, or placed on separate GPU pools. Megatron distributed optimization and FSDP reduce replicated model-state memory, while NeMo RL exposes distinct training and generation backends. [16][69]</w:t>
      </w:r>
    </w:p>
    <w:p>
      <w:r>
        <w:rPr>
          <w:b/>
        </w:rPr>
        <w:t>Value:</w:t>
      </w:r>
      <w:r>
        <w:t xml:space="preserve"> lower peak HBM, fewer redundant weights, less conversion/refit traffic, larger rollout/update batches and fewer OOM failures.</w:t>
      </w:r>
    </w:p>
    <w:p>
      <w:r>
        <w:rPr>
          <w:b/>
        </w:rPr>
        <w:t>DSC differentiation:</w:t>
      </w:r>
      <w:r>
        <w:t xml:space="preserve"> represent actor, reference, reward, optimizer and rollout copies in one versioned MemoryPlanIR, including confidentiality and policy-epoch compatibility.</w:t>
      </w:r>
    </w:p>
    <w:p>
      <w:pPr>
        <w:pStyle w:val="Heading3"/>
      </w:pPr>
      <w:r>
        <w:t>9.7.2 Rollout KV and Prefix-Cache Planning</w:t>
      </w:r>
    </w:p>
    <w:p>
      <w:r>
        <w:t>RL rollout repeats inference over many trajectories and often reuses system prompts, tool schemas, evaluation context or repository summaries. TensorRT-LLM uses paged KV pools and supports quantized KV cache, while vLLM exposes KV usage and prefix-related runtime measurements. [70][71][72][73]</w:t>
      </w:r>
    </w:p>
    <w:p>
      <w:r>
        <w:rPr>
          <w:b/>
        </w:rPr>
        <w:t>Value:</w:t>
      </w:r>
      <w:r>
        <w:t xml:space="preserve"> avoid repeated prefill, raise rollout tokens per second, reduce HBM pressure and stabilize long-context capacity.</w:t>
      </w:r>
    </w:p>
    <w:p>
      <w:r>
        <w:rPr>
          <w:b/>
        </w:rPr>
        <w:t>DSC differentiation:</w:t>
      </w:r>
      <w:r>
        <w:t xml:space="preserve"> prefix eligibility must include tokenizer, chat template, actor version, attention-state semantics, security domain and retention policy, not merely matching token blocks.</w:t>
      </w:r>
    </w:p>
    <w:p>
      <w:pPr>
        <w:pStyle w:val="Heading3"/>
      </w:pPr>
      <w:r>
        <w:t>9.7.3 Rollout, Reward, and Update Phase Memory Scheduling</w:t>
      </w:r>
    </w:p>
    <w:p>
      <w:r>
        <w:t>Rollout consumes KV cache and sampling buffers; reward/reference evaluation consumes additional weights and activations; update consumes saved activations, gradients and optimizer state. Treating them as independent allocators causes fragmentation and peak-memory collisions.</w:t>
      </w:r>
    </w:p>
    <w:p>
      <w:r>
        <w:rPr>
          <w:b/>
        </w:rPr>
        <w:t>Value:</w:t>
      </w:r>
      <w:r>
        <w:t xml:space="preserve"> predictable peak HBM, fewer allocator stalls, higher whole-RL-step occupancy and less idle time between generation and update.</w:t>
      </w:r>
    </w:p>
    <w:p>
      <w:r>
        <w:rPr>
          <w:b/>
        </w:rPr>
        <w:t>DSC differentiation:</w:t>
      </w:r>
      <w:r>
        <w:t xml:space="preserve"> emit named rollout, reward, update and checkpoint arenas with explicit overlap/exclusivity contracts and compiler-certified phase transitions.</w:t>
      </w:r>
    </w:p>
    <w:p>
      <w:pPr>
        <w:pStyle w:val="Heading3"/>
      </w:pPr>
      <w:r>
        <w:t>9.7.4 Activation Checkpointing and RL-Aware Rematerialization</w:t>
      </w:r>
    </w:p>
    <w:p>
      <w:r>
        <w:t>Training stacks support activation checkpointing, but the best choice in RL also depends on memory reserved for rollout KV, reference/reward execution and weight synchronization.</w:t>
      </w:r>
    </w:p>
    <w:p>
      <w:r>
        <w:rPr>
          <w:b/>
        </w:rPr>
        <w:t>Value:</w:t>
      </w:r>
      <w:r>
        <w:t xml:space="preserve"> lower activation peak, longer sequence or larger batch, and better use of a fixed on-prem GPU pool.</w:t>
      </w:r>
    </w:p>
    <w:p>
      <w:r>
        <w:rPr>
          <w:b/>
        </w:rPr>
        <w:t>DSC differentiation:</w:t>
      </w:r>
      <w:r>
        <w:t xml:space="preserve"> solve activation save/recompute jointly with the rollout/cache memory budget, deterministic replay requirements and confidential-data retention.</w:t>
      </w:r>
    </w:p>
    <w:p>
      <w:pPr>
        <w:pStyle w:val="Heading3"/>
      </w:pPr>
      <w:r>
        <w:t>9.7.5 Communication-Aware Memory Planning</w:t>
      </w:r>
    </w:p>
    <w:p>
      <w:r>
        <w:t>Every collective needs source, destination and staging buffers. Megatron uses reduce-scatter for distributed-optimizer gradients and all-gather for parameter materialization; GSPMD/Shardy-style systems propagate sharding and insert communication. [16][47][45][46]</w:t>
      </w:r>
    </w:p>
    <w:p>
      <w:r>
        <w:rPr>
          <w:b/>
        </w:rPr>
        <w:t>Value:</w:t>
      </w:r>
      <w:r>
        <w:t xml:space="preserve"> reduce extra copies, overlap communication with compute, lower peak communication buffers and shorten actor-to-rollout weight transitions.</w:t>
      </w:r>
    </w:p>
    <w:p>
      <w:r>
        <w:rPr>
          <w:b/>
        </w:rPr>
        <w:t>DSC differentiation:</w:t>
      </w:r>
      <w:r>
        <w:t xml:space="preserve"> tie communication buffers to semantic reasons such as policy-version transfer, old-policy replay, reference consistency and MoE route preservation.</w:t>
      </w:r>
    </w:p>
    <w:p>
      <w:pPr>
        <w:pStyle w:val="Heading3"/>
      </w:pPr>
      <w:r>
        <w:t>9.7.6 HBM-to-Shared-to-TMEM/Register Kernel Planning</w:t>
      </w:r>
    </w:p>
    <w:p>
      <w:r>
        <w:t>CUDA provides shared memory and TMA-based global/shared transfers; Blackwell tcgen05 MMA uses shared-memory operands with TMEM accumulators. [40][48][49][68]</w:t>
      </w:r>
    </w:p>
    <w:p>
      <w:r>
        <w:rPr>
          <w:b/>
        </w:rPr>
        <w:t>Value:</w:t>
      </w:r>
      <w:r>
        <w:t xml:space="preserve"> reduce HBM traffic, improve reuse and coalescing, increase tensor-core utilization and reduce launch/kernel latency.</w:t>
      </w:r>
    </w:p>
    <w:p>
      <w:r>
        <w:rPr>
          <w:b/>
        </w:rPr>
        <w:t>DSC differentiation:</w:t>
      </w:r>
      <w:r>
        <w:t xml:space="preserve"> connect tile choices to semantic roles. Logits, logprobs, rewards, KV state, router logits and gradients can require different precision, persistence and synchronization contracts.</w:t>
      </w:r>
    </w:p>
    <w:p>
      <w:pPr>
        <w:pStyle w:val="Heading3"/>
      </w:pPr>
      <w:r>
        <w:t>9.7.7 Quantization and Dequantization Gatekeeping</w:t>
      </w:r>
    </w:p>
    <w:p>
      <w:r>
        <w:t>TensorRT-LLM supports lower-precision weights and KV cache, but RL requires additional consistency between generation logprobs and trainer recomputation. [70][72]</w:t>
      </w:r>
    </w:p>
    <w:p>
      <w:r>
        <w:rPr>
          <w:b/>
        </w:rPr>
        <w:t>Value:</w:t>
      </w:r>
      <w:r>
        <w:t xml:space="preserve"> smaller weight/KV footprint, lower bandwidth and communication volume, and higher rollout density.</w:t>
      </w:r>
    </w:p>
    <w:p>
      <w:r>
        <w:rPr>
          <w:b/>
        </w:rPr>
        <w:t>DSC differentiation:</w:t>
      </w:r>
      <w:r>
        <w:t xml:space="preserve"> QuantizationContractIR marks legal storage precision, required accumulation precision, mandatory dequantization boundaries and rollout-versus-trainer tolerance tests.</w:t>
      </w:r>
    </w:p>
    <w:p>
      <w:pPr>
        <w:pStyle w:val="Heading2"/>
      </w:pPr>
      <w:r>
        <w:t>9.8 Essential Tensor and Memory Metadata</w:t>
      </w:r>
    </w:p>
    <w:p>
      <w:r>
        <w:t>The memory architecture requires typed records rather than an unstructured metadata bag. Semantic traits remain durable; the current representation records committed state; availability records readiness and version; and links to Chapter 10 facts/plans and Chapter 11 performance snapshots remain explicit but externally owned.</w:t>
      </w:r>
    </w:p>
    <w:p>
      <w:pPr>
        <w:pStyle w:val="CodeBlock"/>
      </w:pPr>
      <w:r>
        <w:t>MemoryManagedTensor {</w:t>
        <w:br/>
        <w:t xml:space="preserve">  tensor_id</w:t>
        <w:br/>
        <w:t xml:space="preserve">  source_tensor_id</w:t>
        <w:br/>
        <w:t xml:space="preserve">  TensorTypeCore</w:t>
        <w:br/>
        <w:t xml:space="preserve">  durable_semantic_traits</w:t>
        <w:br/>
        <w:t xml:space="preserve">  logical_axis_schema</w:t>
        <w:br/>
        <w:t xml:space="preserve">  current_representation_descriptors</w:t>
        <w:br/>
        <w:t xml:space="preserve">  producer_component</w:t>
        <w:br/>
        <w:t xml:space="preserve">  consumer_components</w:t>
        <w:br/>
        <w:t xml:space="preserve">  lifecycle_phase</w:t>
        <w:br/>
        <w:t xml:space="preserve">  first_use</w:t>
        <w:br/>
        <w:t xml:space="preserve">  last_use</w:t>
        <w:br/>
        <w:t xml:space="preserve">  alias_contract</w:t>
        <w:br/>
        <w:t xml:space="preserve">  recomputation_contract</w:t>
        <w:br/>
        <w:t xml:space="preserve">  confidentiality_level</w:t>
        <w:br/>
        <w:t xml:space="preserve">  availability_state_id</w:t>
        <w:br/>
        <w:t xml:space="preserve">  synchronization_obligations</w:t>
        <w:br/>
        <w:t xml:space="preserve">  allowed_memory_tiers</w:t>
        <w:br/>
        <w:t xml:space="preserve">  preferred_residency</w:t>
        <w:br/>
        <w:t xml:space="preserve">  spill_and_offload_policy</w:t>
        <w:br/>
        <w:t xml:space="preserve">  quantization_contract_id</w:t>
        <w:br/>
        <w:t xml:space="preserve">  tensor_evolution_record_id</w:t>
        <w:br/>
        <w:t xml:space="preserve">  derived_fact_ids</w:t>
        <w:br/>
        <w:t xml:space="preserve">  selected_plan_ids</w:t>
        <w:br/>
        <w:t xml:space="preserve">  performance_model_snapshot_id</w:t>
        <w:br/>
        <w:t>}</w:t>
      </w:r>
    </w:p>
    <w:p>
      <w:pPr>
        <w:pStyle w:val="CodeBlock"/>
      </w:pPr>
      <w:r>
        <w:t>KVMemoryObject {</w:t>
        <w:br/>
        <w:t xml:space="preserve">  request_id</w:t>
        <w:br/>
        <w:t xml:space="preserve">  sequence_id</w:t>
        <w:br/>
        <w:t xml:space="preserve">  layer_id</w:t>
        <w:br/>
        <w:t xml:space="preserve">  block_id</w:t>
        <w:br/>
        <w:t xml:space="preserve">  prefix_hash</w:t>
        <w:br/>
        <w:t xml:space="preserve">  tokenizer_hash</w:t>
        <w:br/>
        <w:t xml:space="preserve">  chat_template_hash</w:t>
        <w:br/>
        <w:t xml:space="preserve">  attention_state_contract_id</w:t>
        <w:br/>
        <w:t xml:space="preserve">  actor_weight_version</w:t>
        <w:br/>
        <w:t xml:space="preserve">  kv_dtype</w:t>
        <w:br/>
        <w:t xml:space="preserve">  page_size</w:t>
        <w:br/>
        <w:t xml:space="preserve">  residency</w:t>
        <w:br/>
        <w:t xml:space="preserve">  readiness_event</w:t>
        <w:br/>
        <w:t xml:space="preserve">  last_access_step</w:t>
        <w:br/>
        <w:t xml:space="preserve">  reuse_probability_fact_id</w:t>
        <w:br/>
        <w:t xml:space="preserve">  eviction_priority</w:t>
        <w:br/>
        <w:t xml:space="preserve">  confidentiality_scope</w:t>
        <w:br/>
        <w:t>}</w:t>
      </w:r>
    </w:p>
    <w:p>
      <w:pPr>
        <w:pStyle w:val="CodeBlock"/>
      </w:pPr>
      <w:r>
        <w:t>DistributedTensorDescriptor {</w:t>
        <w:br/>
        <w:t xml:space="preserve">  global_shape</w:t>
        <w:br/>
        <w:t xml:space="preserve">  local_shape</w:t>
        <w:br/>
        <w:t xml:space="preserve">  logical_axis_schema</w:t>
        <w:br/>
        <w:t xml:space="preserve">  device_mesh</w:t>
        <w:br/>
        <w:t xml:space="preserve">  committed_placement</w:t>
        <w:br/>
        <w:t xml:space="preserve">  shard_axis</w:t>
        <w:br/>
        <w:t xml:space="preserve">  replicated_axis</w:t>
        <w:br/>
        <w:t xml:space="preserve">  partial_axis</w:t>
        <w:br/>
        <w:t xml:space="preserve">  owner_rank_set</w:t>
        <w:br/>
        <w:t xml:space="preserve">  collective_or_reduction_obligation</w:t>
        <w:br/>
        <w:t xml:space="preserve">  materialization_state</w:t>
        <w:br/>
        <w:t xml:space="preserve">  runtime_handle</w:t>
        <w:br/>
        <w:t>}</w:t>
      </w:r>
    </w:p>
    <w:p>
      <w:pPr>
        <w:pStyle w:val="Heading2"/>
      </w:pPr>
      <w:r>
        <w:t>9.9 Memory Planning Pass Sequence</w:t>
      </w:r>
    </w:p>
    <w:p>
      <w:pPr>
        <w:pStyle w:val="CodeBlock"/>
      </w:pPr>
      <w:r>
        <w:t>1. ImportModelPackageAndHighLevelOperators</w:t>
        <w:br/>
        <w:t>2. AttachDurableTensorSemanticTraits</w:t>
        <w:br/>
        <w:t>3. BuildLogicalAxisAndShapeContracts</w:t>
        <w:br/>
        <w:t>4. BuildProducerConsumerSynchronizationAndLifetimeGraph</w:t>
        <w:br/>
        <w:t>5. BuildTensorAvailabilityAndVersionState</w:t>
        <w:br/>
        <w:t>6. ClassifyConfidentialityAndLegalMemoryTiers</w:t>
        <w:br/>
        <w:t>7. DeriveAliasRecomputeAndRetentionLegality</w:t>
        <w:br/>
        <w:t>8. EnumerateModelStateAndRuntimeStatePlacementOptions</w:t>
        <w:br/>
        <w:t>9. EnumerateKVPrefixOffloadAndPhaseArenaOptions</w:t>
        <w:br/>
        <w:t>10. Export MemoryFactsToDerivedAnalysisFactIR</w:t>
        <w:br/>
        <w:t>11. RequestCandidatePlansFromChapter10</w:t>
        <w:br/>
        <w:t>12. RequestCostPredictionsFromChapter11</w:t>
        <w:br/>
        <w:t>13. SelectAndCertifyMemoryPlan</w:t>
        <w:br/>
        <w:t>14. MaterializePlacementMovementAndArenaState</w:t>
        <w:br/>
        <w:t>15. EmitRuntimeGuardsTelemetryAndTensorEvolutionRecords</w:t>
      </w:r>
    </w:p>
    <w:p>
      <w:r>
        <w:t>The sequence deliberately separates data-state construction from optimization planning and costing. Chapter 9 produces the legal memory envelope; Chapters 10 and 11 propose and cost alternatives; explicit commit passes update the current representation and invalidate dependent facts.</w:t>
      </w:r>
    </w:p>
    <w:p>
      <w:pPr>
        <w:pStyle w:val="Heading2"/>
      </w:pPr>
      <w:r>
        <w:t>9.10 Memory Gatekeeping and Diagnostics</w:t>
      </w:r>
    </w:p>
    <w:tbl>
      <w:tblPr>
        <w:tblStyle w:val="TableGrid"/>
        <w:tblW w:type="auto" w:w="0"/>
        <w:tblLayout w:type="autofit"/>
        <w:tblLook w:firstColumn="1" w:firstRow="1" w:lastColumn="0" w:lastRow="0" w:noHBand="0" w:noVBand="1" w:val="04A0"/>
      </w:tblPr>
      <w:tblGrid>
        <w:gridCol w:w="4968"/>
        <w:gridCol w:w="4968"/>
      </w:tblGrid>
      <w:tr>
        <w:trPr>
          <w:tblHeader w:val="true"/>
        </w:trPr>
        <w:tc>
          <w:tcPr>
            <w:tcW w:type="dxa" w:w="4968"/>
          </w:tcPr>
          <w:p>
            <w:r>
              <w:rPr>
                <w:b/>
              </w:rPr>
              <w:t>Diagnostic</w:t>
            </w:r>
          </w:p>
        </w:tc>
        <w:tc>
          <w:tcPr>
            <w:tcW w:type="dxa" w:w="4968"/>
          </w:tcPr>
          <w:p>
            <w:r>
              <w:rPr>
                <w:b/>
              </w:rPr>
              <w:t>Meaning</w:t>
            </w:r>
          </w:p>
        </w:tc>
      </w:tr>
      <w:tr>
        <w:tc>
          <w:tcPr>
            <w:tcW w:type="dxa" w:w="4968"/>
          </w:tcPr>
          <w:p>
            <w:r>
              <w:t>CMEMRL-001</w:t>
            </w:r>
          </w:p>
        </w:tc>
        <w:tc>
          <w:tcPr>
            <w:tcW w:type="dxa" w:w="4968"/>
          </w:tcPr>
          <w:p>
            <w:r>
              <w:t>MissingMemoryManagedTensorRecord</w:t>
            </w:r>
          </w:p>
        </w:tc>
      </w:tr>
      <w:tr>
        <w:tc>
          <w:tcPr>
            <w:tcW w:type="dxa" w:w="4968"/>
          </w:tcPr>
          <w:p>
            <w:r>
              <w:t>CMEMRL-002</w:t>
            </w:r>
          </w:p>
        </w:tc>
        <w:tc>
          <w:tcPr>
            <w:tcW w:type="dxa" w:w="4968"/>
          </w:tcPr>
          <w:p>
            <w:r>
              <w:t>ProducerConsumerGraphIncomplete</w:t>
            </w:r>
          </w:p>
        </w:tc>
      </w:tr>
      <w:tr>
        <w:tc>
          <w:tcPr>
            <w:tcW w:type="dxa" w:w="4968"/>
          </w:tcPr>
          <w:p>
            <w:r>
              <w:t>CMEMRL-003</w:t>
            </w:r>
          </w:p>
        </w:tc>
        <w:tc>
          <w:tcPr>
            <w:tcW w:type="dxa" w:w="4968"/>
          </w:tcPr>
          <w:p>
            <w:r>
              <w:t>TensorFreedBeforeLastConsumer</w:t>
            </w:r>
          </w:p>
        </w:tc>
      </w:tr>
      <w:tr>
        <w:tc>
          <w:tcPr>
            <w:tcW w:type="dxa" w:w="4968"/>
          </w:tcPr>
          <w:p>
            <w:r>
              <w:t>CMEMRL-004</w:t>
            </w:r>
          </w:p>
        </w:tc>
        <w:tc>
          <w:tcPr>
            <w:tcW w:type="dxa" w:w="4968"/>
          </w:tcPr>
          <w:p>
            <w:r>
              <w:t>ConfidentialTensorMovedToForbiddenTier</w:t>
            </w:r>
          </w:p>
        </w:tc>
      </w:tr>
      <w:tr>
        <w:tc>
          <w:tcPr>
            <w:tcW w:type="dxa" w:w="4968"/>
          </w:tcPr>
          <w:p>
            <w:r>
              <w:t>CMEMRL-005</w:t>
            </w:r>
          </w:p>
        </w:tc>
        <w:tc>
          <w:tcPr>
            <w:tcW w:type="dxa" w:w="4968"/>
          </w:tcPr>
          <w:p>
            <w:r>
              <w:t>ActorReferenceRewardCoResidencyExceedsBudget</w:t>
            </w:r>
          </w:p>
        </w:tc>
      </w:tr>
      <w:tr>
        <w:tc>
          <w:tcPr>
            <w:tcW w:type="dxa" w:w="4968"/>
          </w:tcPr>
          <w:p>
            <w:r>
              <w:t>CMEMRL-006</w:t>
            </w:r>
          </w:p>
        </w:tc>
        <w:tc>
          <w:tcPr>
            <w:tcW w:type="dxa" w:w="4968"/>
          </w:tcPr>
          <w:p>
            <w:r>
              <w:t>RolloutAndUpdateArenaCollision</w:t>
            </w:r>
          </w:p>
        </w:tc>
      </w:tr>
      <w:tr>
        <w:tc>
          <w:tcPr>
            <w:tcW w:type="dxa" w:w="4968"/>
          </w:tcPr>
          <w:p>
            <w:r>
              <w:t>CMEMRL-007</w:t>
            </w:r>
          </w:p>
        </w:tc>
        <w:tc>
          <w:tcPr>
            <w:tcW w:type="dxa" w:w="4968"/>
          </w:tcPr>
          <w:p>
            <w:r>
              <w:t>KVPrefixReuseContractMismatch</w:t>
            </w:r>
          </w:p>
        </w:tc>
      </w:tr>
      <w:tr>
        <w:tc>
          <w:tcPr>
            <w:tcW w:type="dxa" w:w="4968"/>
          </w:tcPr>
          <w:p>
            <w:r>
              <w:t>CMEMRL-008</w:t>
            </w:r>
          </w:p>
        </w:tc>
        <w:tc>
          <w:tcPr>
            <w:tcW w:type="dxa" w:w="4968"/>
          </w:tcPr>
          <w:p>
            <w:r>
              <w:t>WeightVersionMismatchAtRollout</w:t>
            </w:r>
          </w:p>
        </w:tc>
      </w:tr>
      <w:tr>
        <w:tc>
          <w:tcPr>
            <w:tcW w:type="dxa" w:w="4968"/>
          </w:tcPr>
          <w:p>
            <w:r>
              <w:t>CMEMRL-009</w:t>
            </w:r>
          </w:p>
        </w:tc>
        <w:tc>
          <w:tcPr>
            <w:tcW w:type="dxa" w:w="4968"/>
          </w:tcPr>
          <w:p>
            <w:r>
              <w:t>CollectiveBufferLifetimeInvalid</w:t>
            </w:r>
          </w:p>
        </w:tc>
      </w:tr>
      <w:tr>
        <w:tc>
          <w:tcPr>
            <w:tcW w:type="dxa" w:w="4968"/>
          </w:tcPr>
          <w:p>
            <w:r>
              <w:t>CMEMRL-010</w:t>
            </w:r>
          </w:p>
        </w:tc>
        <w:tc>
          <w:tcPr>
            <w:tcW w:type="dxa" w:w="4968"/>
          </w:tcPr>
          <w:p>
            <w:r>
              <w:t>PartialTensorAliasedBeforeReduction</w:t>
            </w:r>
          </w:p>
        </w:tc>
      </w:tr>
      <w:tr>
        <w:tc>
          <w:tcPr>
            <w:tcW w:type="dxa" w:w="4968"/>
          </w:tcPr>
          <w:p>
            <w:r>
              <w:t>CMEMRL-011</w:t>
            </w:r>
          </w:p>
        </w:tc>
        <w:tc>
          <w:tcPr>
            <w:tcW w:type="dxa" w:w="4968"/>
          </w:tcPr>
          <w:p>
            <w:r>
              <w:t>DequantizationBoundaryMissing</w:t>
            </w:r>
          </w:p>
        </w:tc>
      </w:tr>
      <w:tr>
        <w:tc>
          <w:tcPr>
            <w:tcW w:type="dxa" w:w="4968"/>
          </w:tcPr>
          <w:p>
            <w:r>
              <w:t>CMEMRL-012</w:t>
            </w:r>
          </w:p>
        </w:tc>
        <w:tc>
          <w:tcPr>
            <w:tcW w:type="dxa" w:w="4968"/>
          </w:tcPr>
          <w:p>
            <w:r>
              <w:t>KernelTileExceedsLocalMemoryCapacity</w:t>
            </w:r>
          </w:p>
        </w:tc>
      </w:tr>
      <w:tr>
        <w:tc>
          <w:tcPr>
            <w:tcW w:type="dxa" w:w="4968"/>
          </w:tcPr>
          <w:p>
            <w:r>
              <w:t>CMEMRL-013</w:t>
            </w:r>
          </w:p>
        </w:tc>
        <w:tc>
          <w:tcPr>
            <w:tcW w:type="dxa" w:w="4968"/>
          </w:tcPr>
          <w:p>
            <w:r>
              <w:t>RuntimeAllocationEscapesCertifiedPlan</w:t>
            </w:r>
          </w:p>
        </w:tc>
      </w:tr>
      <w:tr>
        <w:tc>
          <w:tcPr>
            <w:tcW w:type="dxa" w:w="4968"/>
          </w:tcPr>
          <w:p>
            <w:r>
              <w:t>CMEMRL-014</w:t>
            </w:r>
          </w:p>
        </w:tc>
        <w:tc>
          <w:tcPr>
            <w:tcW w:type="dxa" w:w="4968"/>
          </w:tcPr>
          <w:p>
            <w:r>
              <w:t>RetentionPolicyViolation</w:t>
            </w:r>
          </w:p>
        </w:tc>
      </w:tr>
      <w:tr>
        <w:tc>
          <w:tcPr>
            <w:tcW w:type="dxa" w:w="4968"/>
          </w:tcPr>
          <w:p>
            <w:r>
              <w:t>CTRAITMEM-001</w:t>
            </w:r>
          </w:p>
        </w:tc>
        <w:tc>
          <w:tcPr>
            <w:tcW w:type="dxa" w:w="4968"/>
          </w:tcPr>
          <w:p>
            <w:r>
              <w:t>MissingDurableTensorTraitSet</w:t>
            </w:r>
          </w:p>
        </w:tc>
      </w:tr>
      <w:tr>
        <w:tc>
          <w:tcPr>
            <w:tcW w:type="dxa" w:w="4968"/>
          </w:tcPr>
          <w:p>
            <w:r>
              <w:t>CTRAITMEM-004</w:t>
            </w:r>
          </w:p>
        </w:tc>
        <w:tc>
          <w:tcPr>
            <w:tcW w:type="dxa" w:w="4968"/>
          </w:tcPr>
          <w:p>
            <w:r>
              <w:t>AliasAppliedWithoutAliasPermitted</w:t>
            </w:r>
          </w:p>
        </w:tc>
      </w:tr>
      <w:tr>
        <w:tc>
          <w:tcPr>
            <w:tcW w:type="dxa" w:w="4968"/>
          </w:tcPr>
          <w:p>
            <w:r>
              <w:t>CTRAITMEM-005</w:t>
            </w:r>
          </w:p>
        </w:tc>
        <w:tc>
          <w:tcPr>
            <w:tcW w:type="dxa" w:w="4968"/>
          </w:tcPr>
          <w:p>
            <w:r>
              <w:t>RematerializationAppliedWithoutRecomputationPermitted</w:t>
            </w:r>
          </w:p>
        </w:tc>
      </w:tr>
      <w:tr>
        <w:tc>
          <w:tcPr>
            <w:tcW w:type="dxa" w:w="4968"/>
          </w:tcPr>
          <w:p>
            <w:r>
              <w:t>CTRAITMEM-006</w:t>
            </w:r>
          </w:p>
        </w:tc>
        <w:tc>
          <w:tcPr>
            <w:tcW w:type="dxa" w:w="4968"/>
          </w:tcPr>
          <w:p>
            <w:r>
              <w:t>PrecisionSensitiveTraitDroppedDuringLowering</w:t>
            </w:r>
          </w:p>
        </w:tc>
      </w:tr>
      <w:tr>
        <w:tc>
          <w:tcPr>
            <w:tcW w:type="dxa" w:w="4968"/>
          </w:tcPr>
          <w:p>
            <w:r>
              <w:t>CTRAITMEM-007</w:t>
            </w:r>
          </w:p>
        </w:tc>
        <w:tc>
          <w:tcPr>
            <w:tcW w:type="dxa" w:w="4968"/>
          </w:tcPr>
          <w:p>
            <w:r>
              <w:t>StalePolicyVersionAcceptedAsAvailable</w:t>
            </w:r>
          </w:p>
        </w:tc>
      </w:tr>
    </w:tbl>
    <w:p>
      <w:pPr>
        <w:pStyle w:val="Heading2"/>
      </w:pPr>
      <w:r>
        <w:t>9.11 Architectural Summary</w:t>
      </w:r>
    </w:p>
    <w:p>
      <w:pPr>
        <w:pStyle w:val="CodeBlock"/>
      </w:pPr>
      <w:r>
        <w:t>Chapter 9 thesis:</w:t>
        <w:br/>
        <w:t xml:space="preserve">  Every LLM tensor is a semantic, distributed, memory-managed,</w:t>
        <w:br/>
        <w:t xml:space="preserve">  lifetime-scoped, versioned, and confidentiality-scoped data entity.</w:t>
        <w:br/>
        <w:br/>
        <w:t xml:space="preserve">  Durable traits define what must remain true.</w:t>
        <w:br/>
        <w:t xml:space="preserve">  Availability defines whether a consumer can legally execute.</w:t>
        <w:br/>
        <w:t xml:space="preserve">  Lifetime and ownership define how long and where data must exist.</w:t>
        <w:br/>
        <w:t xml:space="preserve">  Memory plans may be proposed elsewhere, but only certified commit passes</w:t>
        <w:br/>
        <w:t xml:space="preserve">  may change the current representation.</w:t>
        <w:br/>
        <w:br/>
        <w:t xml:space="preserve">  Place the right data at the right tier,</w:t>
        <w:br/>
        <w:t xml:space="preserve">  make it ready at the right time,</w:t>
        <w:br/>
        <w:t xml:space="preserve">  and preserve its semantic and security contract.</w:t>
      </w:r>
    </w:p>
    <w:p>
      <w:pPr>
        <w:pStyle w:val="Heading1"/>
      </w:pPr>
      <w:r>
        <w:t>Chapter 10. Compiler Knowledge and Deferred Optimization Planning</w:t>
      </w:r>
    </w:p>
    <w:p>
      <w:r>
        <w:t>Purpose and scope. This chapter defines how DSC preserves the high-level semantic IR while accumulating optimization-critical knowledge, comparing coordinated alternatives, and delaying irreversible transformation. It separates durable application semantics from derived analysis facts, candidate plans, virtual tensor states, and committed representations. Performance predictions used to rank plans are supplied by Chapter 11.</w:t>
      </w:r>
    </w:p>
    <w:p>
      <w:pPr>
        <w:pStyle w:val="Heading2"/>
      </w:pPr>
      <w:r>
        <w:t>10.1 Information-Lifetime Discipline</w:t>
      </w:r>
    </w:p>
    <w:tbl>
      <w:tblPr>
        <w:tblStyle w:val="TableGrid"/>
        <w:tblW w:type="auto" w:w="0"/>
        <w:tblLayout w:type="autofit"/>
        <w:tblLook w:firstColumn="1" w:firstRow="1" w:lastColumn="0" w:lastRow="0" w:noHBand="0" w:noVBand="1" w:val="04A0"/>
      </w:tblPr>
      <w:tblGrid>
        <w:gridCol w:w="2484"/>
        <w:gridCol w:w="2484"/>
        <w:gridCol w:w="2484"/>
        <w:gridCol w:w="2484"/>
      </w:tblGrid>
      <w:tr>
        <w:trPr>
          <w:tblHeader w:val="true"/>
        </w:trPr>
        <w:tc>
          <w:tcPr>
            <w:tcW w:type="dxa" w:w="2484"/>
          </w:tcPr>
          <w:p>
            <w:r>
              <w:rPr>
                <w:b/>
              </w:rPr>
              <w:t>Information bucket</w:t>
            </w:r>
          </w:p>
        </w:tc>
        <w:tc>
          <w:tcPr>
            <w:tcW w:type="dxa" w:w="2484"/>
          </w:tcPr>
          <w:p>
            <w:r>
              <w:rPr>
                <w:b/>
              </w:rPr>
              <w:t>Meaning</w:t>
            </w:r>
          </w:p>
        </w:tc>
        <w:tc>
          <w:tcPr>
            <w:tcW w:type="dxa" w:w="2484"/>
          </w:tcPr>
          <w:p>
            <w:r>
              <w:rPr>
                <w:b/>
              </w:rPr>
              <w:t>Examples</w:t>
            </w:r>
          </w:p>
        </w:tc>
        <w:tc>
          <w:tcPr>
            <w:tcW w:type="dxa" w:w="2484"/>
          </w:tcPr>
          <w:p>
            <w:r>
              <w:rPr>
                <w:b/>
              </w:rPr>
              <w:t>Update discipline</w:t>
            </w:r>
          </w:p>
        </w:tc>
      </w:tr>
      <w:tr>
        <w:tc>
          <w:tcPr>
            <w:tcW w:type="dxa" w:w="2484"/>
          </w:tcPr>
          <w:p>
            <w:r>
              <w:t>Semantic IR and durable traits</w:t>
            </w:r>
          </w:p>
        </w:tc>
        <w:tc>
          <w:tcPr>
            <w:tcW w:type="dxa" w:w="2484"/>
          </w:tcPr>
          <w:p>
            <w:r>
              <w:t>Long-term application meaning preserved across optimization</w:t>
            </w:r>
          </w:p>
        </w:tc>
        <w:tc>
          <w:tcPr>
            <w:tcW w:type="dxa" w:w="2484"/>
          </w:tcPr>
          <w:p>
            <w:r>
              <w:t>Attention, RMSNorm, KV state, policy-versioned logprob, confidentiality</w:t>
            </w:r>
          </w:p>
        </w:tc>
        <w:tc>
          <w:tcPr>
            <w:tcW w:type="dxa" w:w="2484"/>
          </w:tcPr>
          <w:p>
            <w:r>
              <w:t>Changed only through explicit semantic conversion contracts.</w:t>
            </w:r>
          </w:p>
        </w:tc>
      </w:tr>
      <w:tr>
        <w:tc>
          <w:tcPr>
            <w:tcW w:type="dxa" w:w="2484"/>
          </w:tcPr>
          <w:p>
            <w:r>
              <w:t>Current representation descriptors</w:t>
            </w:r>
          </w:p>
        </w:tc>
        <w:tc>
          <w:tcPr>
            <w:tcW w:type="dxa" w:w="2484"/>
          </w:tcPr>
          <w:p>
            <w:r>
              <w:t>Committed shape/layout/sharding/placement/memory/quantization/runtime state</w:t>
            </w:r>
          </w:p>
        </w:tc>
        <w:tc>
          <w:tcPr>
            <w:tcW w:type="dxa" w:w="2484"/>
          </w:tcPr>
          <w:p>
            <w:r>
              <w:t>Current shard map, HBM residency, paged KV layout</w:t>
            </w:r>
          </w:p>
        </w:tc>
        <w:tc>
          <w:tcPr>
            <w:tcW w:type="dxa" w:w="2484"/>
          </w:tcPr>
          <w:p>
            <w:r>
              <w:t>Updated only by certified materialization or lowering passes.</w:t>
            </w:r>
          </w:p>
        </w:tc>
      </w:tr>
      <w:tr>
        <w:tc>
          <w:tcPr>
            <w:tcW w:type="dxa" w:w="2484"/>
          </w:tcPr>
          <w:p>
            <w:r>
              <w:t>DerivedAnalysisFactIR</w:t>
            </w:r>
          </w:p>
        </w:tc>
        <w:tc>
          <w:tcPr>
            <w:tcW w:type="dxa" w:w="2484"/>
          </w:tcPr>
          <w:p>
            <w:r>
              <w:t>Compiler knowledge proven, inferred, profiled, estimated, or assumed</w:t>
            </w:r>
          </w:p>
        </w:tc>
        <w:tc>
          <w:tcPr>
            <w:tcW w:type="dxa" w:w="2484"/>
          </w:tcPr>
          <w:p>
            <w:r>
              <w:t>Liveness, legal shard axes, reuse distance, fusion legality, capacity bound</w:t>
            </w:r>
          </w:p>
        </w:tc>
        <w:tc>
          <w:tcPr>
            <w:tcW w:type="dxa" w:w="2484"/>
          </w:tcPr>
          <w:p>
            <w:r>
              <w:t>Preserved only while dependencies remain valid; explicitly invalidated.</w:t>
            </w:r>
          </w:p>
        </w:tc>
      </w:tr>
      <w:tr>
        <w:tc>
          <w:tcPr>
            <w:tcW w:type="dxa" w:w="2484"/>
          </w:tcPr>
          <w:p>
            <w:r>
              <w:t>OptimizationPlanIR</w:t>
            </w:r>
          </w:p>
        </w:tc>
        <w:tc>
          <w:tcPr>
            <w:tcW w:type="dxa" w:w="2484"/>
          </w:tcPr>
          <w:p>
            <w:r>
              <w:t>Proposed, feasible, selected, or certified action not yet materialized</w:t>
            </w:r>
          </w:p>
        </w:tc>
        <w:tc>
          <w:tcPr>
            <w:tcW w:type="dxa" w:w="2484"/>
          </w:tcPr>
          <w:p>
            <w:r>
              <w:t>Fusion, sharding, communication, tiling, placement, quantization</w:t>
            </w:r>
          </w:p>
        </w:tc>
        <w:tc>
          <w:tcPr>
            <w:tcW w:type="dxa" w:w="2484"/>
          </w:tcPr>
          <w:p>
            <w:r>
              <w:t>Refined or rejected without mutating the semantic IR.</w:t>
            </w:r>
          </w:p>
        </w:tc>
      </w:tr>
      <w:tr>
        <w:tc>
          <w:tcPr>
            <w:tcW w:type="dxa" w:w="2484"/>
          </w:tcPr>
          <w:p>
            <w:r>
              <w:t>VirtualTensorStateIR</w:t>
            </w:r>
          </w:p>
        </w:tc>
        <w:tc>
          <w:tcPr>
            <w:tcW w:type="dxa" w:w="2484"/>
          </w:tcPr>
          <w:p>
            <w:r>
              <w:t>Projected representation under one candidate plan</w:t>
            </w:r>
          </w:p>
        </w:tc>
        <w:tc>
          <w:tcPr>
            <w:tcW w:type="dxa" w:w="2484"/>
          </w:tcPr>
          <w:p>
            <w:r>
              <w:t>Proposed local shape, partiality, collectives, tile/memory path</w:t>
            </w:r>
          </w:p>
        </w:tc>
        <w:tc>
          <w:tcPr>
            <w:tcW w:type="dxa" w:w="2484"/>
          </w:tcPr>
          <w:p>
            <w:r>
              <w:t>Analysis-only overlay; never treated as committed state.</w:t>
            </w:r>
          </w:p>
        </w:tc>
      </w:tr>
      <w:tr>
        <w:tc>
          <w:tcPr>
            <w:tcW w:type="dxa" w:w="2484"/>
          </w:tcPr>
          <w:p>
            <w:r>
              <w:t>Lineage and audit history</w:t>
            </w:r>
          </w:p>
        </w:tc>
        <w:tc>
          <w:tcPr>
            <w:tcW w:type="dxa" w:w="2484"/>
          </w:tcPr>
          <w:p>
            <w:r>
              <w:t>How information and decisions were produced</w:t>
            </w:r>
          </w:p>
        </w:tc>
        <w:tc>
          <w:tcPr>
            <w:tcW w:type="dxa" w:w="2484"/>
          </w:tcPr>
          <w:p>
            <w:r>
              <w:t>Origin operator IDs, fact evidence, plan snapshot, commit record</w:t>
            </w:r>
          </w:p>
        </w:tc>
        <w:tc>
          <w:tcPr>
            <w:tcW w:type="dxa" w:w="2484"/>
          </w:tcPr>
          <w:p>
            <w:r>
              <w:t>Append-oriented and reproducible.</w:t>
            </w:r>
          </w:p>
        </w:tc>
      </w:tr>
    </w:tbl>
    <w:p>
      <w:pPr>
        <w:pStyle w:val="CodeBlock"/>
      </w:pPr>
      <w:r>
        <w:t>Preserve semantics.</w:t>
        <w:br/>
        <w:t>Accumulate facts.</w:t>
        <w:br/>
        <w:t>Plan non-destructively.</w:t>
        <w:br/>
        <w:t>Commit explicitly.</w:t>
        <w:br/>
        <w:t>Lower late.</w:t>
      </w:r>
    </w:p>
    <w:p>
      <w:pPr>
        <w:pStyle w:val="Heading2"/>
      </w:pPr>
      <w:r>
        <w:t>10.2 DerivedAnalysisFactIR</w:t>
      </w:r>
    </w:p>
    <w:p>
      <w:r>
        <w:t>DerivedAnalysisFactIR is the typed repository for optimization-critical knowledge that should survive compatible passes but is not intrinsic application semantics. Facts record their evidence, dependencies, confidence, scope, producer, preservation rules, and invalidation conditions.</w:t>
      </w:r>
    </w:p>
    <w:p>
      <w:pPr>
        <w:pStyle w:val="CodeBlock"/>
      </w:pPr>
      <w:r>
        <w:t>DerivedAnalysisFactIR {</w:t>
        <w:br/>
        <w:t xml:space="preserve">  fact_id</w:t>
        <w:br/>
        <w:t xml:space="preserve">  subject: tensor_id | operator_id | region_id | graph_id</w:t>
        <w:br/>
        <w:t xml:space="preserve">  fact_kind</w:t>
        <w:br/>
        <w:t xml:space="preserve">  value</w:t>
        <w:br/>
        <w:t xml:space="preserve">  fact_class: proven | inferred | profiled | estimated | assumed</w:t>
        <w:br/>
        <w:t xml:space="preserve">  producer_analysis</w:t>
        <w:br/>
        <w:t xml:space="preserve">  compilation_epoch</w:t>
        <w:br/>
        <w:t xml:space="preserve">  dependency_set: [operators, tensors, traits, shapes, mappings,</w:t>
        <w:br/>
        <w:t xml:space="preserve">                   target_capabilities, profile_data, model_snapshot]</w:t>
        <w:br/>
        <w:t xml:space="preserve">  validity_scope: program | function | region | phase | target |</w:t>
        <w:br/>
        <w:t xml:space="preserve">                  shape_bucket | runtime_variant</w:t>
        <w:br/>
        <w:t xml:space="preserve">  confidence</w:t>
        <w:br/>
        <w:t xml:space="preserve">  proof_or_evidence</w:t>
        <w:br/>
        <w:t xml:space="preserve">  preserved_by</w:t>
        <w:br/>
        <w:t xml:space="preserve">  invalidated_by</w:t>
        <w:br/>
        <w:t xml:space="preserve">  consumer_passes</w:t>
        <w:br/>
        <w:t xml:space="preserve">  diagnostic_owner</w:t>
        <w:br/>
        <w:t>}</w:t>
      </w:r>
    </w:p>
    <w:tbl>
      <w:tblPr>
        <w:tblStyle w:val="TableGrid"/>
        <w:tblW w:type="auto" w:w="0"/>
        <w:tblLayout w:type="autofit"/>
        <w:tblLook w:firstColumn="1" w:firstRow="1" w:lastColumn="0" w:lastRow="0" w:noHBand="0" w:noVBand="1" w:val="04A0"/>
      </w:tblPr>
      <w:tblGrid>
        <w:gridCol w:w="3312"/>
        <w:gridCol w:w="3312"/>
        <w:gridCol w:w="3312"/>
      </w:tblGrid>
      <w:tr>
        <w:trPr>
          <w:tblHeader w:val="true"/>
        </w:trPr>
        <w:tc>
          <w:tcPr>
            <w:tcW w:type="dxa" w:w="3312"/>
          </w:tcPr>
          <w:p>
            <w:r>
              <w:rPr>
                <w:b/>
              </w:rPr>
              <w:t>Fact family</w:t>
            </w:r>
          </w:p>
        </w:tc>
        <w:tc>
          <w:tcPr>
            <w:tcW w:type="dxa" w:w="3312"/>
          </w:tcPr>
          <w:p>
            <w:r>
              <w:rPr>
                <w:b/>
              </w:rPr>
              <w:t>Representative facts</w:t>
            </w:r>
          </w:p>
        </w:tc>
        <w:tc>
          <w:tcPr>
            <w:tcW w:type="dxa" w:w="3312"/>
          </w:tcPr>
          <w:p>
            <w:r>
              <w:rPr>
                <w:b/>
              </w:rPr>
              <w:t>Primary consumers</w:t>
            </w:r>
          </w:p>
        </w:tc>
      </w:tr>
      <w:tr>
        <w:tc>
          <w:tcPr>
            <w:tcW w:type="dxa" w:w="3312"/>
          </w:tcPr>
          <w:p>
            <w:r>
              <w:t>Shape/axis</w:t>
            </w:r>
          </w:p>
        </w:tc>
        <w:tc>
          <w:tcPr>
            <w:tcW w:type="dxa" w:w="3312"/>
          </w:tcPr>
          <w:p>
            <w:r>
              <w:t>factorization, divisibility, local-shape formula, axis equivalence</w:t>
            </w:r>
          </w:p>
        </w:tc>
        <w:tc>
          <w:tcPr>
            <w:tcW w:type="dxa" w:w="3312"/>
          </w:tcPr>
          <w:p>
            <w:r>
              <w:t>sharding, tiling, layout, fusion</w:t>
            </w:r>
          </w:p>
        </w:tc>
      </w:tr>
      <w:tr>
        <w:tc>
          <w:tcPr>
            <w:tcW w:type="dxa" w:w="3312"/>
          </w:tcPr>
          <w:p>
            <w:r>
              <w:t>Dataflow/lifetime</w:t>
            </w:r>
          </w:p>
        </w:tc>
        <w:tc>
          <w:tcPr>
            <w:tcW w:type="dxa" w:w="3312"/>
          </w:tcPr>
          <w:p>
            <w:r>
              <w:t>producer/consumer set, use count, dominance, first/last use</w:t>
            </w:r>
          </w:p>
        </w:tc>
        <w:tc>
          <w:tcPr>
            <w:tcW w:type="dxa" w:w="3312"/>
          </w:tcPr>
          <w:p>
            <w:r>
              <w:t>memory reuse, rematerialization, scheduling</w:t>
            </w:r>
          </w:p>
        </w:tc>
      </w:tr>
      <w:tr>
        <w:tc>
          <w:tcPr>
            <w:tcW w:type="dxa" w:w="3312"/>
          </w:tcPr>
          <w:p>
            <w:r>
              <w:t>Availability/distribution</w:t>
            </w:r>
          </w:p>
        </w:tc>
        <w:tc>
          <w:tcPr>
            <w:tcW w:type="dxa" w:w="3312"/>
          </w:tcPr>
          <w:p>
            <w:r>
              <w:t>owner, ready event, partiality, legal shard axes, collective obligation</w:t>
            </w:r>
          </w:p>
        </w:tc>
        <w:tc>
          <w:tcPr>
            <w:tcW w:type="dxa" w:w="3312"/>
          </w:tcPr>
          <w:p>
            <w:r>
              <w:t>communication, placement, pipeline readiness</w:t>
            </w:r>
          </w:p>
        </w:tc>
      </w:tr>
      <w:tr>
        <w:tc>
          <w:tcPr>
            <w:tcW w:type="dxa" w:w="3312"/>
          </w:tcPr>
          <w:p>
            <w:r>
              <w:t>Memory/locality</w:t>
            </w:r>
          </w:p>
        </w:tc>
        <w:tc>
          <w:tcPr>
            <w:tcW w:type="dxa" w:w="3312"/>
          </w:tcPr>
          <w:p>
            <w:r>
              <w:t>footprint, reuse distance, traffic, bandwidth demand, spill risk</w:t>
            </w:r>
          </w:p>
        </w:tc>
        <w:tc>
          <w:tcPr>
            <w:tcW w:type="dxa" w:w="3312"/>
          </w:tcPr>
          <w:p>
            <w:r>
              <w:t>fusion, placement, tiling, arena planning</w:t>
            </w:r>
          </w:p>
        </w:tc>
      </w:tr>
      <w:tr>
        <w:tc>
          <w:tcPr>
            <w:tcW w:type="dxa" w:w="3312"/>
          </w:tcPr>
          <w:p>
            <w:r>
              <w:t>Fusion/tiling</w:t>
            </w:r>
          </w:p>
        </w:tc>
        <w:tc>
          <w:tcPr>
            <w:tcW w:type="dxa" w:w="3312"/>
          </w:tcPr>
          <w:p>
            <w:r>
              <w:t>candidate region, decomposition legality, legal tile ranges, capacity bounds</w:t>
            </w:r>
          </w:p>
        </w:tc>
        <w:tc>
          <w:tcPr>
            <w:tcW w:type="dxa" w:w="3312"/>
          </w:tcPr>
          <w:p>
            <w:r>
              <w:t>FusionAnalysisViewIR, TilePlanIR</w:t>
            </w:r>
          </w:p>
        </w:tc>
      </w:tr>
      <w:tr>
        <w:tc>
          <w:tcPr>
            <w:tcW w:type="dxa" w:w="3312"/>
          </w:tcPr>
          <w:p>
            <w:r>
              <w:t>Precision/security</w:t>
            </w:r>
          </w:p>
        </w:tc>
        <w:tc>
          <w:tcPr>
            <w:tcW w:type="dxa" w:w="3312"/>
          </w:tcPr>
          <w:p>
            <w:r>
              <w:t>sensitivity, dequant boundary, confidentiality propagation</w:t>
            </w:r>
          </w:p>
        </w:tc>
        <w:tc>
          <w:tcPr>
            <w:tcW w:type="dxa" w:w="3312"/>
          </w:tcPr>
          <w:p>
            <w:r>
              <w:t>quantization, movement, telemetry governance</w:t>
            </w:r>
          </w:p>
        </w:tc>
      </w:tr>
      <w:tr>
        <w:tc>
          <w:tcPr>
            <w:tcW w:type="dxa" w:w="3312"/>
          </w:tcPr>
          <w:p>
            <w:r>
              <w:t>Performance prediction</w:t>
            </w:r>
          </w:p>
        </w:tc>
        <w:tc>
          <w:tcPr>
            <w:tcW w:type="dxa" w:w="3312"/>
          </w:tcPr>
          <w:p>
            <w:r>
              <w:t>latency, service rate, II, starvation/backpressure estimate</w:t>
            </w:r>
          </w:p>
        </w:tc>
        <w:tc>
          <w:tcPr>
            <w:tcW w:type="dxa" w:w="3312"/>
          </w:tcPr>
          <w:p>
            <w:r>
              <w:t>plan ranking and runtime variant selection</w:t>
            </w:r>
          </w:p>
        </w:tc>
      </w:tr>
    </w:tbl>
    <w:p>
      <w:pPr>
        <w:pStyle w:val="Heading2"/>
      </w:pPr>
      <w:r>
        <w:t>10.3 OptimizationPlanIR and Plan Families</w:t>
      </w:r>
    </w:p>
    <w:p>
      <w:pPr>
        <w:pStyle w:val="CodeBlock"/>
      </w:pPr>
      <w:r>
        <w:t>OptimizationPlanIR {</w:t>
        <w:br/>
        <w:t xml:space="preserve">  plan_id</w:t>
        <w:br/>
        <w:t xml:space="preserve">  plan_kind</w:t>
        <w:br/>
        <w:t xml:space="preserve">  target_scope: [operator_ids, tensor_ids, region_id]</w:t>
        <w:br/>
        <w:t xml:space="preserve">  status: proposed | feasible | selected | certified |</w:t>
        <w:br/>
        <w:t xml:space="preserve">          materialized | rejected</w:t>
        <w:br/>
        <w:t xml:space="preserve">  decisions</w:t>
        <w:br/>
        <w:t xml:space="preserve">  alternatives</w:t>
        <w:br/>
        <w:t xml:space="preserve">  required_fact_ids</w:t>
        <w:br/>
        <w:t xml:space="preserve">  semantic_constraints</w:t>
        <w:br/>
        <w:t xml:space="preserve">  target_constraints</w:t>
        <w:br/>
        <w:t xml:space="preserve">  runtime_guards</w:t>
        <w:br/>
        <w:t xml:space="preserve">  predicted_cost_fact_ids</w:t>
        <w:br/>
        <w:t xml:space="preserve">  invalidation_conditions</w:t>
        <w:br/>
        <w:t xml:space="preserve">  materialization_pass</w:t>
        <w:br/>
        <w:t xml:space="preserve">  origin_operator_ids</w:t>
        <w:br/>
        <w:t>}</w:t>
      </w:r>
    </w:p>
    <w:tbl>
      <w:tblPr>
        <w:tblStyle w:val="TableGrid"/>
        <w:tblW w:type="auto" w:w="0"/>
        <w:tblLayout w:type="autofit"/>
        <w:tblLook w:firstColumn="1" w:firstRow="1" w:lastColumn="0" w:lastRow="0" w:noHBand="0" w:noVBand="1" w:val="04A0"/>
      </w:tblPr>
      <w:tblGrid>
        <w:gridCol w:w="3312"/>
        <w:gridCol w:w="3312"/>
        <w:gridCol w:w="3312"/>
      </w:tblGrid>
      <w:tr>
        <w:trPr>
          <w:tblHeader w:val="true"/>
        </w:trPr>
        <w:tc>
          <w:tcPr>
            <w:tcW w:type="dxa" w:w="3312"/>
          </w:tcPr>
          <w:p>
            <w:r>
              <w:rPr>
                <w:b/>
              </w:rPr>
              <w:t>Plan family</w:t>
            </w:r>
          </w:p>
        </w:tc>
        <w:tc>
          <w:tcPr>
            <w:tcW w:type="dxa" w:w="3312"/>
          </w:tcPr>
          <w:p>
            <w:r>
              <w:rPr>
                <w:b/>
              </w:rPr>
              <w:t>Decision represented before materialization</w:t>
            </w:r>
          </w:p>
        </w:tc>
        <w:tc>
          <w:tcPr>
            <w:tcW w:type="dxa" w:w="3312"/>
          </w:tcPr>
          <w:p>
            <w:r>
              <w:rPr>
                <w:b/>
              </w:rPr>
              <w:t>Typical commit pass</w:t>
            </w:r>
          </w:p>
        </w:tc>
      </w:tr>
      <w:tr>
        <w:tc>
          <w:tcPr>
            <w:tcW w:type="dxa" w:w="3312"/>
          </w:tcPr>
          <w:p>
            <w:r>
              <w:t>FusionPlanIR</w:t>
            </w:r>
          </w:p>
        </w:tc>
        <w:tc>
          <w:tcPr>
            <w:tcW w:type="dxa" w:w="3312"/>
          </w:tcPr>
          <w:p>
            <w:r>
              <w:t>semantic region, decomposition view, protected boundaries, backend realization</w:t>
            </w:r>
          </w:p>
        </w:tc>
        <w:tc>
          <w:tcPr>
            <w:tcW w:type="dxa" w:w="3312"/>
          </w:tcPr>
          <w:p>
            <w:r>
              <w:t>CommitFusionPlan</w:t>
            </w:r>
          </w:p>
        </w:tc>
      </w:tr>
      <w:tr>
        <w:tc>
          <w:tcPr>
            <w:tcW w:type="dxa" w:w="3312"/>
          </w:tcPr>
          <w:p>
            <w:r>
              <w:t>TensorAxisMapPlanIR</w:t>
            </w:r>
          </w:p>
        </w:tc>
        <w:tc>
          <w:tcPr>
            <w:tcW w:type="dxa" w:w="3312"/>
          </w:tcPr>
          <w:p>
            <w:r>
              <w:t>logical-axis mapping, replication, offsets, local-shape formulas</w:t>
            </w:r>
          </w:p>
        </w:tc>
        <w:tc>
          <w:tcPr>
            <w:tcW w:type="dxa" w:w="3312"/>
          </w:tcPr>
          <w:p>
            <w:r>
              <w:t>CommitShardingPlan</w:t>
            </w:r>
          </w:p>
        </w:tc>
      </w:tr>
      <w:tr>
        <w:tc>
          <w:tcPr>
            <w:tcW w:type="dxa" w:w="3312"/>
          </w:tcPr>
          <w:p>
            <w:r>
              <w:t>CommunicationPlanIR</w:t>
            </w:r>
          </w:p>
        </w:tc>
        <w:tc>
          <w:tcPr>
            <w:tcW w:type="dxa" w:w="3312"/>
          </w:tcPr>
          <w:p>
            <w:r>
              <w:t>collectives, point-to-point transfers, buffers and ordering</w:t>
            </w:r>
          </w:p>
        </w:tc>
        <w:tc>
          <w:tcPr>
            <w:tcW w:type="dxa" w:w="3312"/>
          </w:tcPr>
          <w:p>
            <w:r>
              <w:t>CommitCommunicationPlan</w:t>
            </w:r>
          </w:p>
        </w:tc>
      </w:tr>
      <w:tr>
        <w:tc>
          <w:tcPr>
            <w:tcW w:type="dxa" w:w="3312"/>
          </w:tcPr>
          <w:p>
            <w:r>
              <w:t>TilePlanIR</w:t>
            </w:r>
          </w:p>
        </w:tc>
        <w:tc>
          <w:tcPr>
            <w:tcW w:type="dxa" w:w="3312"/>
          </w:tcPr>
          <w:p>
            <w:r>
              <w:t>device/SM/CTA/warp/TMEM/register mapping and memory path</w:t>
            </w:r>
          </w:p>
        </w:tc>
        <w:tc>
          <w:tcPr>
            <w:tcW w:type="dxa" w:w="3312"/>
          </w:tcPr>
          <w:p>
            <w:r>
              <w:t>CommitTilePlan</w:t>
            </w:r>
          </w:p>
        </w:tc>
      </w:tr>
      <w:tr>
        <w:tc>
          <w:tcPr>
            <w:tcW w:type="dxa" w:w="3312"/>
          </w:tcPr>
          <w:p>
            <w:r>
              <w:t>MemoryPlacementPlanIR</w:t>
            </w:r>
          </w:p>
        </w:tc>
        <w:tc>
          <w:tcPr>
            <w:tcW w:type="dxa" w:w="3312"/>
          </w:tcPr>
          <w:p>
            <w:r>
              <w:t>home/working tiers, arenas, prefetch, spill and offload</w:t>
            </w:r>
          </w:p>
        </w:tc>
        <w:tc>
          <w:tcPr>
            <w:tcW w:type="dxa" w:w="3312"/>
          </w:tcPr>
          <w:p>
            <w:r>
              <w:t>CommitMemoryPlan</w:t>
            </w:r>
          </w:p>
        </w:tc>
      </w:tr>
      <w:tr>
        <w:tc>
          <w:tcPr>
            <w:tcW w:type="dxa" w:w="3312"/>
          </w:tcPr>
          <w:p>
            <w:r>
              <w:t>QuantizationPlanIR</w:t>
            </w:r>
          </w:p>
        </w:tc>
        <w:tc>
          <w:tcPr>
            <w:tcW w:type="dxa" w:w="3312"/>
          </w:tcPr>
          <w:p>
            <w:r>
              <w:t>storage/compute precision, scales, protected boundaries</w:t>
            </w:r>
          </w:p>
        </w:tc>
        <w:tc>
          <w:tcPr>
            <w:tcW w:type="dxa" w:w="3312"/>
          </w:tcPr>
          <w:p>
            <w:r>
              <w:t>CommitQuantizationPlan</w:t>
            </w:r>
          </w:p>
        </w:tc>
      </w:tr>
      <w:tr>
        <w:tc>
          <w:tcPr>
            <w:tcW w:type="dxa" w:w="3312"/>
          </w:tcPr>
          <w:p>
            <w:r>
              <w:t>RecomputationPlanIR</w:t>
            </w:r>
          </w:p>
        </w:tc>
        <w:tc>
          <w:tcPr>
            <w:tcW w:type="dxa" w:w="3312"/>
          </w:tcPr>
          <w:p>
            <w:r>
              <w:t>saved versus rematerialized values and replay constraints</w:t>
            </w:r>
          </w:p>
        </w:tc>
        <w:tc>
          <w:tcPr>
            <w:tcW w:type="dxa" w:w="3312"/>
          </w:tcPr>
          <w:p>
            <w:r>
              <w:t>CommitRecomputationPlan</w:t>
            </w:r>
          </w:p>
        </w:tc>
      </w:tr>
      <w:tr>
        <w:tc>
          <w:tcPr>
            <w:tcW w:type="dxa" w:w="3312"/>
          </w:tcPr>
          <w:p>
            <w:r>
              <w:t>PipelineBalancePlanIR</w:t>
            </w:r>
          </w:p>
        </w:tc>
        <w:tc>
          <w:tcPr>
            <w:tcW w:type="dxa" w:w="3312"/>
          </w:tcPr>
          <w:p>
            <w:r>
              <w:t>stage assignment, buffering, replication and runtime variants</w:t>
            </w:r>
          </w:p>
        </w:tc>
        <w:tc>
          <w:tcPr>
            <w:tcW w:type="dxa" w:w="3312"/>
          </w:tcPr>
          <w:p>
            <w:r>
              <w:t>CommitPipelinePlan</w:t>
            </w:r>
          </w:p>
        </w:tc>
      </w:tr>
    </w:tbl>
    <w:p>
      <w:pPr>
        <w:pStyle w:val="Heading2"/>
      </w:pPr>
      <w:r>
        <w:t>10.4 VirtualTensorStateIR and Non-Destructive Plan Overlays</w:t>
      </w:r>
    </w:p>
    <w:p>
      <w:pPr>
        <w:pStyle w:val="CodeBlock"/>
      </w:pPr>
      <w:r>
        <w:t>VirtualTensorStateIR {</w:t>
        <w:br/>
        <w:t xml:space="preserve">  source_tensor_id</w:t>
        <w:br/>
        <w:t xml:space="preserve">  plan_id</w:t>
        <w:br/>
        <w:t xml:space="preserve">  proposed_shape</w:t>
        <w:br/>
        <w:t xml:space="preserve">  proposed_axis_map</w:t>
        <w:br/>
        <w:t xml:space="preserve">  proposed_partiality</w:t>
        <w:br/>
        <w:t xml:space="preserve">  proposed_layout</w:t>
        <w:br/>
        <w:t xml:space="preserve">  proposed_memory_path</w:t>
        <w:br/>
        <w:t xml:space="preserve">  proposed_lifetime</w:t>
        <w:br/>
        <w:t xml:space="preserve">  proposed_collectives</w:t>
        <w:br/>
        <w:t xml:space="preserve">  proposed_ready_events</w:t>
        <w:br/>
        <w:t xml:space="preserve">  materialized: false</w:t>
        <w:br/>
        <w:t>}</w:t>
      </w:r>
    </w:p>
    <w:p>
      <w:r>
        <w:t>A virtual state lets analyses inspect the effects of TP/CP/EP mapping, partial results, collectives, tiling, and memory placement without exploding the canonical graph into slices, reshapes, buffers, and target operations. Debuggers must be able to display semantic IR, facts, candidate plans, virtual states, selected plans, and committed IR separately.</w:t>
      </w:r>
    </w:p>
    <w:p>
      <w:pPr>
        <w:pStyle w:val="Heading2"/>
      </w:pPr>
      <w:r>
        <w:t>10.5 FusionAnalysisViewIR</w:t>
      </w:r>
    </w:p>
    <w:p>
      <w:r>
        <w:t>High-level operators such as RMSNorm, QKV projection, RoPE, attention, output projection, and residual addition are semantic source regions for fusion discovery; they are not assumed to be the literal operands of every backend fusion pass. FusionAnalysisViewIR exposes a non-destructive tensor-level or backend-pattern decomposition while preserving the canonical operator identity. TVM commonly legalizes Relax operators to call_tir/TIR functions before FuseOps/FuseTIR; XLA GPU fusions operate on HLO instructions and backend emitters [77][78].</w:t>
      </w:r>
    </w:p>
    <w:p>
      <w:pPr>
        <w:pStyle w:val="CodeBlock"/>
      </w:pPr>
      <w:r>
        <w:t>FusionAnalysisViewIR {</w:t>
        <w:br/>
        <w:t xml:space="preserve">  semantic_operator_id</w:t>
        <w:br/>
        <w:t xml:space="preserve">  decomposition_graph:</w:t>
        <w:br/>
        <w:t xml:space="preserve">    tensor_ops</w:t>
        <w:br/>
        <w:t xml:space="preserve">    reductions</w:t>
        <w:br/>
        <w:t xml:space="preserve">    broadcasts</w:t>
        <w:br/>
        <w:t xml:space="preserve">    reshapes</w:t>
        <w:br/>
        <w:t xml:space="preserve">    memory_effects</w:t>
        <w:br/>
        <w:t xml:space="preserve">  decomposition_level: semantic | tensor | backend_pattern | kernel</w:t>
        <w:br/>
        <w:t xml:space="preserve">  semantic_equivalence_contract</w:t>
        <w:br/>
        <w:t xml:space="preserve">  precision_contract</w:t>
        <w:br/>
        <w:t xml:space="preserve">  expansion_version</w:t>
        <w:br/>
        <w:t xml:space="preserve">  target_pattern_ids</w:t>
        <w:br/>
        <w:t xml:space="preserve">  analysis_only: true</w:t>
        <w:br/>
        <w:t>}</w:t>
      </w:r>
    </w:p>
    <w:p>
      <w:pPr>
        <w:pStyle w:val="Heading2"/>
      </w:pPr>
      <w:r>
        <w:t>10.6 Delayed Fusion Planning and Late Materialization</w:t>
      </w:r>
    </w:p>
    <w:p>
      <w:r>
        <w:t>Fusion analysis begins early, but semantic operator identity is erased only by an explicit commit pass. Candidate regions may overlap and may refer to several decomposition views. Final selection waits until shard ownership, collective boundaries, local shapes, availability, quantization/dequantization boundaries, shared/TMEM/register capacity, and backend capability are known.</w:t>
      </w:r>
    </w:p>
    <w:p>
      <w:pPr>
        <w:pStyle w:val="CodeBlock"/>
      </w:pPr>
      <w:r>
        <w:t>FusionCandidateIR {</w:t>
        <w:br/>
        <w:t xml:space="preserve">  candidate_id</w:t>
        <w:br/>
        <w:t xml:space="preserve">  semantic_operator_ids</w:t>
        <w:br/>
        <w:t xml:space="preserve">  analysis_view_ids</w:t>
        <w:br/>
        <w:t xml:space="preserve">  backend_realization_candidates</w:t>
        <w:br/>
        <w:t xml:space="preserve">  semantic_boundary</w:t>
        <w:br/>
        <w:t xml:space="preserve">  tensor_inputs</w:t>
        <w:br/>
        <w:t xml:space="preserve">  tensor_outputs</w:t>
        <w:br/>
        <w:t xml:space="preserve">  internal_tensors</w:t>
        <w:br/>
        <w:t xml:space="preserve">  legality_fact_ids</w:t>
        <w:br/>
        <w:t xml:space="preserve">  required_conditions</w:t>
        <w:br/>
        <w:t xml:space="preserve">  estimated_benefits</w:t>
        <w:br/>
        <w:t xml:space="preserve">  estimated_costs</w:t>
        <w:br/>
        <w:t xml:space="preserve">  protected_boundaries</w:t>
        <w:br/>
        <w:t>}</w:t>
      </w:r>
    </w:p>
    <w:tbl>
      <w:tblPr>
        <w:tblStyle w:val="TableGrid"/>
        <w:tblW w:type="auto" w:w="0"/>
        <w:tblLayout w:type="autofit"/>
        <w:tblLook w:firstColumn="1" w:firstRow="1" w:lastColumn="0" w:lastRow="0" w:noHBand="0" w:noVBand="1" w:val="04A0"/>
      </w:tblPr>
      <w:tblGrid>
        <w:gridCol w:w="3312"/>
        <w:gridCol w:w="3312"/>
        <w:gridCol w:w="3312"/>
      </w:tblGrid>
      <w:tr>
        <w:trPr>
          <w:tblHeader w:val="true"/>
        </w:trPr>
        <w:tc>
          <w:tcPr>
            <w:tcW w:type="dxa" w:w="3312"/>
          </w:tcPr>
          <w:p>
            <w:r>
              <w:rPr>
                <w:b/>
              </w:rPr>
              <w:t>Fusion phase</w:t>
            </w:r>
          </w:p>
        </w:tc>
        <w:tc>
          <w:tcPr>
            <w:tcW w:type="dxa" w:w="3312"/>
          </w:tcPr>
          <w:p>
            <w:r>
              <w:rPr>
                <w:b/>
              </w:rPr>
              <w:t>Compiler activity</w:t>
            </w:r>
          </w:p>
        </w:tc>
        <w:tc>
          <w:tcPr>
            <w:tcW w:type="dxa" w:w="3312"/>
          </w:tcPr>
          <w:p>
            <w:r>
              <w:rPr>
                <w:b/>
              </w:rPr>
              <w:t>IR mutation policy</w:t>
            </w:r>
          </w:p>
        </w:tc>
      </w:tr>
      <w:tr>
        <w:tc>
          <w:tcPr>
            <w:tcW w:type="dxa" w:w="3312"/>
          </w:tcPr>
          <w:p>
            <w:r>
              <w:t>Candidate discovery</w:t>
            </w:r>
          </w:p>
        </w:tc>
        <w:tc>
          <w:tcPr>
            <w:tcW w:type="dxa" w:w="3312"/>
          </w:tcPr>
          <w:p>
            <w:r>
              <w:t>recognize semantic regions and overlapping alternatives</w:t>
            </w:r>
          </w:p>
        </w:tc>
        <w:tc>
          <w:tcPr>
            <w:tcW w:type="dxa" w:w="3312"/>
          </w:tcPr>
          <w:p>
            <w:r>
              <w:t>no semantic mutation</w:t>
            </w:r>
          </w:p>
        </w:tc>
      </w:tr>
      <w:tr>
        <w:tc>
          <w:tcPr>
            <w:tcW w:type="dxa" w:w="3312"/>
          </w:tcPr>
          <w:p>
            <w:r>
              <w:t>Decomposition analysis</w:t>
            </w:r>
          </w:p>
        </w:tc>
        <w:tc>
          <w:tcPr>
            <w:tcW w:type="dxa" w:w="3312"/>
          </w:tcPr>
          <w:p>
            <w:r>
              <w:t>expose tensor operations and memory effects through analysis views</w:t>
            </w:r>
          </w:p>
        </w:tc>
        <w:tc>
          <w:tcPr>
            <w:tcW w:type="dxa" w:w="3312"/>
          </w:tcPr>
          <w:p>
            <w:r>
              <w:t>analysis-only</w:t>
            </w:r>
          </w:p>
        </w:tc>
      </w:tr>
      <w:tr>
        <w:tc>
          <w:tcPr>
            <w:tcW w:type="dxa" w:w="3312"/>
          </w:tcPr>
          <w:p>
            <w:r>
              <w:t>Joint planning</w:t>
            </w:r>
          </w:p>
        </w:tc>
        <w:tc>
          <w:tcPr>
            <w:tcW w:type="dxa" w:w="3312"/>
          </w:tcPr>
          <w:p>
            <w:r>
              <w:t>coordinate fusion with sharding, tiling, precision and memory</w:t>
            </w:r>
          </w:p>
        </w:tc>
        <w:tc>
          <w:tcPr>
            <w:tcW w:type="dxa" w:w="3312"/>
          </w:tcPr>
          <w:p>
            <w:r>
              <w:t>plan overlay only</w:t>
            </w:r>
          </w:p>
        </w:tc>
      </w:tr>
      <w:tr>
        <w:tc>
          <w:tcPr>
            <w:tcW w:type="dxa" w:w="3312"/>
          </w:tcPr>
          <w:p>
            <w:r>
              <w:t>Certification</w:t>
            </w:r>
          </w:p>
        </w:tc>
        <w:tc>
          <w:tcPr>
            <w:tcW w:type="dxa" w:w="3312"/>
          </w:tcPr>
          <w:p>
            <w:r>
              <w:t>verify semantic, numeric, memory and target conditions</w:t>
            </w:r>
          </w:p>
        </w:tc>
        <w:tc>
          <w:tcPr>
            <w:tcW w:type="dxa" w:w="3312"/>
          </w:tcPr>
          <w:p>
            <w:r>
              <w:t>no executable rewrite</w:t>
            </w:r>
          </w:p>
        </w:tc>
      </w:tr>
      <w:tr>
        <w:tc>
          <w:tcPr>
            <w:tcW w:type="dxa" w:w="3312"/>
          </w:tcPr>
          <w:p>
            <w:r>
              <w:t>Materialization</w:t>
            </w:r>
          </w:p>
        </w:tc>
        <w:tc>
          <w:tcPr>
            <w:tcW w:type="dxa" w:w="3312"/>
          </w:tcPr>
          <w:p>
            <w:r>
              <w:t>emit grouped/fused operator, TIR/HLO fusion, plugin or native kernel</w:t>
            </w:r>
          </w:p>
        </w:tc>
        <w:tc>
          <w:tcPr>
            <w:tcW w:type="dxa" w:w="3312"/>
          </w:tcPr>
          <w:p>
            <w:r>
              <w:t>explicit commit with lineage</w:t>
            </w:r>
          </w:p>
        </w:tc>
      </w:tr>
    </w:tbl>
    <w:p>
      <w:pPr>
        <w:pStyle w:val="Heading2"/>
      </w:pPr>
      <w:r>
        <w:t>10.7 Delayed Sharding and Communication Planning</w:t>
      </w:r>
    </w:p>
    <w:p>
      <w:r>
        <w:t>Logical axes and mapping constraints should be propagated GSPMD/Shardy-style while the original global tensors remain authoritative [45][46][47]. TensorAxisMapPlanIR records proposed shard, replica, and offset mappings; virtual states record local shapes and partiality; CommunicationPlanIR records the transitions needed to satisfy consumers.</w:t>
      </w:r>
    </w:p>
    <w:p>
      <w:pPr>
        <w:pStyle w:val="CodeBlock"/>
      </w:pPr>
      <w:r>
        <w:t>TensorAxisMapPlanIR {</w:t>
        <w:br/>
        <w:t xml:space="preserve">  tensor_id</w:t>
        <w:br/>
        <w:t xml:space="preserve">  logical_axes</w:t>
        <w:br/>
        <w:t xml:space="preserve">  proposed_mapping</w:t>
        <w:br/>
        <w:t xml:space="preserve">  replica_mapping</w:t>
        <w:br/>
        <w:t xml:space="preserve">  offset_mapping</w:t>
        <w:br/>
        <w:t xml:space="preserve">  local_shape_formulas</w:t>
        <w:br/>
        <w:t xml:space="preserve">  partiality</w:t>
        <w:br/>
        <w:t xml:space="preserve">  required_transitions</w:t>
        <w:br/>
        <w:t xml:space="preserve">  availability_effects</w:t>
        <w:br/>
        <w:t xml:space="preserve">  memory_footprint</w:t>
        <w:br/>
        <w:t xml:space="preserve">  bandwidth_cost</w:t>
        <w:br/>
        <w:t xml:space="preserve">  required_fact_ids</w:t>
        <w:br/>
        <w:t>}</w:t>
      </w:r>
    </w:p>
    <w:p>
      <w:pPr>
        <w:pStyle w:val="Heading2"/>
      </w:pPr>
      <w:r>
        <w:t>10.8 Delayed Tiling and Physical Layout Planning</w:t>
      </w:r>
    </w:p>
    <w:p>
      <w:r>
        <w:t>Axe-style named physical axes allow inter-device sharding and intra-device tiling to share one mapping vocabulary without forcing early loop or thread-level mutation [76]. TilePlanIR may project device, SM, CTA, warpgroup, warp, lane, shared-memory, TMEM, and register mappings while the semantic tensor and operator graph remain unchanged.</w:t>
      </w:r>
    </w:p>
    <w:p>
      <w:pPr>
        <w:pStyle w:val="CodeBlock"/>
      </w:pPr>
      <w:r>
        <w:t>TilePlanIR {</w:t>
        <w:br/>
        <w:t xml:space="preserve">  operator_id</w:t>
        <w:br/>
        <w:t xml:space="preserve">  tensor_id</w:t>
        <w:br/>
        <w:t xml:space="preserve">  logical_tile</w:t>
        <w:br/>
        <w:t xml:space="preserve">  physical_axis_map:</w:t>
        <w:br/>
        <w:t xml:space="preserve">    device -&gt; SM -&gt; CTA -&gt; warpgroup -&gt; warp -&gt; lane</w:t>
        <w:br/>
        <w:t xml:space="preserve">  memory_path:</w:t>
        <w:br/>
        <w:t xml:space="preserve">    HBM -&gt; shared_memory -&gt; TMEM -&gt; register_fragment</w:t>
        <w:br/>
        <w:t xml:space="preserve">  synchronization</w:t>
        <w:br/>
        <w:t xml:space="preserve">  capacity_fact_ids</w:t>
        <w:br/>
        <w:t xml:space="preserve">  conflict_fact_ids</w:t>
        <w:br/>
        <w:t xml:space="preserve">  spill_risk_fact_id</w:t>
        <w:br/>
        <w:t xml:space="preserve">  materialized: false</w:t>
        <w:br/>
        <w:t>}</w:t>
      </w:r>
    </w:p>
    <w:p>
      <w:pPr>
        <w:pStyle w:val="Heading2"/>
      </w:pPr>
      <w:r>
        <w:t>10.9 Coordinated Plan Selection</w:t>
      </w:r>
    </w:p>
    <w:p>
      <w:r>
        <w:t>Fusion, sharding, communication, memory placement, quantization, rematerialization, tiling, and pipeline plans must be evaluated as a coordinated plan set. A locally optimal choice may invalidate a better global plan by creating a collective boundary, exceeding local memory, increasing live ranges, or crossing a protected precision boundary. Chapter 11 supplies confidence-qualified predictions for each coordinated candidate.</w:t>
      </w:r>
    </w:p>
    <w:p>
      <w:pPr>
        <w:pStyle w:val="CodeBlock"/>
      </w:pPr>
      <w:r>
        <w:t>CoordinatedPlanSetIR {</w:t>
        <w:br/>
        <w:t xml:space="preserve">  plan_set_id</w:t>
        <w:br/>
        <w:t xml:space="preserve">  member_plan_ids</w:t>
        <w:br/>
        <w:t xml:space="preserve">  shared_fact_ids</w:t>
        <w:br/>
        <w:t xml:space="preserve">  compatibility_constraints</w:t>
        <w:br/>
        <w:t xml:space="preserve">  predicted_cost_fact_ids</w:t>
        <w:br/>
        <w:t xml:space="preserve">  semantic_certification</w:t>
        <w:br/>
        <w:t xml:space="preserve">  memory_certification</w:t>
        <w:br/>
        <w:t xml:space="preserve">  performance_model_snapshot_id</w:t>
        <w:br/>
        <w:t xml:space="preserve">  status</w:t>
        <w:br/>
        <w:t>}</w:t>
      </w:r>
    </w:p>
    <w:p>
      <w:pPr>
        <w:pStyle w:val="Heading2"/>
      </w:pPr>
      <w:r>
        <w:t>10.10 Explicit Materialization Passes</w:t>
      </w:r>
    </w:p>
    <w:p>
      <w:pPr>
        <w:pStyle w:val="CodeBlock"/>
      </w:pPr>
      <w:r>
        <w:t>Commit order (subject to dependency proof):</w:t>
        <w:br/>
        <w:t xml:space="preserve">  CommitShardingPlan</w:t>
        <w:br/>
        <w:t xml:space="preserve">  CommitCommunicationPlan</w:t>
        <w:br/>
        <w:t xml:space="preserve">  CommitMemoryAndArenaPlan</w:t>
        <w:br/>
        <w:t xml:space="preserve">  CommitFusionPlan</w:t>
        <w:br/>
        <w:t xml:space="preserve">  CommitPhysicalLayoutAndTilePlan</w:t>
        <w:br/>
        <w:t xml:space="preserve">  CommitQuantizationAndRecomputationPlan</w:t>
        <w:br/>
        <w:t xml:space="preserve">  LowerToBackendKernelsAndRuntimeCalls</w:t>
      </w:r>
    </w:p>
    <w:p>
      <w:r>
        <w:t>Every commit pass must preserve semantic origin IDs, emit TensorEvolutionRecord entries, invalidate stale facts and alternative plans, and leave sufficient lineage to reconstruct why the transformation was selected.</w:t>
      </w:r>
    </w:p>
    <w:p>
      <w:pPr>
        <w:pStyle w:val="Heading2"/>
      </w:pPr>
      <w:r>
        <w:t>10.11 Fact and Plan Invalidation</w:t>
      </w:r>
    </w:p>
    <w:p>
      <w:pPr>
        <w:pStyle w:val="CodeBlock"/>
      </w:pPr>
      <w:r>
        <w:t>PassContract {</w:t>
        <w:br/>
        <w:t xml:space="preserve">  reads_ir</w:t>
        <w:br/>
        <w:t xml:space="preserve">  reads_traits</w:t>
        <w:br/>
        <w:t xml:space="preserve">  reads_facts</w:t>
        <w:br/>
        <w:t xml:space="preserve">  reads_plans</w:t>
        <w:br/>
        <w:t xml:space="preserve">  produces_facts</w:t>
        <w:br/>
        <w:t xml:space="preserve">  refines_plans</w:t>
        <w:br/>
        <w:t xml:space="preserve">  preserves_facts</w:t>
        <w:br/>
        <w:t xml:space="preserve">  invalidates_facts</w:t>
        <w:br/>
        <w:t xml:space="preserve">  invalidates_plans</w:t>
        <w:br/>
        <w:t xml:space="preserve">  mutates_semantic_ir</w:t>
        <w:br/>
        <w:t xml:space="preserve">  materializes_plan</w:t>
        <w:br/>
        <w:t xml:space="preserve">  preserves_origin_lineage</w:t>
        <w:br/>
        <w:t>}</w:t>
      </w:r>
    </w:p>
    <w:p>
      <w:r>
        <w:t>A new performance-model epoch, target capability, shape distribution, materialized shard map, or fusion boundary may invalidate previously valid predictions and plans. Invalidation must propagate through explicit dependency graphs; stale facts may not be silently consumed.</w:t>
      </w:r>
    </w:p>
    <w:p>
      <w:pPr>
        <w:pStyle w:val="Heading2"/>
      </w:pPr>
      <w:r>
        <w:t>10.12 Analysis Debugging and Transformation Lineage</w:t>
      </w:r>
    </w:p>
    <w:p>
      <w:pPr>
        <w:pStyle w:val="CodeBlock"/>
      </w:pPr>
      <w:r>
        <w:t>Required debug views:</w:t>
        <w:br/>
        <w:t xml:space="preserve">  1. canonical semantic high-level IR</w:t>
        <w:br/>
        <w:t xml:space="preserve">  2. durable tensor traits and contracts</w:t>
        <w:br/>
        <w:t xml:space="preserve">  3. derived facts with evidence, confidence, scope and dependencies</w:t>
        <w:br/>
        <w:t xml:space="preserve">  4. fusion analysis decompositions</w:t>
        <w:br/>
        <w:t xml:space="preserve">  5. candidate and selected coordinated plans</w:t>
        <w:br/>
        <w:t xml:space="preserve">  6. virtual tensor and pipeline states</w:t>
        <w:br/>
        <w:t xml:space="preserve">  7. performance predictions and model snapshot IDs</w:t>
        <w:br/>
        <w:t xml:space="preserve">  8. committed low-level IR and transformation lineage</w:t>
      </w:r>
    </w:p>
    <w:p>
      <w:pPr>
        <w:pStyle w:val="Heading2"/>
      </w:pPr>
      <w:r>
        <w:t>10.13 Knowledge Repository, Diagnostics, and Summary</w:t>
      </w:r>
    </w:p>
    <w:p>
      <w:pPr>
        <w:pStyle w:val="CodeBlock"/>
      </w:pPr>
      <w:r>
        <w:t>CompilerKnowledgeRepository {</w:t>
        <w:br/>
        <w:t xml:space="preserve">  DerivedAnalysisFactIR[]</w:t>
        <w:br/>
        <w:t xml:space="preserve">  OptimizationPlanIR[]</w:t>
        <w:br/>
        <w:t xml:space="preserve">  VirtualTensorStateIR[]</w:t>
        <w:br/>
        <w:t xml:space="preserve">  FusionAnalysisViewIR[]</w:t>
        <w:br/>
        <w:t xml:space="preserve">  PerformancePredictionFactIR[]</w:t>
        <w:br/>
        <w:t xml:space="preserve">  fact_dependency_graph</w:t>
        <w:br/>
        <w:t xml:space="preserve">  plan_dependency_graph</w:t>
        <w:br/>
        <w:t xml:space="preserve">  invalidation_log</w:t>
        <w:br/>
        <w:t xml:space="preserve">  materialization_records</w:t>
        <w:br/>
        <w:t xml:space="preserve">  semantic_origin_index</w:t>
        <w:br/>
        <w:t>}</w:t>
      </w:r>
    </w:p>
    <w:tbl>
      <w:tblPr>
        <w:tblStyle w:val="TableGrid"/>
        <w:tblW w:type="auto" w:w="0"/>
        <w:tblLayout w:type="autofit"/>
        <w:tblLook w:firstColumn="1" w:firstRow="1" w:lastColumn="0" w:lastRow="0" w:noHBand="0" w:noVBand="1" w:val="04A0"/>
      </w:tblPr>
      <w:tblGrid>
        <w:gridCol w:w="4968"/>
        <w:gridCol w:w="4968"/>
      </w:tblGrid>
      <w:tr>
        <w:trPr>
          <w:tblHeader w:val="true"/>
        </w:trPr>
        <w:tc>
          <w:tcPr>
            <w:tcW w:type="dxa" w:w="4968"/>
          </w:tcPr>
          <w:p>
            <w:r>
              <w:rPr>
                <w:b/>
              </w:rPr>
              <w:t>Diagnostic</w:t>
            </w:r>
          </w:p>
        </w:tc>
        <w:tc>
          <w:tcPr>
            <w:tcW w:type="dxa" w:w="4968"/>
          </w:tcPr>
          <w:p>
            <w:r>
              <w:rPr>
                <w:b/>
              </w:rPr>
              <w:t>Meaning</w:t>
            </w:r>
          </w:p>
        </w:tc>
      </w:tr>
      <w:tr>
        <w:tc>
          <w:tcPr>
            <w:tcW w:type="dxa" w:w="4968"/>
          </w:tcPr>
          <w:p>
            <w:r>
              <w:t>CFACT-001</w:t>
            </w:r>
          </w:p>
        </w:tc>
        <w:tc>
          <w:tcPr>
            <w:tcW w:type="dxa" w:w="4968"/>
          </w:tcPr>
          <w:p>
            <w:r>
              <w:t>MissingRequiredDerivedFact</w:t>
            </w:r>
          </w:p>
        </w:tc>
      </w:tr>
      <w:tr>
        <w:tc>
          <w:tcPr>
            <w:tcW w:type="dxa" w:w="4968"/>
          </w:tcPr>
          <w:p>
            <w:r>
              <w:t>CFACT-003</w:t>
            </w:r>
          </w:p>
        </w:tc>
        <w:tc>
          <w:tcPr>
            <w:tcW w:type="dxa" w:w="4968"/>
          </w:tcPr>
          <w:p>
            <w:r>
              <w:t>StaleDerivedFactConsumed</w:t>
            </w:r>
          </w:p>
        </w:tc>
      </w:tr>
      <w:tr>
        <w:tc>
          <w:tcPr>
            <w:tcW w:type="dxa" w:w="4968"/>
          </w:tcPr>
          <w:p>
            <w:r>
              <w:t>CFACT-004</w:t>
            </w:r>
          </w:p>
        </w:tc>
        <w:tc>
          <w:tcPr>
            <w:tcW w:type="dxa" w:w="4968"/>
          </w:tcPr>
          <w:p>
            <w:r>
              <w:t>FactInvalidationNotPropagated</w:t>
            </w:r>
          </w:p>
        </w:tc>
      </w:tr>
      <w:tr>
        <w:tc>
          <w:tcPr>
            <w:tcW w:type="dxa" w:w="4968"/>
          </w:tcPr>
          <w:p>
            <w:r>
              <w:t>CFACT-005</w:t>
            </w:r>
          </w:p>
        </w:tc>
        <w:tc>
          <w:tcPr>
            <w:tcW w:type="dxa" w:w="4968"/>
          </w:tcPr>
          <w:p>
            <w:r>
              <w:t>FactConfidenceBelowRequiredThreshold</w:t>
            </w:r>
          </w:p>
        </w:tc>
      </w:tr>
      <w:tr>
        <w:tc>
          <w:tcPr>
            <w:tcW w:type="dxa" w:w="4968"/>
          </w:tcPr>
          <w:p>
            <w:r>
              <w:t>CPLAN-001</w:t>
            </w:r>
          </w:p>
        </w:tc>
        <w:tc>
          <w:tcPr>
            <w:tcW w:type="dxa" w:w="4968"/>
          </w:tcPr>
          <w:p>
            <w:r>
              <w:t>PlanMaterializedWithoutCertification</w:t>
            </w:r>
          </w:p>
        </w:tc>
      </w:tr>
      <w:tr>
        <w:tc>
          <w:tcPr>
            <w:tcW w:type="dxa" w:w="4968"/>
          </w:tcPr>
          <w:p>
            <w:r>
              <w:t>CPLAN-002</w:t>
            </w:r>
          </w:p>
        </w:tc>
        <w:tc>
          <w:tcPr>
            <w:tcW w:type="dxa" w:w="4968"/>
          </w:tcPr>
          <w:p>
            <w:r>
              <w:t>PlanReferencesInvalidFact</w:t>
            </w:r>
          </w:p>
        </w:tc>
      </w:tr>
      <w:tr>
        <w:tc>
          <w:tcPr>
            <w:tcW w:type="dxa" w:w="4968"/>
          </w:tcPr>
          <w:p>
            <w:r>
              <w:t>CPLAN-003</w:t>
            </w:r>
          </w:p>
        </w:tc>
        <w:tc>
          <w:tcPr>
            <w:tcW w:type="dxa" w:w="4968"/>
          </w:tcPr>
          <w:p>
            <w:r>
              <w:t>CandidatePlanTreatedAsCommittedState</w:t>
            </w:r>
          </w:p>
        </w:tc>
      </w:tr>
      <w:tr>
        <w:tc>
          <w:tcPr>
            <w:tcW w:type="dxa" w:w="4968"/>
          </w:tcPr>
          <w:p>
            <w:r>
              <w:t>CPLAN-004</w:t>
            </w:r>
          </w:p>
        </w:tc>
        <w:tc>
          <w:tcPr>
            <w:tcW w:type="dxa" w:w="4968"/>
          </w:tcPr>
          <w:p>
            <w:r>
              <w:t>VirtualTensorStateEscapedAnalysis</w:t>
            </w:r>
          </w:p>
        </w:tc>
      </w:tr>
      <w:tr>
        <w:tc>
          <w:tcPr>
            <w:tcW w:type="dxa" w:w="4968"/>
          </w:tcPr>
          <w:p>
            <w:r>
              <w:t>CPLAN-005</w:t>
            </w:r>
          </w:p>
        </w:tc>
        <w:tc>
          <w:tcPr>
            <w:tcW w:type="dxa" w:w="4968"/>
          </w:tcPr>
          <w:p>
            <w:r>
              <w:t>MaterializationPassMissingOriginLineage</w:t>
            </w:r>
          </w:p>
        </w:tc>
      </w:tr>
      <w:tr>
        <w:tc>
          <w:tcPr>
            <w:tcW w:type="dxa" w:w="4968"/>
          </w:tcPr>
          <w:p>
            <w:r>
              <w:t>CPLAN-006</w:t>
            </w:r>
          </w:p>
        </w:tc>
        <w:tc>
          <w:tcPr>
            <w:tcW w:type="dxa" w:w="4968"/>
          </w:tcPr>
          <w:p>
            <w:r>
              <w:t>CoordinatedPlanConflict</w:t>
            </w:r>
          </w:p>
        </w:tc>
      </w:tr>
      <w:tr>
        <w:tc>
          <w:tcPr>
            <w:tcW w:type="dxa" w:w="4968"/>
          </w:tcPr>
          <w:p>
            <w:r>
              <w:t>CPLAN-007</w:t>
            </w:r>
          </w:p>
        </w:tc>
        <w:tc>
          <w:tcPr>
            <w:tcW w:type="dxa" w:w="4968"/>
          </w:tcPr>
          <w:p>
            <w:r>
              <w:t>LateFusionCrossesProtectedBoundary</w:t>
            </w:r>
          </w:p>
        </w:tc>
      </w:tr>
      <w:tr>
        <w:tc>
          <w:tcPr>
            <w:tcW w:type="dxa" w:w="4968"/>
          </w:tcPr>
          <w:p>
            <w:r>
              <w:t>CPLAN-008</w:t>
            </w:r>
          </w:p>
        </w:tc>
        <w:tc>
          <w:tcPr>
            <w:tcW w:type="dxa" w:w="4968"/>
          </w:tcPr>
          <w:p>
            <w:r>
              <w:t>ShardingOrTilingCommittedBeforeAvailabilityAnalysis</w:t>
            </w:r>
          </w:p>
        </w:tc>
      </w:tr>
      <w:tr>
        <w:tc>
          <w:tcPr>
            <w:tcW w:type="dxa" w:w="4968"/>
          </w:tcPr>
          <w:p>
            <w:r>
              <w:t>CPLAN-009</w:t>
            </w:r>
          </w:p>
        </w:tc>
        <w:tc>
          <w:tcPr>
            <w:tcW w:type="dxa" w:w="4968"/>
          </w:tcPr>
          <w:p>
            <w:r>
              <w:t>CommitPassFailedToInvalidateFacts</w:t>
            </w:r>
          </w:p>
        </w:tc>
      </w:tr>
      <w:tr>
        <w:tc>
          <w:tcPr>
            <w:tcW w:type="dxa" w:w="4968"/>
          </w:tcPr>
          <w:p>
            <w:r>
              <w:t>CPLAN-010</w:t>
            </w:r>
          </w:p>
        </w:tc>
        <w:tc>
          <w:tcPr>
            <w:tcW w:type="dxa" w:w="4968"/>
          </w:tcPr>
          <w:p>
            <w:r>
              <w:t>DirectLowLevelRewriteBypassesPlan</w:t>
            </w:r>
          </w:p>
        </w:tc>
      </w:tr>
    </w:tbl>
    <w:p>
      <w:pPr>
        <w:pStyle w:val="CodeBlock"/>
      </w:pPr>
      <w:r>
        <w:t>Chapter 10 rule:</w:t>
        <w:br/>
        <w:t xml:space="preserve">  Preserve semantics. Accumulate facts. Plan non-destructively.</w:t>
        <w:br/>
        <w:t xml:space="preserve">  Certify coordinated decisions. Commit explicitly. Lower late.</w:t>
      </w:r>
    </w:p>
    <w:p>
      <w:pPr>
        <w:pStyle w:val="Heading1"/>
      </w:pPr>
      <w:r>
        <w:t>Chapter 11. Performance Modeling and Adaptive Pipeline Scheduling</w:t>
      </w:r>
    </w:p>
    <w:p>
      <w:r>
        <w:t>Purpose and scope. This chapter defines the predictive and feedback-driven performance control plane used to rank legal plans, balance dependent execution stages, select runtime variants, and refine future compilations. The model must be useful on first compilation through conservative defaults and analytical estimates, yet improve from microbenchmarks and accumulated runtime observations without compromising reproducibility or certified bounds.</w:t>
      </w:r>
    </w:p>
    <w:p>
      <w:pPr>
        <w:pStyle w:val="Heading2"/>
      </w:pPr>
      <w:r>
        <w:t>11.1 Architectural Position</w:t>
      </w:r>
    </w:p>
    <w:p>
      <w:pPr>
        <w:pStyle w:val="CodeBlock"/>
      </w:pPr>
      <w:r>
        <w:t>RuntimeFeedbackIR</w:t>
        <w:br/>
        <w:t xml:space="preserve">  -&gt; PerformanceObservationIR</w:t>
        <w:br/>
        <w:t xml:space="preserve">  -&gt; PerformanceModelIR</w:t>
        <w:br/>
        <w:t xml:space="preserve">  -&gt; immutable PerformanceModelSnapshotIR</w:t>
        <w:br/>
        <w:t xml:space="preserve">  -&gt; PerformancePredictionFactIR</w:t>
        <w:br/>
        <w:t xml:space="preserve">  -&gt; OptimizationPlanIR / PipelineBalancePlanIR</w:t>
        <w:br/>
        <w:t xml:space="preserve">  -&gt; Certified RuntimePlanIR</w:t>
        <w:br/>
        <w:t xml:space="preserve">  -&gt; runtime execution and new feedback</w:t>
      </w:r>
    </w:p>
    <w:p>
      <w:r>
        <w:t>Runtime feedback is not a tensor trait and does not directly mutate the semantic IR. It is normalized into context-keyed observations, incorporated into a versioned model, and emitted as derived prediction facts. Every selected plan records the model snapshot that justified it.</w:t>
      </w:r>
    </w:p>
    <w:p>
      <w:pPr>
        <w:pStyle w:val="Heading2"/>
      </w:pPr>
      <w:r>
        <w:t>11.2 Default, Analytical, and Empirical Cost Sources</w:t>
      </w:r>
    </w:p>
    <w:p>
      <w:r>
        <w:t>The model uses a hierarchical fallback so scheduling remains possible before deployment measurements exist. OpenXLA LHS combines analytical estimates with performance tables, TVM MetaSchedule uses cost models and hardware measurements, Triton autotuning benchmarks configuration sets and may cache results, and CUTLASS uses architecture-specific pipeline structures and empirical configuration search [79][80][81][82].</w:t>
      </w:r>
    </w:p>
    <w:p>
      <w:pPr>
        <w:pStyle w:val="CodeBlock"/>
      </w:pPr>
      <w:r>
        <w:t>Prediction source priority:</w:t>
        <w:br/>
        <w:t xml:space="preserve">  1. exact accumulated runtime profile with sufficient support</w:t>
        <w:br/>
        <w:t xml:space="preserve">  2. nearby profiled configuration with bounded interpolation</w:t>
        <w:br/>
        <w:t xml:space="preserve">  3. target-specific microbenchmark or vendor performance table</w:t>
        <w:br/>
        <w:t xml:space="preserve">  4. analytical resource and traffic model</w:t>
        <w:br/>
        <w:t xml:space="preserve">  5. conservative architectural default</w:t>
      </w:r>
    </w:p>
    <w:p>
      <w:pPr>
        <w:pStyle w:val="Heading3"/>
      </w:pPr>
      <w:r>
        <w:t>11.3 RuntimeFeedbackIR and Backend-Neutral Telemetry</w:t>
      </w:r>
    </w:p>
    <w:tbl>
      <w:tblPr>
        <w:tblStyle w:val="TableGrid"/>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val="true"/>
        </w:trPr>
        <w:tc>
          <w:tcPr>
            <w:tcW w:type="dxa" w:w="1944"/>
            <w:shd w:fill="D9EAF7"/>
            <w:vAlign w:val="top"/>
          </w:tcPr>
          <w:p>
            <w:pPr>
              <w:spacing w:after="0" w:before="0" w:line="240" w:lineRule="auto"/>
            </w:pPr>
            <w:r>
              <w:rPr>
                <w:rFonts w:ascii="Aptos" w:hAnsi="Aptos"/>
                <w:b/>
                <w:sz w:val="13"/>
              </w:rPr>
              <w:t>Tensor / data entity</w:t>
            </w:r>
          </w:p>
        </w:tc>
        <w:tc>
          <w:tcPr>
            <w:tcW w:type="dxa" w:w="1584"/>
            <w:shd w:fill="D9EAF7"/>
            <w:vAlign w:val="top"/>
          </w:tcPr>
          <w:p>
            <w:pPr>
              <w:spacing w:after="0" w:before="0" w:line="240" w:lineRule="auto"/>
            </w:pPr>
            <w:r>
              <w:rPr>
                <w:rFonts w:ascii="Aptos" w:hAnsi="Aptos"/>
                <w:b/>
                <w:sz w:val="13"/>
              </w:rPr>
              <w:t>Creator</w:t>
            </w:r>
          </w:p>
        </w:tc>
        <w:tc>
          <w:tcPr>
            <w:tcW w:type="dxa" w:w="1728"/>
            <w:shd w:fill="D9EAF7"/>
            <w:vAlign w:val="top"/>
          </w:tcPr>
          <w:p>
            <w:pPr>
              <w:spacing w:after="0" w:before="0" w:line="240" w:lineRule="auto"/>
            </w:pPr>
            <w:r>
              <w:rPr>
                <w:rFonts w:ascii="Aptos" w:hAnsi="Aptos"/>
                <w:b/>
                <w:sz w:val="13"/>
              </w:rPr>
              <w:t>Consumer</w:t>
            </w:r>
          </w:p>
        </w:tc>
        <w:tc>
          <w:tcPr>
            <w:tcW w:type="dxa" w:w="2088"/>
            <w:shd w:fill="D9EAF7"/>
            <w:vAlign w:val="top"/>
          </w:tcPr>
          <w:p>
            <w:pPr>
              <w:spacing w:after="0" w:before="0" w:line="240" w:lineRule="auto"/>
            </w:pPr>
            <w:r>
              <w:rPr>
                <w:rFonts w:ascii="Aptos" w:hAnsi="Aptos"/>
                <w:b/>
                <w:sz w:val="13"/>
              </w:rPr>
              <w:t>Synchronization</w:t>
            </w:r>
          </w:p>
        </w:tc>
        <w:tc>
          <w:tcPr>
            <w:tcW w:type="dxa" w:w="1296"/>
            <w:shd w:fill="D9EAF7"/>
            <w:vAlign w:val="top"/>
          </w:tcPr>
          <w:p>
            <w:pPr>
              <w:spacing w:after="0" w:before="0" w:line="240" w:lineRule="auto"/>
            </w:pPr>
            <w:r>
              <w:rPr>
                <w:rFonts w:ascii="Aptos" w:hAnsi="Aptos"/>
                <w:b/>
                <w:sz w:val="13"/>
              </w:rPr>
              <w:t>Lifetime</w:t>
            </w:r>
          </w:p>
        </w:tc>
        <w:tc>
          <w:tcPr>
            <w:tcW w:type="dxa" w:w="1080"/>
            <w:shd w:fill="D9EAF7"/>
            <w:vAlign w:val="top"/>
          </w:tcPr>
          <w:p>
            <w:pPr>
              <w:spacing w:after="0" w:before="0" w:line="240" w:lineRule="auto"/>
            </w:pPr>
            <w:r>
              <w:rPr>
                <w:rFonts w:ascii="Aptos" w:hAnsi="Aptos"/>
                <w:b/>
                <w:sz w:val="13"/>
              </w:rPr>
              <w:t>Memory path</w:t>
            </w:r>
          </w:p>
        </w:tc>
      </w:tr>
      <w:tr>
        <w:tc>
          <w:tcPr>
            <w:tcW w:type="dxa" w:w="1944"/>
            <w:vAlign w:val="top"/>
          </w:tcPr>
          <w:p>
            <w:pPr>
              <w:spacing w:after="0" w:before="0" w:line="240" w:lineRule="auto"/>
            </w:pPr>
            <w:r>
              <w:rPr>
                <w:rFonts w:ascii="Aptos" w:hAnsi="Aptos"/>
                <w:b w:val="0"/>
                <w:sz w:val="13"/>
              </w:rPr>
              <w:t>KV usage counters</w:t>
            </w:r>
          </w:p>
        </w:tc>
        <w:tc>
          <w:tcPr>
            <w:tcW w:type="dxa" w:w="1584"/>
            <w:vAlign w:val="top"/>
          </w:tcPr>
          <w:p>
            <w:pPr>
              <w:spacing w:after="0" w:before="0" w:line="240" w:lineRule="auto"/>
            </w:pPr>
            <w:r>
              <w:rPr>
                <w:rFonts w:ascii="Aptos" w:hAnsi="Aptos"/>
                <w:b w:val="0"/>
                <w:sz w:val="13"/>
              </w:rPr>
              <w:t>vLLM/SGLang/TensorRT-LLM runtime</w:t>
            </w:r>
          </w:p>
        </w:tc>
        <w:tc>
          <w:tcPr>
            <w:tcW w:type="dxa" w:w="1728"/>
            <w:vAlign w:val="top"/>
          </w:tcPr>
          <w:p>
            <w:pPr>
              <w:spacing w:after="0" w:before="0" w:line="240" w:lineRule="auto"/>
            </w:pPr>
            <w:r>
              <w:rPr>
                <w:rFonts w:ascii="Aptos" w:hAnsi="Aptos"/>
                <w:b w:val="0"/>
                <w:sz w:val="13"/>
              </w:rPr>
              <w:t>Scheduler and compiler feedback</w:t>
            </w:r>
          </w:p>
        </w:tc>
        <w:tc>
          <w:tcPr>
            <w:tcW w:type="dxa" w:w="2088"/>
            <w:vAlign w:val="top"/>
          </w:tcPr>
          <w:p>
            <w:pPr>
              <w:spacing w:after="0" w:before="0" w:line="240" w:lineRule="auto"/>
            </w:pPr>
            <w:r>
              <w:rPr>
                <w:rFonts w:ascii="Aptos" w:hAnsi="Aptos"/>
                <w:b w:val="0"/>
                <w:sz w:val="13"/>
              </w:rPr>
              <w:t>Metrics publication/scrape or in-process telemetry</w:t>
            </w:r>
          </w:p>
        </w:tc>
        <w:tc>
          <w:tcPr>
            <w:tcW w:type="dxa" w:w="1296"/>
            <w:vAlign w:val="top"/>
          </w:tcPr>
          <w:p>
            <w:pPr>
              <w:spacing w:after="0" w:before="0" w:line="240" w:lineRule="auto"/>
            </w:pPr>
            <w:r>
              <w:rPr>
                <w:rFonts w:ascii="Aptos" w:hAnsi="Aptos"/>
                <w:b w:val="0"/>
                <w:sz w:val="13"/>
              </w:rPr>
              <w:t>Sliding runtime window</w:t>
            </w:r>
          </w:p>
        </w:tc>
        <w:tc>
          <w:tcPr>
            <w:tcW w:type="dxa" w:w="1080"/>
            <w:vAlign w:val="top"/>
          </w:tcPr>
          <w:p>
            <w:pPr>
              <w:spacing w:after="0" w:before="0" w:line="240" w:lineRule="auto"/>
            </w:pPr>
            <w:r>
              <w:rPr>
                <w:rFonts w:ascii="Aptos" w:hAnsi="Aptos"/>
                <w:b w:val="0"/>
                <w:sz w:val="13"/>
              </w:rPr>
              <w:t>G/C -&gt; C/F</w:t>
            </w:r>
          </w:p>
        </w:tc>
      </w:tr>
      <w:tr>
        <w:tc>
          <w:tcPr>
            <w:tcW w:type="dxa" w:w="1944"/>
            <w:vAlign w:val="top"/>
          </w:tcPr>
          <w:p>
            <w:pPr>
              <w:spacing w:after="0" w:before="0" w:line="240" w:lineRule="auto"/>
            </w:pPr>
            <w:r>
              <w:rPr>
                <w:rFonts w:ascii="Aptos" w:hAnsi="Aptos"/>
                <w:b w:val="0"/>
                <w:sz w:val="13"/>
              </w:rPr>
              <w:t>Running/waiting request counts</w:t>
            </w:r>
          </w:p>
        </w:tc>
        <w:tc>
          <w:tcPr>
            <w:tcW w:type="dxa" w:w="1584"/>
            <w:vAlign w:val="top"/>
          </w:tcPr>
          <w:p>
            <w:pPr>
              <w:spacing w:after="0" w:before="0" w:line="240" w:lineRule="auto"/>
            </w:pPr>
            <w:r>
              <w:rPr>
                <w:rFonts w:ascii="Aptos" w:hAnsi="Aptos"/>
                <w:b w:val="0"/>
                <w:sz w:val="13"/>
              </w:rPr>
              <w:t>Serving/rollout scheduler</w:t>
            </w:r>
          </w:p>
        </w:tc>
        <w:tc>
          <w:tcPr>
            <w:tcW w:type="dxa" w:w="1728"/>
            <w:vAlign w:val="top"/>
          </w:tcPr>
          <w:p>
            <w:pPr>
              <w:spacing w:after="0" w:before="0" w:line="240" w:lineRule="auto"/>
            </w:pPr>
            <w:r>
              <w:rPr>
                <w:rFonts w:ascii="Aptos" w:hAnsi="Aptos"/>
                <w:b w:val="0"/>
                <w:sz w:val="13"/>
              </w:rPr>
              <w:t>Admission and queue controller</w:t>
            </w:r>
          </w:p>
        </w:tc>
        <w:tc>
          <w:tcPr>
            <w:tcW w:type="dxa" w:w="2088"/>
            <w:vAlign w:val="top"/>
          </w:tcPr>
          <w:p>
            <w:pPr>
              <w:spacing w:after="0" w:before="0" w:line="240" w:lineRule="auto"/>
            </w:pPr>
            <w:r>
              <w:rPr>
                <w:rFonts w:ascii="Aptos" w:hAnsi="Aptos"/>
                <w:b w:val="0"/>
                <w:sz w:val="13"/>
              </w:rPr>
              <w:t>Scheduler snapshot or metrics endpoint</w:t>
            </w:r>
          </w:p>
        </w:tc>
        <w:tc>
          <w:tcPr>
            <w:tcW w:type="dxa" w:w="1296"/>
            <w:vAlign w:val="top"/>
          </w:tcPr>
          <w:p>
            <w:pPr>
              <w:spacing w:after="0" w:before="0" w:line="240" w:lineRule="auto"/>
            </w:pPr>
            <w:r>
              <w:rPr>
                <w:rFonts w:ascii="Aptos" w:hAnsi="Aptos"/>
                <w:b w:val="0"/>
                <w:sz w:val="13"/>
              </w:rPr>
              <w:t>Sliding runtime window</w:t>
            </w:r>
          </w:p>
        </w:tc>
        <w:tc>
          <w:tcPr>
            <w:tcW w:type="dxa" w:w="1080"/>
            <w:vAlign w:val="top"/>
          </w:tcPr>
          <w:p>
            <w:pPr>
              <w:spacing w:after="0" w:before="0" w:line="240" w:lineRule="auto"/>
            </w:pPr>
            <w:r>
              <w:rPr>
                <w:rFonts w:ascii="Aptos" w:hAnsi="Aptos"/>
                <w:b w:val="0"/>
                <w:sz w:val="13"/>
              </w:rPr>
              <w:t>C</w:t>
            </w:r>
          </w:p>
        </w:tc>
      </w:tr>
      <w:tr>
        <w:tc>
          <w:tcPr>
            <w:tcW w:type="dxa" w:w="1944"/>
            <w:vAlign w:val="top"/>
          </w:tcPr>
          <w:p>
            <w:pPr>
              <w:spacing w:after="0" w:before="0" w:line="240" w:lineRule="auto"/>
            </w:pPr>
            <w:r>
              <w:rPr>
                <w:rFonts w:ascii="Aptos" w:hAnsi="Aptos"/>
                <w:b w:val="0"/>
                <w:sz w:val="13"/>
              </w:rPr>
              <w:t>Prompt/decode token counters</w:t>
            </w:r>
          </w:p>
        </w:tc>
        <w:tc>
          <w:tcPr>
            <w:tcW w:type="dxa" w:w="1584"/>
            <w:vAlign w:val="top"/>
          </w:tcPr>
          <w:p>
            <w:pPr>
              <w:spacing w:after="0" w:before="0" w:line="240" w:lineRule="auto"/>
            </w:pPr>
            <w:r>
              <w:rPr>
                <w:rFonts w:ascii="Aptos" w:hAnsi="Aptos"/>
                <w:b w:val="0"/>
                <w:sz w:val="13"/>
              </w:rPr>
              <w:t>Runtime</w:t>
            </w:r>
          </w:p>
        </w:tc>
        <w:tc>
          <w:tcPr>
            <w:tcW w:type="dxa" w:w="1728"/>
            <w:vAlign w:val="top"/>
          </w:tcPr>
          <w:p>
            <w:pPr>
              <w:spacing w:after="0" w:before="0" w:line="240" w:lineRule="auto"/>
            </w:pPr>
            <w:r>
              <w:rPr>
                <w:rFonts w:ascii="Aptos" w:hAnsi="Aptos"/>
                <w:b w:val="0"/>
                <w:sz w:val="13"/>
              </w:rPr>
              <w:t>Occupancy model and cost model</w:t>
            </w:r>
          </w:p>
        </w:tc>
        <w:tc>
          <w:tcPr>
            <w:tcW w:type="dxa" w:w="2088"/>
            <w:vAlign w:val="top"/>
          </w:tcPr>
          <w:p>
            <w:pPr>
              <w:spacing w:after="0" w:before="0" w:line="240" w:lineRule="auto"/>
            </w:pPr>
            <w:r>
              <w:rPr>
                <w:rFonts w:ascii="Aptos" w:hAnsi="Aptos"/>
                <w:b w:val="0"/>
                <w:sz w:val="13"/>
              </w:rPr>
              <w:t>Metrics aggregation</w:t>
            </w:r>
          </w:p>
        </w:tc>
        <w:tc>
          <w:tcPr>
            <w:tcW w:type="dxa" w:w="1296"/>
            <w:vAlign w:val="top"/>
          </w:tcPr>
          <w:p>
            <w:pPr>
              <w:spacing w:after="0" w:before="0" w:line="240" w:lineRule="auto"/>
            </w:pPr>
            <w:r>
              <w:rPr>
                <w:rFonts w:ascii="Aptos" w:hAnsi="Aptos"/>
                <w:b w:val="0"/>
                <w:sz w:val="13"/>
              </w:rPr>
              <w:t>Sliding runtime window</w:t>
            </w:r>
          </w:p>
        </w:tc>
        <w:tc>
          <w:tcPr>
            <w:tcW w:type="dxa" w:w="1080"/>
            <w:vAlign w:val="top"/>
          </w:tcPr>
          <w:p>
            <w:pPr>
              <w:spacing w:after="0" w:before="0" w:line="240" w:lineRule="auto"/>
            </w:pPr>
            <w:r>
              <w:rPr>
                <w:rFonts w:ascii="Aptos" w:hAnsi="Aptos"/>
                <w:b w:val="0"/>
                <w:sz w:val="13"/>
              </w:rPr>
              <w:t>C/F</w:t>
            </w:r>
          </w:p>
        </w:tc>
      </w:tr>
      <w:tr>
        <w:tc>
          <w:tcPr>
            <w:tcW w:type="dxa" w:w="1944"/>
            <w:vAlign w:val="top"/>
          </w:tcPr>
          <w:p>
            <w:pPr>
              <w:spacing w:after="0" w:before="0" w:line="240" w:lineRule="auto"/>
            </w:pPr>
            <w:r>
              <w:rPr>
                <w:rFonts w:ascii="Aptos" w:hAnsi="Aptos"/>
                <w:b w:val="0"/>
                <w:sz w:val="13"/>
              </w:rPr>
              <w:t>TTFT, TPOT, queue and latency histograms</w:t>
            </w:r>
          </w:p>
        </w:tc>
        <w:tc>
          <w:tcPr>
            <w:tcW w:type="dxa" w:w="1584"/>
            <w:vAlign w:val="top"/>
          </w:tcPr>
          <w:p>
            <w:pPr>
              <w:spacing w:after="0" w:before="0" w:line="240" w:lineRule="auto"/>
            </w:pPr>
            <w:r>
              <w:rPr>
                <w:rFonts w:ascii="Aptos" w:hAnsi="Aptos"/>
                <w:b w:val="0"/>
                <w:sz w:val="13"/>
              </w:rPr>
              <w:t>Runtime instrumentation</w:t>
            </w:r>
          </w:p>
        </w:tc>
        <w:tc>
          <w:tcPr>
            <w:tcW w:type="dxa" w:w="1728"/>
            <w:vAlign w:val="top"/>
          </w:tcPr>
          <w:p>
            <w:pPr>
              <w:spacing w:after="0" w:before="0" w:line="240" w:lineRule="auto"/>
            </w:pPr>
            <w:r>
              <w:rPr>
                <w:rFonts w:ascii="Aptos" w:hAnsi="Aptos"/>
                <w:b w:val="0"/>
                <w:sz w:val="13"/>
              </w:rPr>
              <w:t>SLO controller and recompilation policy</w:t>
            </w:r>
          </w:p>
        </w:tc>
        <w:tc>
          <w:tcPr>
            <w:tcW w:type="dxa" w:w="2088"/>
            <w:vAlign w:val="top"/>
          </w:tcPr>
          <w:p>
            <w:pPr>
              <w:spacing w:after="0" w:before="0" w:line="240" w:lineRule="auto"/>
            </w:pPr>
            <w:r>
              <w:rPr>
                <w:rFonts w:ascii="Aptos" w:hAnsi="Aptos"/>
                <w:b w:val="0"/>
                <w:sz w:val="13"/>
              </w:rPr>
              <w:t>Metrics scrape/aggregation</w:t>
            </w:r>
          </w:p>
        </w:tc>
        <w:tc>
          <w:tcPr>
            <w:tcW w:type="dxa" w:w="1296"/>
            <w:vAlign w:val="top"/>
          </w:tcPr>
          <w:p>
            <w:pPr>
              <w:spacing w:after="0" w:before="0" w:line="240" w:lineRule="auto"/>
            </w:pPr>
            <w:r>
              <w:rPr>
                <w:rFonts w:ascii="Aptos" w:hAnsi="Aptos"/>
                <w:b w:val="0"/>
                <w:sz w:val="13"/>
              </w:rPr>
              <w:t>Sliding runtime window</w:t>
            </w:r>
          </w:p>
        </w:tc>
        <w:tc>
          <w:tcPr>
            <w:tcW w:type="dxa" w:w="1080"/>
            <w:vAlign w:val="top"/>
          </w:tcPr>
          <w:p>
            <w:pPr>
              <w:spacing w:after="0" w:before="0" w:line="240" w:lineRule="auto"/>
            </w:pPr>
            <w:r>
              <w:rPr>
                <w:rFonts w:ascii="Aptos" w:hAnsi="Aptos"/>
                <w:b w:val="0"/>
                <w:sz w:val="13"/>
              </w:rPr>
              <w:t>C/F</w:t>
            </w:r>
          </w:p>
        </w:tc>
      </w:tr>
      <w:tr>
        <w:tc>
          <w:tcPr>
            <w:tcW w:type="dxa" w:w="1944"/>
            <w:vAlign w:val="top"/>
          </w:tcPr>
          <w:p>
            <w:pPr>
              <w:spacing w:after="0" w:before="0" w:line="240" w:lineRule="auto"/>
            </w:pPr>
            <w:r>
              <w:rPr>
                <w:rFonts w:ascii="Aptos" w:hAnsi="Aptos"/>
                <w:b w:val="0"/>
                <w:sz w:val="13"/>
              </w:rPr>
              <w:t>Tensor liveness map</w:t>
            </w:r>
          </w:p>
        </w:tc>
        <w:tc>
          <w:tcPr>
            <w:tcW w:type="dxa" w:w="1584"/>
            <w:vAlign w:val="top"/>
          </w:tcPr>
          <w:p>
            <w:pPr>
              <w:spacing w:after="0" w:before="0" w:line="240" w:lineRule="auto"/>
            </w:pPr>
            <w:r>
              <w:rPr>
                <w:rFonts w:ascii="Aptos" w:hAnsi="Aptos"/>
                <w:b w:val="0"/>
                <w:sz w:val="13"/>
              </w:rPr>
              <w:t>Compiler analysis</w:t>
            </w:r>
          </w:p>
        </w:tc>
        <w:tc>
          <w:tcPr>
            <w:tcW w:type="dxa" w:w="1728"/>
            <w:vAlign w:val="top"/>
          </w:tcPr>
          <w:p>
            <w:pPr>
              <w:spacing w:after="0" w:before="0" w:line="240" w:lineRule="auto"/>
            </w:pPr>
            <w:r>
              <w:rPr>
                <w:rFonts w:ascii="Aptos" w:hAnsi="Aptos"/>
                <w:b w:val="0"/>
                <w:sz w:val="13"/>
              </w:rPr>
              <w:t>Memory planner and allocator</w:t>
            </w:r>
          </w:p>
        </w:tc>
        <w:tc>
          <w:tcPr>
            <w:tcW w:type="dxa" w:w="2088"/>
            <w:vAlign w:val="top"/>
          </w:tcPr>
          <w:p>
            <w:pPr>
              <w:spacing w:after="0" w:before="0" w:line="240" w:lineRule="auto"/>
            </w:pPr>
            <w:r>
              <w:rPr>
                <w:rFonts w:ascii="Aptos" w:hAnsi="Aptos"/>
                <w:b w:val="0"/>
                <w:sz w:val="13"/>
              </w:rPr>
              <w:t>Compile-time pass ordering and invalidation</w:t>
            </w:r>
          </w:p>
        </w:tc>
        <w:tc>
          <w:tcPr>
            <w:tcW w:type="dxa" w:w="1296"/>
            <w:vAlign w:val="top"/>
          </w:tcPr>
          <w:p>
            <w:pPr>
              <w:spacing w:after="0" w:before="0" w:line="240" w:lineRule="auto"/>
            </w:pPr>
            <w:r>
              <w:rPr>
                <w:rFonts w:ascii="Aptos" w:hAnsi="Aptos"/>
                <w:b w:val="0"/>
                <w:sz w:val="13"/>
              </w:rPr>
              <w:t>Compiled plan</w:t>
            </w:r>
          </w:p>
        </w:tc>
        <w:tc>
          <w:tcPr>
            <w:tcW w:type="dxa" w:w="1080"/>
            <w:vAlign w:val="top"/>
          </w:tcPr>
          <w:p>
            <w:pPr>
              <w:spacing w:after="0" w:before="0" w:line="240" w:lineRule="auto"/>
            </w:pPr>
            <w:r>
              <w:rPr>
                <w:rFonts w:ascii="Aptos" w:hAnsi="Aptos"/>
                <w:b w:val="0"/>
                <w:sz w:val="13"/>
              </w:rPr>
              <w:t>C/F metadata</w:t>
            </w:r>
          </w:p>
        </w:tc>
      </w:tr>
      <w:tr>
        <w:tc>
          <w:tcPr>
            <w:tcW w:type="dxa" w:w="1944"/>
            <w:vAlign w:val="top"/>
          </w:tcPr>
          <w:p>
            <w:pPr>
              <w:spacing w:after="0" w:before="0" w:line="240" w:lineRule="auto"/>
            </w:pPr>
            <w:r>
              <w:rPr>
                <w:rFonts w:ascii="Aptos" w:hAnsi="Aptos"/>
                <w:b w:val="0"/>
                <w:sz w:val="13"/>
              </w:rPr>
              <w:t>Allocation arena map</w:t>
            </w:r>
          </w:p>
        </w:tc>
        <w:tc>
          <w:tcPr>
            <w:tcW w:type="dxa" w:w="1584"/>
            <w:vAlign w:val="top"/>
          </w:tcPr>
          <w:p>
            <w:pPr>
              <w:spacing w:after="0" w:before="0" w:line="240" w:lineRule="auto"/>
            </w:pPr>
            <w:r>
              <w:rPr>
                <w:rFonts w:ascii="Aptos" w:hAnsi="Aptos"/>
                <w:b w:val="0"/>
                <w:sz w:val="13"/>
              </w:rPr>
              <w:t>Compiler/runtime memory planner</w:t>
            </w:r>
          </w:p>
        </w:tc>
        <w:tc>
          <w:tcPr>
            <w:tcW w:type="dxa" w:w="1728"/>
            <w:vAlign w:val="top"/>
          </w:tcPr>
          <w:p>
            <w:pPr>
              <w:spacing w:after="0" w:before="0" w:line="240" w:lineRule="auto"/>
            </w:pPr>
            <w:r>
              <w:rPr>
                <w:rFonts w:ascii="Aptos" w:hAnsi="Aptos"/>
                <w:b w:val="0"/>
                <w:sz w:val="13"/>
              </w:rPr>
              <w:t>GPU allocator and runtime</w:t>
            </w:r>
          </w:p>
        </w:tc>
        <w:tc>
          <w:tcPr>
            <w:tcW w:type="dxa" w:w="2088"/>
            <w:vAlign w:val="top"/>
          </w:tcPr>
          <w:p>
            <w:pPr>
              <w:spacing w:after="0" w:before="0" w:line="240" w:lineRule="auto"/>
            </w:pPr>
            <w:r>
              <w:rPr>
                <w:rFonts w:ascii="Aptos" w:hAnsi="Aptos"/>
                <w:b w:val="0"/>
                <w:sz w:val="13"/>
              </w:rPr>
              <w:t>Plan load, allocation guard, runtime update</w:t>
            </w:r>
          </w:p>
        </w:tc>
        <w:tc>
          <w:tcPr>
            <w:tcW w:type="dxa" w:w="1296"/>
            <w:vAlign w:val="top"/>
          </w:tcPr>
          <w:p>
            <w:pPr>
              <w:spacing w:after="0" w:before="0" w:line="240" w:lineRule="auto"/>
            </w:pPr>
            <w:r>
              <w:rPr>
                <w:rFonts w:ascii="Aptos" w:hAnsi="Aptos"/>
                <w:b w:val="0"/>
                <w:sz w:val="13"/>
              </w:rPr>
              <w:t>Compiled/runtime plan</w:t>
            </w:r>
          </w:p>
        </w:tc>
        <w:tc>
          <w:tcPr>
            <w:tcW w:type="dxa" w:w="1080"/>
            <w:vAlign w:val="top"/>
          </w:tcPr>
          <w:p>
            <w:pPr>
              <w:spacing w:after="0" w:before="0" w:line="240" w:lineRule="auto"/>
            </w:pPr>
            <w:r>
              <w:rPr>
                <w:rFonts w:ascii="Aptos" w:hAnsi="Aptos"/>
                <w:b w:val="0"/>
                <w:sz w:val="13"/>
              </w:rPr>
              <w:t>C/G metadata</w:t>
            </w:r>
          </w:p>
        </w:tc>
      </w:tr>
      <w:tr>
        <w:tc>
          <w:tcPr>
            <w:tcW w:type="dxa" w:w="1944"/>
            <w:vAlign w:val="top"/>
          </w:tcPr>
          <w:p>
            <w:pPr>
              <w:spacing w:after="0" w:before="0" w:line="240" w:lineRule="auto"/>
            </w:pPr>
            <w:r>
              <w:rPr>
                <w:rFonts w:ascii="Aptos" w:hAnsi="Aptos"/>
                <w:b w:val="0"/>
                <w:sz w:val="13"/>
              </w:rPr>
              <w:t>Confidentiality/retention map</w:t>
            </w:r>
          </w:p>
        </w:tc>
        <w:tc>
          <w:tcPr>
            <w:tcW w:type="dxa" w:w="1584"/>
            <w:vAlign w:val="top"/>
          </w:tcPr>
          <w:p>
            <w:pPr>
              <w:spacing w:after="0" w:before="0" w:line="240" w:lineRule="auto"/>
            </w:pPr>
            <w:r>
              <w:rPr>
                <w:rFonts w:ascii="Aptos" w:hAnsi="Aptos"/>
                <w:b w:val="0"/>
                <w:sz w:val="13"/>
              </w:rPr>
              <w:t>Policy compiler</w:t>
            </w:r>
          </w:p>
        </w:tc>
        <w:tc>
          <w:tcPr>
            <w:tcW w:type="dxa" w:w="1728"/>
            <w:vAlign w:val="top"/>
          </w:tcPr>
          <w:p>
            <w:pPr>
              <w:spacing w:after="0" w:before="0" w:line="240" w:lineRule="auto"/>
            </w:pPr>
            <w:r>
              <w:rPr>
                <w:rFonts w:ascii="Aptos" w:hAnsi="Aptos"/>
                <w:b w:val="0"/>
                <w:sz w:val="13"/>
              </w:rPr>
              <w:t>Allocator, logger, checkpoint and audit pipeline</w:t>
            </w:r>
          </w:p>
        </w:tc>
        <w:tc>
          <w:tcPr>
            <w:tcW w:type="dxa" w:w="2088"/>
            <w:vAlign w:val="top"/>
          </w:tcPr>
          <w:p>
            <w:pPr>
              <w:spacing w:after="0" w:before="0" w:line="240" w:lineRule="auto"/>
            </w:pPr>
            <w:r>
              <w:rPr>
                <w:rFonts w:ascii="Aptos" w:hAnsi="Aptos"/>
                <w:b w:val="0"/>
                <w:sz w:val="13"/>
              </w:rPr>
              <w:t>Policy version and access-control enforcement</w:t>
            </w:r>
          </w:p>
        </w:tc>
        <w:tc>
          <w:tcPr>
            <w:tcW w:type="dxa" w:w="1296"/>
            <w:vAlign w:val="top"/>
          </w:tcPr>
          <w:p>
            <w:pPr>
              <w:spacing w:after="0" w:before="0" w:line="240" w:lineRule="auto"/>
            </w:pPr>
            <w:r>
              <w:rPr>
                <w:rFonts w:ascii="Aptos" w:hAnsi="Aptos"/>
                <w:b w:val="0"/>
                <w:sz w:val="13"/>
              </w:rPr>
              <w:t>Artifact/job lifetime</w:t>
            </w:r>
          </w:p>
        </w:tc>
        <w:tc>
          <w:tcPr>
            <w:tcW w:type="dxa" w:w="1080"/>
            <w:vAlign w:val="top"/>
          </w:tcPr>
          <w:p>
            <w:pPr>
              <w:spacing w:after="0" w:before="0" w:line="240" w:lineRule="auto"/>
            </w:pPr>
            <w:r>
              <w:rPr>
                <w:rFonts w:ascii="Aptos" w:hAnsi="Aptos"/>
                <w:b w:val="0"/>
                <w:sz w:val="13"/>
              </w:rPr>
              <w:t>F/C/G metadata</w:t>
            </w:r>
          </w:p>
        </w:tc>
      </w:tr>
    </w:tbl>
    <w:p>
      <w:r>
        <w:t>vLLM exposes running and waiting request counts, KV-cache usage, prompt and generation token counters, TTFT, inter-token latency and queue-time metrics. These measurements are suitable inputs to a DSC runtime feedback loop, but the compiler should normalize them into backend-neutral telemetry attributes. [73]</w:t>
      </w:r>
    </w:p>
    <w:p>
      <w:pPr>
        <w:pStyle w:val="CodeBlock"/>
      </w:pPr>
      <w:r>
        <w:t>RuntimeFeedbackIR {</w:t>
        <w:br/>
        <w:t xml:space="preserve">  feedback_id</w:t>
        <w:br/>
        <w:t xml:space="preserve">  subject_ids: [operator, tensor, plan, pipeline_stage, runtime_variant]</w:t>
        <w:br/>
        <w:t xml:space="preserve">  target_identity</w:t>
        <w:br/>
        <w:t xml:space="preserve">  model_and_policy_epoch</w:t>
        <w:br/>
        <w:t xml:space="preserve">  shape_and_queue_context</w:t>
        <w:br/>
        <w:t xml:space="preserve">  measured_latency</w:t>
        <w:br/>
        <w:t xml:space="preserve">  measured_throughput</w:t>
        <w:br/>
        <w:t xml:space="preserve">  memory_and_KV_pressure</w:t>
        <w:br/>
        <w:t xml:space="preserve">  utilization_vector</w:t>
        <w:br/>
        <w:t xml:space="preserve">  starvation_time</w:t>
        <w:br/>
        <w:t xml:space="preserve">  backpressure_time</w:t>
        <w:br/>
        <w:t xml:space="preserve">  guard_failures</w:t>
        <w:br/>
        <w:t xml:space="preserve">  fallback_events</w:t>
        <w:br/>
        <w:t xml:space="preserve">  profile_epoch</w:t>
        <w:br/>
        <w:t>}</w:t>
      </w:r>
    </w:p>
    <w:p>
      <w:pPr>
        <w:pStyle w:val="Heading2"/>
      </w:pPr>
      <w:r>
        <w:t>11.4 PerformanceObservationIR</w:t>
      </w:r>
    </w:p>
    <w:p>
      <w:r>
        <w:t>Raw telemetry is validated, aggregated, and attached to the exact plan and execution context before it becomes a reusable observation. Warm-up, clock stability, throttling, contention, outliers, sample count, and workload context must be recorded so an idle microbenchmark is not confused with a production RL/inference measurement.</w:t>
      </w:r>
    </w:p>
    <w:p>
      <w:pPr>
        <w:pStyle w:val="CodeBlock"/>
      </w:pPr>
      <w:r>
        <w:t>PerformanceObservationIR {</w:t>
        <w:br/>
        <w:t xml:space="preserve">  observation_id</w:t>
        <w:br/>
        <w:t xml:space="preserve">  source_feedback_ids</w:t>
        <w:br/>
        <w:t xml:space="preserve">  subject_ids</w:t>
        <w:br/>
        <w:t xml:space="preserve">  execution_context:</w:t>
        <w:br/>
        <w:t xml:space="preserve">    target, runtime, model/policy epoch, shape bucket,</w:t>
        <w:br/>
        <w:t xml:space="preserve">    dtype, quantization, shard map, tile/fusion/pipeline plan,</w:t>
        <w:br/>
        <w:t xml:space="preserve">    queue state, KV pressure, concurrent workload</w:t>
        <w:br/>
        <w:t xml:space="preserve">  statistics:</w:t>
        <w:br/>
        <w:t xml:space="preserve">    sample_count, mean, median, variance, p50, p90, p95, p99</w:t>
        <w:br/>
        <w:t xml:space="preserve">  measured_values:</w:t>
        <w:br/>
        <w:t xml:space="preserve">    latency, service_time, throughput, bytes, bandwidth,</w:t>
        <w:br/>
        <w:t xml:space="preserve">    utilization_vector, starvation, backpressure, queue_delay,</w:t>
        <w:br/>
        <w:t xml:space="preserve">    peak_memory</w:t>
        <w:br/>
        <w:t xml:space="preserve">  quality:</w:t>
        <w:br/>
        <w:t xml:space="preserve">    warmup_complete, clock_stable, throttling, contention,</w:t>
        <w:br/>
        <w:t xml:space="preserve">    measurement_error, outlier_status</w:t>
        <w:br/>
        <w:t xml:space="preserve">  confidentiality_and_redaction</w:t>
        <w:br/>
        <w:t xml:space="preserve">  profile_epoch</w:t>
        <w:br/>
        <w:t>}</w:t>
      </w:r>
    </w:p>
    <w:p>
      <w:pPr>
        <w:pStyle w:val="Heading2"/>
      </w:pPr>
      <w:r>
        <w:t>11.5 PerformanceModelIR</w:t>
      </w:r>
    </w:p>
    <w:p>
      <w:pPr>
        <w:pStyle w:val="CodeBlock"/>
      </w:pPr>
      <w:r>
        <w:t>PerformanceModelIR {</w:t>
        <w:br/>
        <w:t xml:space="preserve">  model_id</w:t>
        <w:br/>
        <w:t xml:space="preserve">  model_kind: analytical | lookup_table | interpolated_table |</w:t>
        <w:br/>
        <w:t xml:space="preserve">              regression | learned | hybrid</w:t>
        <w:br/>
        <w:t xml:space="preserve">  prediction_scope: kernel | operator | fusion_region |</w:t>
        <w:br/>
        <w:t xml:space="preserve">                    pipeline_stage | communication_edge |</w:t>
        <w:br/>
        <w:t xml:space="preserve">                    runtime_queue | RL_phase | whole_graph</w:t>
        <w:br/>
        <w:t xml:space="preserve">  target_identity</w:t>
        <w:br/>
        <w:t xml:space="preserve">  workload_feature_schema</w:t>
        <w:br/>
        <w:t xml:space="preserve">  prediction_targets:</w:t>
        <w:br/>
        <w:t xml:space="preserve">    latency, service_time, service_rate, initiation_interval,</w:t>
        <w:br/>
        <w:t xml:space="preserve">    throughput, traffic, bandwidth, collective_latency,</w:t>
        <w:br/>
        <w:t xml:space="preserve">    queue_delay, starvation, backpressure, peak_memory, energy</w:t>
        <w:br/>
        <w:t xml:space="preserve">  source_layers:</w:t>
        <w:br/>
        <w:t xml:space="preserve">    defaults, analytical_formulas, vendor_tables,</w:t>
        <w:br/>
        <w:t xml:space="preserve">    microbenchmarks, accumulated_runtime_profiles</w:t>
        <w:br/>
        <w:t xml:space="preserve">  aggregation_interpolation_and_extrapolation_policy</w:t>
        <w:br/>
        <w:t xml:space="preserve">  confidence_and_uncertainty_model</w:t>
        <w:br/>
        <w:t xml:space="preserve">  update_outlier_and_decay_policy</w:t>
        <w:br/>
        <w:t xml:space="preserve">  validity_scope</w:t>
        <w:br/>
        <w:t xml:space="preserve">  staleness_and_invalidation_dependencies</w:t>
        <w:br/>
        <w:t xml:space="preserve">  model_epoch</w:t>
        <w:br/>
        <w:t xml:space="preserve">  provenance</w:t>
        <w:br/>
        <w:t>}</w:t>
      </w:r>
    </w:p>
    <w:p>
      <w:r>
        <w:t>The model repository should be hierarchical: target, kernel, semantic fusion region, execution pipeline, runtime queue, and RL-system models share observation infrastructure but use different feature schemas and prediction targets.</w:t>
      </w:r>
    </w:p>
    <w:p>
      <w:pPr>
        <w:pStyle w:val="Heading2"/>
      </w:pPr>
      <w:r>
        <w:t>11.6 Calibration and Accumulated Runtime Profiles</w:t>
      </w:r>
    </w:p>
    <w:p>
      <w:r>
        <w:t>Defaults act as priors. Machine-specific microbenchmarks calibrate kernels, memory tiers, and collectives. Production or on-prem runtime observations then adjust the model for real shape distributions, queue states, cache behavior, concurrent workloads, and communication contention. Updates create a new model epoch and invalidate dependent predictions and plans; they never silently alter a prior compilation decision.</w:t>
      </w:r>
    </w:p>
    <w:tbl>
      <w:tblPr>
        <w:tblStyle w:val="TableGrid"/>
        <w:tblW w:type="auto" w:w="0"/>
        <w:tblLayout w:type="autofit"/>
        <w:tblLook w:firstColumn="1" w:firstRow="1" w:lastColumn="0" w:lastRow="0" w:noHBand="0" w:noVBand="1" w:val="04A0"/>
      </w:tblPr>
      <w:tblGrid>
        <w:gridCol w:w="3312"/>
        <w:gridCol w:w="3312"/>
        <w:gridCol w:w="3312"/>
      </w:tblGrid>
      <w:tr>
        <w:trPr>
          <w:tblHeader w:val="true"/>
        </w:trPr>
        <w:tc>
          <w:tcPr>
            <w:tcW w:type="dxa" w:w="3312"/>
          </w:tcPr>
          <w:p>
            <w:r>
              <w:rPr>
                <w:b/>
              </w:rPr>
              <w:t>Profile source</w:t>
            </w:r>
          </w:p>
        </w:tc>
        <w:tc>
          <w:tcPr>
            <w:tcW w:type="dxa" w:w="3312"/>
          </w:tcPr>
          <w:p>
            <w:r>
              <w:rPr>
                <w:b/>
              </w:rPr>
              <w:t>Primary value</w:t>
            </w:r>
          </w:p>
        </w:tc>
        <w:tc>
          <w:tcPr>
            <w:tcW w:type="dxa" w:w="3312"/>
          </w:tcPr>
          <w:p>
            <w:r>
              <w:rPr>
                <w:b/>
              </w:rPr>
              <w:t>Major risk/control</w:t>
            </w:r>
          </w:p>
        </w:tc>
      </w:tr>
      <w:tr>
        <w:tc>
          <w:tcPr>
            <w:tcW w:type="dxa" w:w="3312"/>
          </w:tcPr>
          <w:p>
            <w:r>
              <w:t>Architectural default</w:t>
            </w:r>
          </w:p>
        </w:tc>
        <w:tc>
          <w:tcPr>
            <w:tcW w:type="dxa" w:w="3312"/>
          </w:tcPr>
          <w:p>
            <w:r>
              <w:t>first-compilation coverage</w:t>
            </w:r>
          </w:p>
        </w:tc>
        <w:tc>
          <w:tcPr>
            <w:tcW w:type="dxa" w:w="3312"/>
          </w:tcPr>
          <w:p>
            <w:r>
              <w:t>conservative uncertainty and fallback</w:t>
            </w:r>
          </w:p>
        </w:tc>
      </w:tr>
      <w:tr>
        <w:tc>
          <w:tcPr>
            <w:tcW w:type="dxa" w:w="3312"/>
          </w:tcPr>
          <w:p>
            <w:r>
              <w:t>Analytical model</w:t>
            </w:r>
          </w:p>
        </w:tc>
        <w:tc>
          <w:tcPr>
            <w:tcW w:type="dxa" w:w="3312"/>
          </w:tcPr>
          <w:p>
            <w:r>
              <w:t>broad interpolation over shapes/resources</w:t>
            </w:r>
          </w:p>
        </w:tc>
        <w:tc>
          <w:tcPr>
            <w:tcW w:type="dxa" w:w="3312"/>
          </w:tcPr>
          <w:p>
            <w:r>
              <w:t>validate traffic and overlap assumptions</w:t>
            </w:r>
          </w:p>
        </w:tc>
      </w:tr>
      <w:tr>
        <w:tc>
          <w:tcPr>
            <w:tcW w:type="dxa" w:w="3312"/>
          </w:tcPr>
          <w:p>
            <w:r>
              <w:t>Vendor/performance table</w:t>
            </w:r>
          </w:p>
        </w:tc>
        <w:tc>
          <w:tcPr>
            <w:tcW w:type="dxa" w:w="3312"/>
          </w:tcPr>
          <w:p>
            <w:r>
              <w:t>target-specific operation estimates</w:t>
            </w:r>
          </w:p>
        </w:tc>
        <w:tc>
          <w:tcPr>
            <w:tcW w:type="dxa" w:w="3312"/>
          </w:tcPr>
          <w:p>
            <w:r>
              <w:t>bind to exact hardware/runtime version</w:t>
            </w:r>
          </w:p>
        </w:tc>
      </w:tr>
      <w:tr>
        <w:tc>
          <w:tcPr>
            <w:tcW w:type="dxa" w:w="3312"/>
          </w:tcPr>
          <w:p>
            <w:r>
              <w:t>Microbenchmark</w:t>
            </w:r>
          </w:p>
        </w:tc>
        <w:tc>
          <w:tcPr>
            <w:tcW w:type="dxa" w:w="3312"/>
          </w:tcPr>
          <w:p>
            <w:r>
              <w:t>controlled calibration of kernels and collectives</w:t>
            </w:r>
          </w:p>
        </w:tc>
        <w:tc>
          <w:tcPr>
            <w:tcW w:type="dxa" w:w="3312"/>
          </w:tcPr>
          <w:p>
            <w:r>
              <w:t>separate warmup, clocks and contention</w:t>
            </w:r>
          </w:p>
        </w:tc>
      </w:tr>
      <w:tr>
        <w:tc>
          <w:tcPr>
            <w:tcW w:type="dxa" w:w="3312"/>
          </w:tcPr>
          <w:p>
            <w:r>
              <w:t>Deployment feedback</w:t>
            </w:r>
          </w:p>
        </w:tc>
        <w:tc>
          <w:tcPr>
            <w:tcW w:type="dxa" w:w="3312"/>
          </w:tcPr>
          <w:p>
            <w:r>
              <w:t>actual prompt, queue, KV and concurrency behavior</w:t>
            </w:r>
          </w:p>
        </w:tc>
        <w:tc>
          <w:tcPr>
            <w:tcW w:type="dxa" w:w="3312"/>
          </w:tcPr>
          <w:p>
            <w:r>
              <w:t>aggregate/redact data and record context</w:t>
            </w:r>
          </w:p>
        </w:tc>
      </w:tr>
    </w:tbl>
    <w:p>
      <w:pPr>
        <w:pStyle w:val="Heading2"/>
      </w:pPr>
      <w:r>
        <w:t>11.7 Confidence, Uncertainty, and Model Snapshots</w:t>
      </w:r>
    </w:p>
    <w:p>
      <w:pPr>
        <w:pStyle w:val="CodeBlock"/>
      </w:pPr>
      <w:r>
        <w:t>PerformanceModelSnapshotIR {</w:t>
        <w:br/>
        <w:t xml:space="preserve">  snapshot_id</w:t>
        <w:br/>
        <w:t xml:space="preserve">  model_id</w:t>
        <w:br/>
        <w:t xml:space="preserve">  model_epoch</w:t>
        <w:br/>
        <w:t xml:space="preserve">  observation_cutoff_time</w:t>
        <w:br/>
        <w:t xml:space="preserve">  target_identity</w:t>
        <w:br/>
        <w:t xml:space="preserve">  feature_schema_version</w:t>
        <w:br/>
        <w:t xml:space="preserve">  parameter_checksum</w:t>
        <w:br/>
        <w:t xml:space="preserve">  fallback_defaults_checksum</w:t>
        <w:br/>
        <w:t>}</w:t>
      </w:r>
    </w:p>
    <w:p>
      <w:r>
        <w:t>A prediction must report its evidence class, sample support, variance, profile age, context distance, extrapolation distance, and confidence interval. Risk-sensitive scheduling should use a confidence-adjusted cost rather than the fastest observed sample. Immutable snapshots make decisions reproducible, comparable, certifiable, and reversible.</w:t>
      </w:r>
    </w:p>
    <w:p>
      <w:pPr>
        <w:pStyle w:val="Heading2"/>
      </w:pPr>
      <w:r>
        <w:t>11.8 PerformancePredictionFactIR</w:t>
      </w:r>
    </w:p>
    <w:p>
      <w:pPr>
        <w:pStyle w:val="CodeBlock"/>
      </w:pPr>
      <w:r>
        <w:t>PerformancePredictionFactIR {</w:t>
        <w:br/>
        <w:t xml:space="preserve">  fact_id</w:t>
        <w:br/>
        <w:t xml:space="preserve">  model_snapshot_id</w:t>
        <w:br/>
        <w:t xml:space="preserve">  subject_id</w:t>
        <w:br/>
        <w:t xml:space="preserve">  candidate_plan_id</w:t>
        <w:br/>
        <w:t xml:space="preserve">  execution_context</w:t>
        <w:br/>
        <w:t xml:space="preserve">  predicted:</w:t>
        <w:br/>
        <w:t xml:space="preserve">    latency, service_time, service_rate, initiation_interval,</w:t>
        <w:br/>
        <w:t xml:space="preserve">    peak_memory, starvation_probability,</w:t>
        <w:br/>
        <w:t xml:space="preserve">    backpressure_probability, throughput</w:t>
        <w:br/>
        <w:t xml:space="preserve">  uncertainty:</w:t>
        <w:br/>
        <w:t xml:space="preserve">    confidence_interval, prediction_variance, extrapolation_distance</w:t>
        <w:br/>
        <w:t xml:space="preserve">  evidence:</w:t>
        <w:br/>
        <w:t xml:space="preserve">    exact_profile | interpolated_profile | analytical_model | default_prior</w:t>
        <w:br/>
        <w:t xml:space="preserve">  validity_scope</w:t>
        <w:br/>
        <w:t xml:space="preserve">  dependency_set</w:t>
        <w:br/>
        <w:t xml:space="preserve">  invalidation_conditions</w:t>
        <w:br/>
        <w:t>}</w:t>
      </w:r>
    </w:p>
    <w:p>
      <w:r>
        <w:t>Prediction facts are stored in DerivedAnalysisFactIR and consumed by Chapter 10 plan ranking. They are not durable tensor traits and are invalidated whenever the model snapshot, target, workload context, or candidate plan changes.</w:t>
      </w:r>
    </w:p>
    <w:p>
      <w:pPr>
        <w:pStyle w:val="Heading2"/>
      </w:pPr>
      <w:r>
        <w:t>11.9 PipelineStageTimingFactIR</w:t>
      </w:r>
    </w:p>
    <w:p>
      <w:r>
        <w:t>Dependent components should be modeled as pipeline stages with a common work unit and resource-normalized service time. Literal clock cycles may be recorded for a fixed target, but scheduling should reason about service rate, latency variance, resource demand, readiness, and synchronization. CUTLASS producer-consumer pipelines, FlashAttention-3 warp specialization, and recent Twill/Tawa compiler work demonstrate the value of pipelining and role specialization on modern GPUs [82][83][84][85].</w:t>
      </w:r>
    </w:p>
    <w:p>
      <w:pPr>
        <w:pStyle w:val="CodeBlock"/>
      </w:pPr>
      <w:r>
        <w:t>PipelineStageTimingFactIR {</w:t>
        <w:br/>
        <w:t xml:space="preserve">  stage_id</w:t>
        <w:br/>
        <w:t xml:space="preserve">  pipeline_scope</w:t>
        <w:br/>
        <w:t xml:space="preserve">  operation_ids</w:t>
        <w:br/>
        <w:t xml:space="preserve">  tensor_inputs</w:t>
        <w:br/>
        <w:t xml:space="preserve">  tensor_outputs</w:t>
        <w:br/>
        <w:t xml:space="preserve">  work_unit</w:t>
        <w:br/>
        <w:t xml:space="preserve">  predecessor_stages</w:t>
        <w:br/>
        <w:t xml:space="preserve">  successor_stages</w:t>
        <w:br/>
        <w:t xml:space="preserve">  readiness_condition</w:t>
        <w:br/>
        <w:t xml:space="preserve">  completion_event</w:t>
        <w:br/>
        <w:t xml:space="preserve">  resource_class</w:t>
        <w:br/>
        <w:t xml:space="preserve">  latency_estimate</w:t>
        <w:br/>
        <w:t xml:space="preserve">  service_time</w:t>
        <w:br/>
        <w:t xml:space="preserve">  service_rate</w:t>
        <w:br/>
        <w:t xml:space="preserve">  latency_variance</w:t>
        <w:br/>
        <w:t xml:space="preserve">  resource_demand:</w:t>
        <w:br/>
        <w:t xml:space="preserve">    tensor_core, cuda_core, TMA, HBM_bandwidth,</w:t>
        <w:br/>
        <w:t xml:space="preserve">    shared_memory, TMEM, registers, collective_engine</w:t>
        <w:br/>
        <w:t xml:space="preserve">  synchronization_cost</w:t>
        <w:br/>
        <w:t xml:space="preserve">  startup_and_drain_latency</w:t>
        <w:br/>
        <w:t xml:space="preserve">  replication_options</w:t>
        <w:br/>
        <w:t xml:space="preserve">  buffering_options</w:t>
        <w:br/>
        <w:t xml:space="preserve">  evidence_and_confidence</w:t>
        <w:br/>
        <w:t>}</w:t>
      </w:r>
    </w:p>
    <w:p>
      <w:pPr>
        <w:pStyle w:val="Heading2"/>
      </w:pPr>
      <w:r>
        <w:t>11.10 ExecutionPipelineGraphIR</w:t>
      </w:r>
    </w:p>
    <w:p>
      <w:pPr>
        <w:pStyle w:val="CodeBlock"/>
      </w:pPr>
      <w:r>
        <w:t>ExecutionPipelineGraphIR {</w:t>
        <w:br/>
        <w:t xml:space="preserve">  pipeline_id</w:t>
        <w:br/>
        <w:t xml:space="preserve">  scope: kernel | fused_operator | inference_runtime |</w:t>
        <w:br/>
        <w:t xml:space="preserve">         distributed_execution | RL_posttraining</w:t>
        <w:br/>
        <w:t xml:space="preserve">  work_unit</w:t>
        <w:br/>
        <w:t xml:space="preserve">  stages</w:t>
        <w:br/>
        <w:t xml:space="preserve">  dependency_edges</w:t>
        <w:br/>
        <w:t xml:space="preserve">  shared_resource_sets</w:t>
        <w:br/>
        <w:t xml:space="preserve">  queue_and_buffer_edges</w:t>
        <w:br/>
        <w:t xml:space="preserve">  synchronization_edges</w:t>
        <w:br/>
        <w:t xml:space="preserve">  version_edges</w:t>
        <w:br/>
        <w:t xml:space="preserve">  source_stage</w:t>
        <w:br/>
        <w:t xml:space="preserve">  sink_stage</w:t>
        <w:br/>
        <w:t xml:space="preserve">  steady_state_target</w:t>
        <w:br/>
        <w:t xml:space="preserve">  latency_target</w:t>
        <w:br/>
        <w:t xml:space="preserve">  memory_budget</w:t>
        <w:br/>
        <w:t>}</w:t>
      </w:r>
    </w:p>
    <w:p>
      <w:pPr>
        <w:pStyle w:val="CodeBlock"/>
      </w:pPr>
      <w:r>
        <w:t>PipelineEdgeIR {</w:t>
        <w:br/>
        <w:t xml:space="preserve">  producer_stage</w:t>
        <w:br/>
        <w:t xml:space="preserve">  consumer_stage</w:t>
        <w:br/>
        <w:t xml:space="preserve">  data_entities</w:t>
        <w:br/>
        <w:t xml:space="preserve">  transfer_mode</w:t>
        <w:br/>
        <w:t xml:space="preserve">  buffer_capacity</w:t>
        <w:br/>
        <w:t xml:space="preserve">  expected_queue_depth</w:t>
        <w:br/>
        <w:t xml:space="preserve">  synchronization</w:t>
        <w:br/>
        <w:t xml:space="preserve">  minimum_ready_quantity</w:t>
        <w:br/>
        <w:t xml:space="preserve">  maximum_staleness</w:t>
        <w:br/>
        <w:t xml:space="preserve">  transfer_latency</w:t>
        <w:br/>
        <w:t xml:space="preserve">  transfer_bandwidth</w:t>
        <w:br/>
        <w:t>}</w:t>
      </w:r>
    </w:p>
    <w:p>
      <w:pPr>
        <w:pStyle w:val="Heading2"/>
      </w:pPr>
      <w:r>
        <w:t>11.11 Pipeline Balance, Initiation Interval, Starvation, and Backpressure</w:t>
      </w:r>
    </w:p>
    <w:p>
      <w:r>
        <w:t>The objective is not equal raw latency for every stage; it is approximately matched effective service rates after resource assignment, replication, and buffering. The steady-state initiation interval is constrained by the slowest dependency or shared-resource bottleneck. Consumer starvation and producer backpressure are dual symptoms of an imbalanced pipeline. Increasing one component’s utilization beyond the downstream service rate only increases queue depth, live memory, policy staleness, or contention.</w:t>
      </w:r>
    </w:p>
    <w:tbl>
      <w:tblPr>
        <w:tblStyle w:val="TableGrid"/>
        <w:tblW w:type="auto" w:w="0"/>
        <w:tblLayout w:type="autofit"/>
        <w:tblLook w:firstColumn="1" w:firstRow="1" w:lastColumn="0" w:lastRow="0" w:noHBand="0" w:noVBand="1" w:val="04A0"/>
      </w:tblPr>
      <w:tblGrid>
        <w:gridCol w:w="3312"/>
        <w:gridCol w:w="3312"/>
        <w:gridCol w:w="3312"/>
      </w:tblGrid>
      <w:tr>
        <w:trPr>
          <w:tblHeader w:val="true"/>
        </w:trPr>
        <w:tc>
          <w:tcPr>
            <w:tcW w:type="dxa" w:w="3312"/>
          </w:tcPr>
          <w:p>
            <w:r>
              <w:rPr>
                <w:b/>
              </w:rPr>
              <w:t>Metric</w:t>
            </w:r>
          </w:p>
        </w:tc>
        <w:tc>
          <w:tcPr>
            <w:tcW w:type="dxa" w:w="3312"/>
          </w:tcPr>
          <w:p>
            <w:r>
              <w:rPr>
                <w:b/>
              </w:rPr>
              <w:t>Meaning</w:t>
            </w:r>
          </w:p>
        </w:tc>
        <w:tc>
          <w:tcPr>
            <w:tcW w:type="dxa" w:w="3312"/>
          </w:tcPr>
          <w:p>
            <w:r>
              <w:rPr>
                <w:b/>
              </w:rPr>
              <w:t>Optimization use</w:t>
            </w:r>
          </w:p>
        </w:tc>
      </w:tr>
      <w:tr>
        <w:tc>
          <w:tcPr>
            <w:tcW w:type="dxa" w:w="3312"/>
          </w:tcPr>
          <w:p>
            <w:r>
              <w:t>Initiation interval</w:t>
            </w:r>
          </w:p>
        </w:tc>
        <w:tc>
          <w:tcPr>
            <w:tcW w:type="dxa" w:w="3312"/>
          </w:tcPr>
          <w:p>
            <w:r>
              <w:t>steady-state time between successive work units</w:t>
            </w:r>
          </w:p>
        </w:tc>
        <w:tc>
          <w:tcPr>
            <w:tcW w:type="dxa" w:w="3312"/>
          </w:tcPr>
          <w:p>
            <w:r>
              <w:t>primary throughput objective</w:t>
            </w:r>
          </w:p>
        </w:tc>
      </w:tr>
      <w:tr>
        <w:tc>
          <w:tcPr>
            <w:tcW w:type="dxa" w:w="3312"/>
          </w:tcPr>
          <w:p>
            <w:r>
              <w:t>Stage service rate</w:t>
            </w:r>
          </w:p>
        </w:tc>
        <w:tc>
          <w:tcPr>
            <w:tcW w:type="dxa" w:w="3312"/>
          </w:tcPr>
          <w:p>
            <w:r>
              <w:t>work units accepted/completed per unit time</w:t>
            </w:r>
          </w:p>
        </w:tc>
        <w:tc>
          <w:tcPr>
            <w:tcW w:type="dxa" w:w="3312"/>
          </w:tcPr>
          <w:p>
            <w:r>
              <w:t>balance producer and consumer capacity</w:t>
            </w:r>
          </w:p>
        </w:tc>
      </w:tr>
      <w:tr>
        <w:tc>
          <w:tcPr>
            <w:tcW w:type="dxa" w:w="3312"/>
          </w:tcPr>
          <w:p>
            <w:r>
              <w:t>Starvation time</w:t>
            </w:r>
          </w:p>
        </w:tc>
        <w:tc>
          <w:tcPr>
            <w:tcW w:type="dxa" w:w="3312"/>
          </w:tcPr>
          <w:p>
            <w:r>
              <w:t>consumer ready but required input unavailable</w:t>
            </w:r>
          </w:p>
        </w:tc>
        <w:tc>
          <w:tcPr>
            <w:tcW w:type="dxa" w:w="3312"/>
          </w:tcPr>
          <w:p>
            <w:r>
              <w:t>prefetch, producer resources, buffering, readiness repair</w:t>
            </w:r>
          </w:p>
        </w:tc>
      </w:tr>
      <w:tr>
        <w:tc>
          <w:tcPr>
            <w:tcW w:type="dxa" w:w="3312"/>
          </w:tcPr>
          <w:p>
            <w:r>
              <w:t>Backpressure time</w:t>
            </w:r>
          </w:p>
        </w:tc>
        <w:tc>
          <w:tcPr>
            <w:tcW w:type="dxa" w:w="3312"/>
          </w:tcPr>
          <w:p>
            <w:r>
              <w:t>producer blocked because output cannot advance</w:t>
            </w:r>
          </w:p>
        </w:tc>
        <w:tc>
          <w:tcPr>
            <w:tcW w:type="dxa" w:w="3312"/>
          </w:tcPr>
          <w:p>
            <w:r>
              <w:t>consumer replication, admission control, queue reduction</w:t>
            </w:r>
          </w:p>
        </w:tc>
      </w:tr>
      <w:tr>
        <w:tc>
          <w:tcPr>
            <w:tcW w:type="dxa" w:w="3312"/>
          </w:tcPr>
          <w:p>
            <w:r>
              <w:t>Pipeline bubble ratio</w:t>
            </w:r>
          </w:p>
        </w:tc>
        <w:tc>
          <w:tcPr>
            <w:tcW w:type="dxa" w:w="3312"/>
          </w:tcPr>
          <w:p>
            <w:r>
              <w:t>idle or waiting time divided by total pipeline time</w:t>
            </w:r>
          </w:p>
        </w:tc>
        <w:tc>
          <w:tcPr>
            <w:tcW w:type="dxa" w:w="3312"/>
          </w:tcPr>
          <w:p>
            <w:r>
              <w:t>evaluate stage partition and overlap</w:t>
            </w:r>
          </w:p>
        </w:tc>
      </w:tr>
      <w:tr>
        <w:tc>
          <w:tcPr>
            <w:tcW w:type="dxa" w:w="3312"/>
          </w:tcPr>
          <w:p>
            <w:r>
              <w:t>Utilization vector</w:t>
            </w:r>
          </w:p>
        </w:tc>
        <w:tc>
          <w:tcPr>
            <w:tcW w:type="dxa" w:w="3312"/>
          </w:tcPr>
          <w:p>
            <w:r>
              <w:t>useful activity by Tensor Core, CUDA core, TMA, HBM, shared/TMEM, network</w:t>
            </w:r>
          </w:p>
        </w:tc>
        <w:tc>
          <w:tcPr>
            <w:tcW w:type="dxa" w:w="3312"/>
          </w:tcPr>
          <w:p>
            <w:r>
              <w:t>identify the actual bottleneck</w:t>
            </w:r>
          </w:p>
        </w:tc>
      </w:tr>
      <w:tr>
        <w:tc>
          <w:tcPr>
            <w:tcW w:type="dxa" w:w="3312"/>
          </w:tcPr>
          <w:p>
            <w:r>
              <w:t>Peak in-flight memory</w:t>
            </w:r>
          </w:p>
        </w:tc>
        <w:tc>
          <w:tcPr>
            <w:tcW w:type="dxa" w:w="3312"/>
          </w:tcPr>
          <w:p>
            <w:r>
              <w:t>sum of buffers and live work units</w:t>
            </w:r>
          </w:p>
        </w:tc>
        <w:tc>
          <w:tcPr>
            <w:tcW w:type="dxa" w:w="3312"/>
          </w:tcPr>
          <w:p>
            <w:r>
              <w:t>bound pipeline depth and queue capacity</w:t>
            </w:r>
          </w:p>
        </w:tc>
      </w:tr>
    </w:tbl>
    <w:p>
      <w:pPr>
        <w:pStyle w:val="Heading2"/>
      </w:pPr>
      <w:r>
        <w:t>11.12 PipelineBalancePlanIR and Scheduling</w:t>
      </w:r>
    </w:p>
    <w:p>
      <w:pPr>
        <w:pStyle w:val="CodeBlock"/>
      </w:pPr>
      <w:r>
        <w:t>PipelineBalancePlanIR {</w:t>
        <w:br/>
        <w:t xml:space="preserve">  pipeline_graph_id</w:t>
        <w:br/>
        <w:t xml:space="preserve">  stage_assignments:</w:t>
        <w:br/>
        <w:t xml:space="preserve">    resources, streams, devices, warp_groups, replication_factor</w:t>
        <w:br/>
        <w:t xml:space="preserve">  buffer_plan</w:t>
        <w:br/>
        <w:t xml:space="preserve">  batching_and_microbatch_plan</w:t>
        <w:br/>
        <w:t xml:space="preserve">  chunking_plan</w:t>
        <w:br/>
        <w:t xml:space="preserve">  overlap_plan</w:t>
        <w:br/>
        <w:t xml:space="preserve">  priority_and_admission_plan</w:t>
        <w:br/>
        <w:t xml:space="preserve">  predicted:</w:t>
        <w:br/>
        <w:t xml:space="preserve">    initiation_interval, utilization_vector, throughput,</w:t>
        <w:br/>
        <w:t xml:space="preserve">    end_to_end_latency, starvation_by_stage,</w:t>
        <w:br/>
        <w:t xml:space="preserve">    backpressure_by_stage, peak_memory, queue_depths</w:t>
        <w:br/>
        <w:t xml:space="preserve">  bottleneck_stage</w:t>
        <w:br/>
        <w:t xml:space="preserve">  bottleneck_resource</w:t>
        <w:br/>
        <w:t xml:space="preserve">  runtime_guards</w:t>
        <w:br/>
        <w:t xml:space="preserve">  adaptation_rules</w:t>
        <w:br/>
        <w:t xml:space="preserve">  performance_model_snapshot_id</w:t>
        <w:br/>
        <w:t>}</w:t>
      </w:r>
    </w:p>
    <w:p>
      <w:r>
        <w:t>FusionPipelinePlanIR, KernelPipelinePlanIR, InferencePipelinePlanIR, and RLPipelinePlanIR specialize the same common model. The planner may split or fuse stages, change tile/work-unit size, replicate a stage, reserve resources, increase bounded buffering, adjust queue/admission limits, or choose a different runtime variant.</w:t>
      </w:r>
    </w:p>
    <w:p>
      <w:pPr>
        <w:pStyle w:val="Heading2"/>
      </w:pPr>
      <w:r>
        <w:t>11.13 Runtime Variant Selection and Profile-Guided Replanning</w:t>
      </w:r>
    </w:p>
    <w:p>
      <w:pPr>
        <w:pStyle w:val="Heading3"/>
      </w:pPr>
      <w:r>
        <w:t>11.13.1 Existing Runtime Feedback Boundary</w:t>
      </w:r>
    </w:p>
    <w:p>
      <w:r>
        <w:t>Serving and rollout systems expose KV pressure, running/waiting requests, token throughput and latency. Static planning should produce guarded variants, while runtime telemetry selects among them and updates cost models. [73]</w:t>
      </w:r>
    </w:p>
    <w:p>
      <w:r>
        <w:rPr>
          <w:b/>
        </w:rPr>
        <w:t>Value:</w:t>
      </w:r>
      <w:r>
        <w:t xml:space="preserve"> adapt to prompt-length distribution, queue pressure and real cache behavior without permitting uncertified allocation or precision states.</w:t>
      </w:r>
    </w:p>
    <w:p>
      <w:r>
        <w:rPr>
          <w:b/>
        </w:rPr>
        <w:t>DSC differentiation:</w:t>
      </w:r>
      <w:r>
        <w:t xml:space="preserve"> backend-neutral telemetry is attached to the same semantic tensor and plan IDs used by the compiler, enabling causal diagnosis rather than dashboard-only observation.</w:t>
      </w:r>
    </w:p>
    <w:p>
      <w:r>
        <w:t>Two feedback speeds are required. The fast path selects among pre-certified variants using current shape, queue, KV, memory, and stage-state observations. The slow path aggregates observations, updates the model epoch, invalidates dependent predictions/plans, recompiles or retunes, and certifies new variants.</w:t>
      </w:r>
    </w:p>
    <w:p>
      <w:pPr>
        <w:pStyle w:val="CodeBlock"/>
      </w:pPr>
      <w:r>
        <w:t>Fast path:</w:t>
        <w:br/>
        <w:t xml:space="preserve">  current runtime state -&gt; choose certified variant</w:t>
        <w:br/>
        <w:br/>
        <w:t>Slow path:</w:t>
        <w:br/>
        <w:t xml:space="preserve">  telemetry -&gt; observations -&gt; model update -&gt; new snapshot</w:t>
        <w:br/>
        <w:t xml:space="preserve">  -&gt; invalidate predictions/plans -&gt; replan -&gt; certify new variants</w:t>
      </w:r>
    </w:p>
    <w:p>
      <w:pPr>
        <w:pStyle w:val="Heading2"/>
      </w:pPr>
      <w:r>
        <w:t>11.14 Security and Telemetry Governance</w:t>
      </w:r>
    </w:p>
    <w:p>
      <w:r>
        <w:t>Performance telemetry for confidential on-prem workloads should record shapes, buckets, operator/plan IDs, counters, resource state, and aggregated statistics—not raw prompts, token content, customer identifiers, source-code fragments, or model outputs. Observation retention, access, export, encryption, and redaction are governed by the Chapter 9 confidentiality contract.</w:t>
      </w:r>
    </w:p>
    <w:p>
      <w:pPr>
        <w:pStyle w:val="CodeBlock"/>
      </w:pPr>
      <w:r>
        <w:t>Telemetry governance:</w:t>
        <w:br/>
        <w:t xml:space="preserve">  no raw prompt or token content</w:t>
        <w:br/>
        <w:t xml:space="preserve">  no customer identifiers</w:t>
        <w:br/>
        <w:t xml:space="preserve">  no source-code fragments</w:t>
        <w:br/>
        <w:t xml:space="preserve">  aggregate metrics by certified context key</w:t>
        <w:br/>
        <w:t xml:space="preserve">  encrypt observations at rest</w:t>
        <w:br/>
        <w:t xml:space="preserve">  retain model/plan/snapshot lineage for audit</w:t>
        <w:br/>
        <w:t xml:space="preserve">  reject cross-tenant or cross-security-domain profile reuse</w:t>
      </w:r>
    </w:p>
    <w:p>
      <w:pPr>
        <w:pStyle w:val="Heading2"/>
      </w:pPr>
      <w:r>
        <w:t>11.15 Diagnostics and Architectural Summary</w:t>
      </w:r>
    </w:p>
    <w:tbl>
      <w:tblPr>
        <w:tblStyle w:val="TableGrid"/>
        <w:tblW w:type="auto" w:w="0"/>
        <w:tblLayout w:type="autofit"/>
        <w:tblLook w:firstColumn="1" w:firstRow="1" w:lastColumn="0" w:lastRow="0" w:noHBand="0" w:noVBand="1" w:val="04A0"/>
      </w:tblPr>
      <w:tblGrid>
        <w:gridCol w:w="4968"/>
        <w:gridCol w:w="4968"/>
      </w:tblGrid>
      <w:tr>
        <w:trPr>
          <w:tblHeader w:val="true"/>
        </w:trPr>
        <w:tc>
          <w:tcPr>
            <w:tcW w:type="dxa" w:w="4968"/>
          </w:tcPr>
          <w:p>
            <w:r>
              <w:rPr>
                <w:b/>
              </w:rPr>
              <w:t>Diagnostic</w:t>
            </w:r>
          </w:p>
        </w:tc>
        <w:tc>
          <w:tcPr>
            <w:tcW w:type="dxa" w:w="4968"/>
          </w:tcPr>
          <w:p>
            <w:r>
              <w:rPr>
                <w:b/>
              </w:rPr>
              <w:t>Meaning</w:t>
            </w:r>
          </w:p>
        </w:tc>
      </w:tr>
      <w:tr>
        <w:tc>
          <w:tcPr>
            <w:tcW w:type="dxa" w:w="4968"/>
          </w:tcPr>
          <w:p>
            <w:r>
              <w:t>CPMODEL-001</w:t>
            </w:r>
          </w:p>
        </w:tc>
        <w:tc>
          <w:tcPr>
            <w:tcW w:type="dxa" w:w="4968"/>
          </w:tcPr>
          <w:p>
            <w:r>
              <w:t>PerformanceModelUnavailableAndNoConservativeDefault</w:t>
            </w:r>
          </w:p>
        </w:tc>
      </w:tr>
      <w:tr>
        <w:tc>
          <w:tcPr>
            <w:tcW w:type="dxa" w:w="4968"/>
          </w:tcPr>
          <w:p>
            <w:r>
              <w:t>CPMODEL-002</w:t>
            </w:r>
          </w:p>
        </w:tc>
        <w:tc>
          <w:tcPr>
            <w:tcW w:type="dxa" w:w="4968"/>
          </w:tcPr>
          <w:p>
            <w:r>
              <w:t>ModelSnapshotTargetMismatch</w:t>
            </w:r>
          </w:p>
        </w:tc>
      </w:tr>
      <w:tr>
        <w:tc>
          <w:tcPr>
            <w:tcW w:type="dxa" w:w="4968"/>
          </w:tcPr>
          <w:p>
            <w:r>
              <w:t>CPMODEL-003</w:t>
            </w:r>
          </w:p>
        </w:tc>
        <w:tc>
          <w:tcPr>
            <w:tcW w:type="dxa" w:w="4968"/>
          </w:tcPr>
          <w:p>
            <w:r>
              <w:t>ObservationContextIncomplete</w:t>
            </w:r>
          </w:p>
        </w:tc>
      </w:tr>
      <w:tr>
        <w:tc>
          <w:tcPr>
            <w:tcW w:type="dxa" w:w="4968"/>
          </w:tcPr>
          <w:p>
            <w:r>
              <w:t>CPMODEL-004</w:t>
            </w:r>
          </w:p>
        </w:tc>
        <w:tc>
          <w:tcPr>
            <w:tcW w:type="dxa" w:w="4968"/>
          </w:tcPr>
          <w:p>
            <w:r>
              <w:t>ProfileSampleSupportBelowThreshold</w:t>
            </w:r>
          </w:p>
        </w:tc>
      </w:tr>
      <w:tr>
        <w:tc>
          <w:tcPr>
            <w:tcW w:type="dxa" w:w="4968"/>
          </w:tcPr>
          <w:p>
            <w:r>
              <w:t>CPMODEL-005</w:t>
            </w:r>
          </w:p>
        </w:tc>
        <w:tc>
          <w:tcPr>
            <w:tcW w:type="dxa" w:w="4968"/>
          </w:tcPr>
          <w:p>
            <w:r>
              <w:t>PredictionUsedOutsideValidityScope</w:t>
            </w:r>
          </w:p>
        </w:tc>
      </w:tr>
      <w:tr>
        <w:tc>
          <w:tcPr>
            <w:tcW w:type="dxa" w:w="4968"/>
          </w:tcPr>
          <w:p>
            <w:r>
              <w:t>CPMODEL-006</w:t>
            </w:r>
          </w:p>
        </w:tc>
        <w:tc>
          <w:tcPr>
            <w:tcW w:type="dxa" w:w="4968"/>
          </w:tcPr>
          <w:p>
            <w:r>
              <w:t>ExtrapolationRiskExceedsPolicy</w:t>
            </w:r>
          </w:p>
        </w:tc>
      </w:tr>
      <w:tr>
        <w:tc>
          <w:tcPr>
            <w:tcW w:type="dxa" w:w="4968"/>
          </w:tcPr>
          <w:p>
            <w:r>
              <w:t>CPMODEL-007</w:t>
            </w:r>
          </w:p>
        </w:tc>
        <w:tc>
          <w:tcPr>
            <w:tcW w:type="dxa" w:w="4968"/>
          </w:tcPr>
          <w:p>
            <w:r>
              <w:t>ModelEpochChangedWithoutPlanInvalidation</w:t>
            </w:r>
          </w:p>
        </w:tc>
      </w:tr>
      <w:tr>
        <w:tc>
          <w:tcPr>
            <w:tcW w:type="dxa" w:w="4968"/>
          </w:tcPr>
          <w:p>
            <w:r>
              <w:t>CPIPE-001</w:t>
            </w:r>
          </w:p>
        </w:tc>
        <w:tc>
          <w:tcPr>
            <w:tcW w:type="dxa" w:w="4968"/>
          </w:tcPr>
          <w:p>
            <w:r>
              <w:t>PipelineStageDependencyIncomplete</w:t>
            </w:r>
          </w:p>
        </w:tc>
      </w:tr>
      <w:tr>
        <w:tc>
          <w:tcPr>
            <w:tcW w:type="dxa" w:w="4968"/>
          </w:tcPr>
          <w:p>
            <w:r>
              <w:t>CPIPE-002</w:t>
            </w:r>
          </w:p>
        </w:tc>
        <w:tc>
          <w:tcPr>
            <w:tcW w:type="dxa" w:w="4968"/>
          </w:tcPr>
          <w:p>
            <w:r>
              <w:t>StageReadinessConditionMissing</w:t>
            </w:r>
          </w:p>
        </w:tc>
      </w:tr>
      <w:tr>
        <w:tc>
          <w:tcPr>
            <w:tcW w:type="dxa" w:w="4968"/>
          </w:tcPr>
          <w:p>
            <w:r>
              <w:t>CPIPE-003</w:t>
            </w:r>
          </w:p>
        </w:tc>
        <w:tc>
          <w:tcPr>
            <w:tcW w:type="dxa" w:w="4968"/>
          </w:tcPr>
          <w:p>
            <w:r>
              <w:t>ConsumerStarvationExceedsBudget</w:t>
            </w:r>
          </w:p>
        </w:tc>
      </w:tr>
      <w:tr>
        <w:tc>
          <w:tcPr>
            <w:tcW w:type="dxa" w:w="4968"/>
          </w:tcPr>
          <w:p>
            <w:r>
              <w:t>CPIPE-004</w:t>
            </w:r>
          </w:p>
        </w:tc>
        <w:tc>
          <w:tcPr>
            <w:tcW w:type="dxa" w:w="4968"/>
          </w:tcPr>
          <w:p>
            <w:r>
              <w:t>ProducerBackpressureExceedsBudget</w:t>
            </w:r>
          </w:p>
        </w:tc>
      </w:tr>
      <w:tr>
        <w:tc>
          <w:tcPr>
            <w:tcW w:type="dxa" w:w="4968"/>
          </w:tcPr>
          <w:p>
            <w:r>
              <w:t>CPIPE-005</w:t>
            </w:r>
          </w:p>
        </w:tc>
        <w:tc>
          <w:tcPr>
            <w:tcW w:type="dxa" w:w="4968"/>
          </w:tcPr>
          <w:p>
            <w:r>
              <w:t>PipelineDepthExceedsMemoryBudget</w:t>
            </w:r>
          </w:p>
        </w:tc>
      </w:tr>
      <w:tr>
        <w:tc>
          <w:tcPr>
            <w:tcW w:type="dxa" w:w="4968"/>
          </w:tcPr>
          <w:p>
            <w:r>
              <w:t>CPIPE-006</w:t>
            </w:r>
          </w:p>
        </w:tc>
        <w:tc>
          <w:tcPr>
            <w:tcW w:type="dxa" w:w="4968"/>
          </w:tcPr>
          <w:p>
            <w:r>
              <w:t>SharedResourceContentionUnmodeled</w:t>
            </w:r>
          </w:p>
        </w:tc>
      </w:tr>
      <w:tr>
        <w:tc>
          <w:tcPr>
            <w:tcW w:type="dxa" w:w="4968"/>
          </w:tcPr>
          <w:p>
            <w:r>
              <w:t>CPIPE-007</w:t>
            </w:r>
          </w:p>
        </w:tc>
        <w:tc>
          <w:tcPr>
            <w:tcW w:type="dxa" w:w="4968"/>
          </w:tcPr>
          <w:p>
            <w:r>
              <w:t>StageVersionOrPrecisionMismatch</w:t>
            </w:r>
          </w:p>
        </w:tc>
      </w:tr>
      <w:tr>
        <w:tc>
          <w:tcPr>
            <w:tcW w:type="dxa" w:w="4968"/>
          </w:tcPr>
          <w:p>
            <w:r>
              <w:t>CPIPE-008</w:t>
            </w:r>
          </w:p>
        </w:tc>
        <w:tc>
          <w:tcPr>
            <w:tcW w:type="dxa" w:w="4968"/>
          </w:tcPr>
          <w:p>
            <w:r>
              <w:t>RuntimeVariantOutsideCertifiedEnvelope</w:t>
            </w:r>
          </w:p>
        </w:tc>
      </w:tr>
      <w:tr>
        <w:tc>
          <w:tcPr>
            <w:tcW w:type="dxa" w:w="4968"/>
          </w:tcPr>
          <w:p>
            <w:r>
              <w:t>CPIPE-009</w:t>
            </w:r>
          </w:p>
        </w:tc>
        <w:tc>
          <w:tcPr>
            <w:tcW w:type="dxa" w:w="4968"/>
          </w:tcPr>
          <w:p>
            <w:r>
              <w:t>TelemetryFeedbackMissingForAdaptivePlan</w:t>
            </w:r>
          </w:p>
        </w:tc>
      </w:tr>
      <w:tr>
        <w:tc>
          <w:tcPr>
            <w:tcW w:type="dxa" w:w="4968"/>
          </w:tcPr>
          <w:p>
            <w:r>
              <w:t>CPIPE-010</w:t>
            </w:r>
          </w:p>
        </w:tc>
        <w:tc>
          <w:tcPr>
            <w:tcW w:type="dxa" w:w="4968"/>
          </w:tcPr>
          <w:p>
            <w:r>
              <w:t>HighUtilizationWithoutUsefulProgress</w:t>
            </w:r>
          </w:p>
        </w:tc>
      </w:tr>
    </w:tbl>
    <w:p>
      <w:pPr>
        <w:pStyle w:val="CodeBlock"/>
      </w:pPr>
      <w:r>
        <w:t>Chapter 11 thesis:</w:t>
        <w:br/>
        <w:t xml:space="preserve">  Defaults make the first schedule possible.</w:t>
        <w:br/>
        <w:t xml:space="preserve">  Profiles make later schedules accurate.</w:t>
        <w:br/>
        <w:t xml:space="preserve">  Confidence controls how aggressively the compiler trusts them.</w:t>
        <w:br/>
        <w:t xml:space="preserve">  Snapshots make every decision reproducible.</w:t>
        <w:br/>
        <w:br/>
        <w:t xml:space="preserve">  Do not maximize busy time.</w:t>
        <w:br/>
        <w:t xml:space="preserve">  Maximize balanced useful progress within memory,</w:t>
        <w:br/>
        <w:t xml:space="preserve">  semantic, version, security, and latency constraints.</w:t>
      </w:r>
    </w:p>
    <w:p>
      <w:pPr>
        <w:pStyle w:val="Heading1"/>
      </w:pPr>
      <w:r>
        <w:t>Chapter 12. Code Generation Architecture and Target Binary Production</w:t>
      </w:r>
    </w:p>
    <w:p>
      <w:pPr>
        <w:pStyle w:val="Heading2"/>
      </w:pPr>
      <w:r>
        <w:t>12.1 Purpose and Architectural Position</w:t>
      </w:r>
    </w:p>
    <w:p>
      <w:r>
        <w:t>This chapter defines the code-generation phase of DSC as a set of capabilities and contracts rather than as a commitment to a specific compiler implementation. The architectural requirement is to convert a certified execution plan and DeviceKernelIR into target-executable implementations while preserving ABI, semantic lineage, target legality, reproducibility, and performance-model provenance. LLVM, Triton, TVM, CuTe, generated CUDA C++, or a native DSC emitter may implement parts of this phase, but none is mandatory to the architecture.</w:t>
      </w:r>
    </w:p>
    <w:p>
      <w:r>
        <w:t>The code-generation phase sits after the coordinated planning infrastructure of Chapter 10 and the performance-model selection logic of Chapter 11, and before runtime-specific integration such as the SGLang vertical slice in Chapter 13. For the initial NVIDIA/SGLang path, Appendix J is the implementation companion that describes PTX/CUBIN production, binary validation, packaging, and startup-time loading.</w:t>
      </w:r>
    </w:p>
    <w:p>
      <w:pPr>
        <w:pStyle w:val="CodeBlock"/>
      </w:pPr>
      <w:r>
        <w:t>Architecture rule: define the required capability, input/output contract, ownership, diagnostics, and certification boundary first. Select or replace the implementation provider independently.</w:t>
      </w:r>
    </w:p>
    <w:p>
      <w:pPr>
        <w:pStyle w:val="Heading2"/>
      </w:pPr>
      <w:r>
        <w:t>12.2 Architecture Versus Leveraging Strategy</w:t>
      </w:r>
    </w:p>
    <w:p>
      <w:r>
        <w:t>DSC must distinguish durable architecture from the external technology used to realize it. A code-generation component is named by the function it performs, not by the library or compiler currently used to implement that function. This prevents external compiler ecosystems from becoming permanent IR or ABI dependencies.</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tcPr>
          <w:p>
            <w:r>
              <w:t>Architectural building block</w:t>
            </w:r>
          </w:p>
        </w:tc>
        <w:tc>
          <w:tcPr>
            <w:tcW w:type="dxa" w:w="3312"/>
          </w:tcPr>
          <w:p>
            <w:r>
              <w:t>Required function</w:t>
            </w:r>
          </w:p>
        </w:tc>
        <w:tc>
          <w:tcPr>
            <w:tcW w:type="dxa" w:w="3312"/>
          </w:tcPr>
          <w:p>
            <w:r>
              <w:t>Possible leveraging strategies</w:t>
            </w:r>
          </w:p>
        </w:tc>
      </w:tr>
      <w:tr>
        <w:tc>
          <w:tcPr>
            <w:tcW w:type="dxa" w:w="3312"/>
          </w:tcPr>
          <w:p>
            <w:r>
              <w:t>DeviceKernelIR</w:t>
            </w:r>
          </w:p>
        </w:tc>
        <w:tc>
          <w:tcPr>
            <w:tcW w:type="dxa" w:w="3312"/>
          </w:tcPr>
          <w:p>
            <w:r>
              <w:t>Represent the selected device execution structure before target assembly emission.</w:t>
            </w:r>
          </w:p>
        </w:tc>
        <w:tc>
          <w:tcPr>
            <w:tcW w:type="dxa" w:w="3312"/>
          </w:tcPr>
          <w:p>
            <w:r>
              <w:t>Native DSC IR; imported kernel IR; backend-specific adapter.</w:t>
            </w:r>
          </w:p>
        </w:tc>
      </w:tr>
      <w:tr>
        <w:tc>
          <w:tcPr>
            <w:tcW w:type="dxa" w:w="3312"/>
          </w:tcPr>
          <w:p>
            <w:r>
              <w:t>TargetAssemblyGenerator</w:t>
            </w:r>
          </w:p>
        </w:tc>
        <w:tc>
          <w:tcPr>
            <w:tcW w:type="dxa" w:w="3312"/>
          </w:tcPr>
          <w:p>
            <w:r>
              <w:t>Convert DeviceKernelIR into a target virtual/native assembly representation.</w:t>
            </w:r>
          </w:p>
        </w:tc>
        <w:tc>
          <w:tcPr>
            <w:tcW w:type="dxa" w:w="3312"/>
          </w:tcPr>
          <w:p>
            <w:r>
              <w:t>DSC-native emitter; LLVM; Triton; TVM; vendor compiler adapter.</w:t>
            </w:r>
          </w:p>
        </w:tc>
      </w:tr>
      <w:tr>
        <w:tc>
          <w:tcPr>
            <w:tcW w:type="dxa" w:w="3312"/>
          </w:tcPr>
          <w:p>
            <w:r>
              <w:t>NvidiaPTXGenerator</w:t>
            </w:r>
          </w:p>
        </w:tc>
        <w:tc>
          <w:tcPr>
            <w:tcW w:type="dxa" w:w="3312"/>
          </w:tcPr>
          <w:p>
            <w:r>
              <w:t>Produce conforming PTX plus target/ABI/source metadata for NVIDIA targets.</w:t>
            </w:r>
          </w:p>
        </w:tc>
        <w:tc>
          <w:tcPr>
            <w:tcW w:type="dxa" w:w="3312"/>
          </w:tcPr>
          <w:p>
            <w:r>
              <w:t>Direct DSC PTX DSL/emitter; LLVM NVPTX; Triton path; TVM NVPTX; generated CUDA route that yields PTX.</w:t>
            </w:r>
          </w:p>
        </w:tc>
      </w:tr>
      <w:tr>
        <w:tc>
          <w:tcPr>
            <w:tcW w:type="dxa" w:w="3312"/>
          </w:tcPr>
          <w:p>
            <w:r>
              <w:t>NativeBinaryFinalizer</w:t>
            </w:r>
          </w:p>
        </w:tc>
        <w:tc>
          <w:tcPr>
            <w:tcW w:type="dxa" w:w="3312"/>
          </w:tcPr>
          <w:p>
            <w:r>
              <w:t>Convert target assembly or supported device-code inputs into loadable native binaries.</w:t>
            </w:r>
          </w:p>
        </w:tc>
        <w:tc>
          <w:tcPr>
            <w:tcW w:type="dxa" w:w="3312"/>
          </w:tcPr>
          <w:p>
            <w:r>
              <w:t>ptxas; CUDA Driver JIT; nvJitLink; other certified vendor finalizer.</w:t>
            </w:r>
          </w:p>
        </w:tc>
      </w:tr>
      <w:tr>
        <w:tc>
          <w:tcPr>
            <w:tcW w:type="dxa" w:w="3312"/>
          </w:tcPr>
          <w:p>
            <w:r>
              <w:t>KernelImplementationProvider</w:t>
            </w:r>
          </w:p>
        </w:tc>
        <w:tc>
          <w:tcPr>
            <w:tcW w:type="dxa" w:w="3312"/>
          </w:tcPr>
          <w:p>
            <w:r>
              <w:t>Supply an executable implementation satisfying a semantic operation contract.</w:t>
            </w:r>
          </w:p>
        </w:tc>
        <w:tc>
          <w:tcPr>
            <w:tcW w:type="dxa" w:w="3312"/>
          </w:tcPr>
          <w:p>
            <w:r>
              <w:t>Generated kernel; cuBLASLt; CUTLASS/CuTe; FlashInfer; FlashAttention; DeepGEMM; TensorRT-LLM; runtime-native provider.</w:t>
            </w:r>
          </w:p>
        </w:tc>
      </w:tr>
      <w:tr>
        <w:tc>
          <w:tcPr>
            <w:tcW w:type="dxa" w:w="3312"/>
          </w:tcPr>
          <w:p>
            <w:r>
              <w:t>CodegenProviderRegistry</w:t>
            </w:r>
          </w:p>
        </w:tc>
        <w:tc>
          <w:tcPr>
            <w:tcW w:type="dxa" w:w="3312"/>
          </w:tcPr>
          <w:p>
            <w:r>
              <w:t>Advertise provider capabilities and select a conforming implementation.</w:t>
            </w:r>
          </w:p>
        </w:tc>
        <w:tc>
          <w:tcPr>
            <w:tcW w:type="dxa" w:w="3312"/>
          </w:tcPr>
          <w:p>
            <w:r>
              <w:t>Static registry; plugin registry; runtime/backend adapter.</w:t>
            </w:r>
          </w:p>
        </w:tc>
      </w:tr>
    </w:tbl>
    <w:p>
      <w:pPr>
        <w:pStyle w:val="Heading2"/>
      </w:pPr>
      <w:r>
        <w:t>12.3 Code-Generation Phase Inputs and Outputs</w:t>
      </w:r>
    </w:p>
    <w:p>
      <w:r>
        <w:t>The phase consumes certified decisions rather than rediscovering major optimization policy. Fusion boundaries, sharding, tiling, memory placement, pipeline structure, precision, and runtime guards should already be represented by selected plans. Code generation may perform local canonicalization and target instruction-form selection, but it must not silently change the certified semantic or distributed execution contract.</w:t>
      </w:r>
    </w:p>
    <w:p>
      <w:pPr>
        <w:pStyle w:val="CodeBlock"/>
      </w:pPr>
      <w:r>
        <w:t>CodeGenerationInput {</w:t>
        <w:br/>
        <w:t xml:space="preserve">  semantic_origin_ids</w:t>
        <w:br/>
        <w:t xml:space="preserve">  certified_plan_ids</w:t>
        <w:br/>
        <w:t xml:space="preserve">  DeviceKernelIR[]</w:t>
        <w:br/>
        <w:t xml:space="preserve">  KernelABIIR[]</w:t>
        <w:br/>
        <w:t xml:space="preserve">  target_description</w:t>
        <w:br/>
        <w:t xml:space="preserve">  precision_and_quantization_contracts</w:t>
        <w:br/>
        <w:t xml:space="preserve">  runtime_guards</w:t>
        <w:br/>
        <w:t xml:space="preserve">  performance_model_snapshot_id</w:t>
        <w:br/>
        <w:t xml:space="preserve">  codegen_policy</w:t>
        <w:br/>
        <w:t>}</w:t>
        <w:br/>
        <w:br/>
        <w:t>CodeGenerationOutput {</w:t>
        <w:br/>
        <w:t xml:space="preserve">  generated_kernel_artifacts[]</w:t>
        <w:br/>
        <w:t xml:space="preserve">  library_kernel_bindings[]</w:t>
        <w:br/>
        <w:t xml:space="preserve">  target_assembly_modules[]</w:t>
        <w:br/>
        <w:t xml:space="preserve">  native_binary_modules[]</w:t>
        <w:br/>
        <w:t xml:space="preserve">  resource_facts[]</w:t>
        <w:br/>
        <w:t xml:space="preserve">  source_and_lineage_maps[]</w:t>
        <w:br/>
        <w:t xml:space="preserve">  compatibility_manifest</w:t>
        <w:br/>
        <w:t xml:space="preserve">  diagnostic_set</w:t>
        <w:br/>
        <w:t>}</w:t>
      </w:r>
    </w:p>
    <w:p>
      <w:pPr>
        <w:pStyle w:val="Heading2"/>
      </w:pPr>
      <w:r>
        <w:t>12.4 DeviceKernelIR as the Code-Generation Boundary</w:t>
      </w:r>
    </w:p>
    <w:p>
      <w:r>
        <w:t>DeviceKernelIR is the lowest DSC-owned representation that should still express execution intent independently of a particular textual assembly syntax. It captures the selected GPU or accelerator structure: launch geometry, work decomposition, tile shapes, warp or subgroup roles, memory spaces, asynchronous transfers, reductions, barriers, pipeline stages, precision, and ABI obligations. It is deliberately above PTX so that the same planned kernel can be realized by multiple target-assembly generators.</w:t>
      </w:r>
    </w:p>
    <w:p>
      <w:pPr>
        <w:pStyle w:val="CodeBlock"/>
      </w:pPr>
      <w:r>
        <w:t>DeviceKernelIR {</w:t>
        <w:br/>
        <w:t xml:space="preserve">  kernel_id</w:t>
        <w:br/>
        <w:t xml:space="preserve">  semantic_origin_operator_ids</w:t>
        <w:br/>
        <w:t xml:space="preserve">  certified_plan_ids</w:t>
        <w:br/>
        <w:t xml:space="preserve">  target_family</w:t>
        <w:br/>
        <w:t xml:space="preserve">  entry_parameters</w:t>
        <w:br/>
        <w:t xml:space="preserve">  launch_geometry</w:t>
        <w:br/>
        <w:t xml:space="preserve">  work_partitioning</w:t>
        <w:br/>
        <w:t xml:space="preserve">  tile_structure</w:t>
        <w:br/>
        <w:t xml:space="preserve">  memory_objects_and_spaces</w:t>
        <w:br/>
        <w:t xml:space="preserve">  asynchronous_transfers</w:t>
        <w:br/>
        <w:t xml:space="preserve">  synchronization</w:t>
        <w:br/>
        <w:t xml:space="preserve">  compute_operations</w:t>
        <w:br/>
        <w:t xml:space="preserve">  reduction_structure</w:t>
        <w:br/>
        <w:t xml:space="preserve">  pipeline_stages</w:t>
        <w:br/>
        <w:t xml:space="preserve">  resource_intent</w:t>
        <w:br/>
        <w:t xml:space="preserve">  precision_contract</w:t>
        <w:br/>
        <w:t xml:space="preserve">  alias_and_alignment_contracts</w:t>
        <w:br/>
        <w:t xml:space="preserve">  ABI_id</w:t>
        <w:br/>
        <w:t>}</w:t>
      </w:r>
    </w:p>
    <w:p>
      <w:pPr>
        <w:pStyle w:val="Heading2"/>
      </w:pPr>
      <w:r>
        <w:t>12.5 TargetAssemblyGenerator Contract</w:t>
      </w:r>
    </w:p>
    <w:p>
      <w:r>
        <w:t>TargetAssemblyGenerator is the architectural code-emission capability. It converts DeviceKernelIR into a target assembly module and returns enough metadata for later finalization, diagnostics, and provenance. The target assembly may be PTX, AMDGCN, SPIR-V, or another target-defined representation. The generator is replaceable and must declare which DeviceKernelIR features it can faithfully lower.</w:t>
      </w:r>
    </w:p>
    <w:p>
      <w:pPr>
        <w:pStyle w:val="CodeBlock"/>
      </w:pPr>
      <w:r>
        <w:t>TargetAssemblyGenerator {</w:t>
        <w:br/>
        <w:t xml:space="preserve">  provider_id</w:t>
        <w:br/>
        <w:t xml:space="preserve">  target_family</w:t>
        <w:br/>
        <w:t xml:space="preserve">  supported_DeviceKernelIR_features</w:t>
        <w:br/>
        <w:t xml:space="preserve">  supported_ABI_versions</w:t>
        <w:br/>
        <w:t xml:space="preserve">  generate(DeviceKernelIR, TargetDescriptionIR, CodegenPolicyIR)</w:t>
        <w:br/>
        <w:t xml:space="preserve">      -&gt; TargetAssemblyModule</w:t>
        <w:br/>
        <w:t xml:space="preserve">      + AssemblyGenerationReport</w:t>
        <w:br/>
        <w:t xml:space="preserve">      + SourceMap</w:t>
        <w:br/>
        <w:t>}</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tcPr>
          <w:p>
            <w:r>
              <w:t>Responsibility</w:t>
            </w:r>
          </w:p>
        </w:tc>
        <w:tc>
          <w:tcPr>
            <w:tcW w:type="dxa" w:w="3312"/>
          </w:tcPr>
          <w:p>
            <w:r>
              <w:t>Owned by generator</w:t>
            </w:r>
          </w:p>
        </w:tc>
        <w:tc>
          <w:tcPr>
            <w:tcW w:type="dxa" w:w="3312"/>
          </w:tcPr>
          <w:p>
            <w:r>
              <w:t>Not owned by generator</w:t>
            </w:r>
          </w:p>
        </w:tc>
      </w:tr>
      <w:tr>
        <w:tc>
          <w:tcPr>
            <w:tcW w:type="dxa" w:w="3312"/>
          </w:tcPr>
          <w:p>
            <w:r>
              <w:t>Semantic preservation</w:t>
            </w:r>
          </w:p>
        </w:tc>
        <w:tc>
          <w:tcPr>
            <w:tcW w:type="dxa" w:w="3312"/>
          </w:tcPr>
          <w:p>
            <w:r>
              <w:t>Faithfully lower the already certified DeviceKernelIR semantics and ABI.</w:t>
            </w:r>
          </w:p>
        </w:tc>
        <w:tc>
          <w:tcPr>
            <w:tcW w:type="dxa" w:w="3312"/>
          </w:tcPr>
          <w:p>
            <w:r>
              <w:t>Re-decide model semantics or fusion legality.</w:t>
            </w:r>
          </w:p>
        </w:tc>
      </w:tr>
      <w:tr>
        <w:tc>
          <w:tcPr>
            <w:tcW w:type="dxa" w:w="3312"/>
          </w:tcPr>
          <w:p>
            <w:r>
              <w:t>Target mapping</w:t>
            </w:r>
          </w:p>
        </w:tc>
        <w:tc>
          <w:tcPr>
            <w:tcW w:type="dxa" w:w="3312"/>
          </w:tcPr>
          <w:p>
            <w:r>
              <w:t>Map address spaces, thread/subgroup identifiers, instructions, predicates, barriers, and target intrinsics.</w:t>
            </w:r>
          </w:p>
        </w:tc>
        <w:tc>
          <w:tcPr>
            <w:tcW w:type="dxa" w:w="3312"/>
          </w:tcPr>
          <w:p>
            <w:r>
              <w:t>Choose global sharding or runtime scheduling policy.</w:t>
            </w:r>
          </w:p>
        </w:tc>
      </w:tr>
      <w:tr>
        <w:tc>
          <w:tcPr>
            <w:tcW w:type="dxa" w:w="3312"/>
          </w:tcPr>
          <w:p>
            <w:r>
              <w:t>Local cleanup</w:t>
            </w:r>
          </w:p>
        </w:tc>
        <w:tc>
          <w:tcPr>
            <w:tcW w:type="dxa" w:w="3312"/>
          </w:tcPr>
          <w:p>
            <w:r>
              <w:t>Canonicalize local expressions, eliminate trivial emission artifacts, choose equivalent instruction forms.</w:t>
            </w:r>
          </w:p>
        </w:tc>
        <w:tc>
          <w:tcPr>
            <w:tcW w:type="dxa" w:w="3312"/>
          </w:tcPr>
          <w:p>
            <w:r>
              <w:t>Perform unrecorded global plan changes.</w:t>
            </w:r>
          </w:p>
        </w:tc>
      </w:tr>
      <w:tr>
        <w:tc>
          <w:tcPr>
            <w:tcW w:type="dxa" w:w="3312"/>
          </w:tcPr>
          <w:p>
            <w:r>
              <w:t>Diagnostics</w:t>
            </w:r>
          </w:p>
        </w:tc>
        <w:tc>
          <w:tcPr>
            <w:tcW w:type="dxa" w:w="3312"/>
          </w:tcPr>
          <w:p>
            <w:r>
              <w:t>Report unsupported operations/features, illegal target combinations, and source mapping.</w:t>
            </w:r>
          </w:p>
        </w:tc>
        <w:tc>
          <w:tcPr>
            <w:tcW w:type="dxa" w:w="3312"/>
          </w:tcPr>
          <w:p>
            <w:r>
              <w:t>Hide fallback or silently change precision.</w:t>
            </w:r>
          </w:p>
        </w:tc>
      </w:tr>
    </w:tbl>
    <w:p>
      <w:pPr>
        <w:pStyle w:val="Heading2"/>
      </w:pPr>
      <w:r>
        <w:t>12.6 NvidiaPTXGenerator Specialization</w:t>
      </w:r>
    </w:p>
    <w:p>
      <w:r>
        <w:t>For NVIDIA targets, the required target-assembly capability is NvidiaPTXGenerator. PTX is treated as the target virtual assembly boundary; the architecture does not require the generator to be implemented through LLVM. A conforming implementation may directly emit PTX from a lightweight DSC-specific lowering layer, or may delegate to an external compiler behind the same contract.</w:t>
      </w:r>
    </w:p>
    <w:p>
      <w:pPr>
        <w:pStyle w:val="CodeBlock"/>
      </w:pPr>
      <w:r>
        <w:t>NvidiaPTXGenerator {</w:t>
        <w:br/>
        <w:t xml:space="preserve">  input: DeviceKernelIR + NvidiaTargetDescriptionIR + KernelABIIR</w:t>
        <w:br/>
        <w:t xml:space="preserve">  output: PTXModule + PTXMetadata + SourceMap + diagnostics</w:t>
        <w:br/>
        <w:br/>
        <w:t xml:space="preserve">  required lowering domains:</w:t>
        <w:br/>
        <w:t xml:space="preserve">    kernel entry and parameter ABI</w:t>
        <w:br/>
        <w:t xml:space="preserve">    global/shared/local/constant address spaces</w:t>
        <w:br/>
        <w:t xml:space="preserve">    block/thread/warp identifiers</w:t>
        <w:br/>
        <w:t xml:space="preserve">    scalar/vector arithmetic and conversion</w:t>
        <w:br/>
        <w:t xml:space="preserve">    memory load/store and atomics</w:t>
        <w:br/>
        <w:t xml:space="preserve">    predication and control flow</w:t>
        <w:br/>
        <w:t xml:space="preserve">    warp/subgroup operations</w:t>
        <w:br/>
        <w:t xml:space="preserve">    barriers and asynchronous synchronization</w:t>
        <w:br/>
        <w:t xml:space="preserve">    tensor-core and target-specific operations when declared supported</w:t>
        <w:br/>
        <w:t>}</w:t>
      </w:r>
    </w:p>
    <w:p>
      <w:pPr>
        <w:pStyle w:val="Heading2"/>
      </w:pPr>
      <w:r>
        <w:t>12.7 Optional Lightweight DSCPTXIR</w:t>
      </w:r>
    </w:p>
    <w:p>
      <w:r>
        <w:t>A native DSC PTX implementation should not emit arbitrary strings directly from DeviceKernelIR. A small structured DSCPTXIR can provide typed validation, canonical construction, deterministic printing, source mapping, and unit testing without importing a general-purpose optimizer. DSCPTXIR is a code-generation representation, not another semantic compiler IR; it exists only to make PTX generation reliable and inspectable.</w:t>
      </w:r>
    </w:p>
    <w:p>
      <w:pPr>
        <w:pStyle w:val="CodeBlock"/>
      </w:pPr>
      <w:r>
        <w:t>DSCPTXIR families:</w:t>
        <w:br/>
        <w:t xml:space="preserve">  module / entry / parameter</w:t>
        <w:br/>
        <w:t xml:space="preserve">  virtual register / predicate</w:t>
        <w:br/>
        <w:t xml:space="preserve">  address-space-qualified load and store</w:t>
        <w:br/>
        <w:t xml:space="preserve">  scalar and vector arithmetic</w:t>
        <w:br/>
        <w:t xml:space="preserve">  conversion and saturation</w:t>
        <w:br/>
        <w:t xml:space="preserve">  control flow and predication</w:t>
        <w:br/>
        <w:t xml:space="preserve">  warp shuffle / vote / reduction</w:t>
        <w:br/>
        <w:t xml:space="preserve">  barrier / asynchronous copy / memory ordering</w:t>
        <w:br/>
        <w:t xml:space="preserve">  MMA / WGMMA / target extension operations</w:t>
        <w:br/>
        <w:t xml:space="preserve">  debug/source annotations</w:t>
      </w:r>
    </w:p>
    <w:p>
      <w:r>
        <w:t>This route is attractive because the important domain, fusion, tiling, memory, and pipeline decisions have already been made before PTX emission. The native DSC emitter therefore need not reproduce the full optimization stack of LLVM. It must instead provide correct target lowering, local code-quality transformations, and complete diagnostics for the supported DeviceKernelIR subset.</w:t>
      </w:r>
    </w:p>
    <w:p>
      <w:pPr>
        <w:pStyle w:val="Heading2"/>
      </w:pPr>
      <w:r>
        <w:t>12.8 NativeBinaryFinalizer Contract</w:t>
      </w:r>
    </w:p>
    <w:p>
      <w:r>
        <w:t>Target assembly is not assumed to be the final loadable binary. NativeBinaryFinalizer owns the architecture-specific finalization boundary: native instruction selection where applicable, physical register allocation, scheduling, linking, binary encoding, compatibility metadata, and resource reporting. For NVIDIA, this capability produces CUBIN or another loadable CUDA device artifact. Appendix J defines the first NVIDIA realization and operational validation path.</w:t>
      </w:r>
    </w:p>
    <w:p>
      <w:pPr>
        <w:pStyle w:val="CodeBlock"/>
      </w:pPr>
      <w:r>
        <w:t>NativeBinaryFinalizer {</w:t>
        <w:br/>
        <w:t xml:space="preserve">  provider_id</w:t>
        <w:br/>
        <w:t xml:space="preserve">  target_family</w:t>
        <w:br/>
        <w:t xml:space="preserve">  supported_input_kinds</w:t>
        <w:br/>
        <w:t xml:space="preserve">  finalize(TargetAssemblyModule | DeviceCodeObject,</w:t>
        <w:br/>
        <w:t xml:space="preserve">           TargetDescriptionIR,</w:t>
        <w:br/>
        <w:t xml:space="preserve">           FinalizationPolicyIR)</w:t>
        <w:br/>
        <w:t xml:space="preserve">      -&gt; NativeBinaryModule</w:t>
        <w:br/>
        <w:t xml:space="preserve">      + NativeResourceReport</w:t>
        <w:br/>
        <w:t xml:space="preserve">      + BinaryCompatibilityReport</w:t>
        <w:br/>
        <w:t>}</w:t>
      </w:r>
    </w:p>
    <w:p>
      <w:r>
        <w:t>The architecture names NvidiaCubinFinalizer, not ptxas, as the required capability. ptxas, CUDA Driver JIT, nvJitLink, or a future certified finalizer are implementation strategies. This keeps the compiler architecture stable while allowing the NVIDIA toolchain path to evolve.</w:t>
      </w:r>
    </w:p>
    <w:p>
      <w:pPr>
        <w:pStyle w:val="Heading2"/>
      </w:pPr>
      <w:r>
        <w:t>12.9 KernelImplementationProvider: Generated and Library Implementations</w:t>
      </w:r>
    </w:p>
    <w:p>
      <w:r>
        <w:t>Not every selected operation should be code-generated. The code-generation phase must also bind existing performance kernels when they better satisfy the certified plan. Generated kernels and library kernels therefore implement one common KernelImplementation contract. This avoids treating cuBLASLt, CUTLASS, FlashInfer, or similar libraries as special cases scattered through the compiler.</w:t>
      </w:r>
    </w:p>
    <w:p>
      <w:pPr>
        <w:pStyle w:val="CodeBlock"/>
      </w:pPr>
      <w:r>
        <w:t>KernelImplementationProvider {</w:t>
        <w:br/>
        <w:t xml:space="preserve">  provider_id</w:t>
        <w:br/>
        <w:t xml:space="preserve">  provider_kind: generated | library | runtime_native</w:t>
        <w:br/>
        <w:t xml:space="preserve">  enumerate_semantic_operations()</w:t>
        <w:br/>
        <w:t xml:space="preserve">  query_capability(operation, shape, dtype, layout, target, plan)</w:t>
        <w:br/>
        <w:t xml:space="preserve">  enumerate_variants()</w:t>
        <w:br/>
        <w:t xml:space="preserve">  estimate_workspace_and_state()</w:t>
        <w:br/>
        <w:t xml:space="preserve">  materialize_or_bind()</w:t>
        <w:br/>
        <w:t xml:space="preserve">  benchmark_or_report_profile()</w:t>
        <w:br/>
        <w:t>}</w:t>
        <w:br/>
        <w:br/>
        <w:t>KernelImplementationRecord {</w:t>
        <w:br/>
        <w:t xml:space="preserve">  semantic_region</w:t>
        <w:br/>
        <w:t xml:space="preserve">  provider_id</w:t>
        <w:br/>
        <w:t xml:space="preserve">  implementation_id</w:t>
        <w:br/>
        <w:t xml:space="preserve">  target</w:t>
        <w:br/>
        <w:t xml:space="preserve">  shape_bucket</w:t>
        <w:br/>
        <w:t xml:space="preserve">  dtype_and_quantization</w:t>
        <w:br/>
        <w:t xml:space="preserve">  ABI_or_call_contract</w:t>
        <w:br/>
        <w:t xml:space="preserve">  workspace_and_state</w:t>
        <w:br/>
        <w:t xml:space="preserve">  synchronization</w:t>
        <w:br/>
        <w:t xml:space="preserve">  artifact_or_library_binding</w:t>
        <w:br/>
        <w:t xml:space="preserve">  fallback</w:t>
        <w:br/>
        <w:t xml:space="preserve">  performance_model_snapshot_id</w:t>
        <w:br/>
        <w:t>}</w:t>
      </w:r>
    </w:p>
    <w:p>
      <w:pPr>
        <w:pStyle w:val="Heading2"/>
      </w:pPr>
      <w:r>
        <w:t>12.10 CodegenProviderRegistry and Capability Matching</w:t>
      </w:r>
    </w:p>
    <w:p>
      <w:r>
        <w:t>The compiler should discover code-generation and kernel providers through a capability registry. A provider declares supported target families, DeviceKernelIR features, assembly/finalization forms, ABI versions, library operation families, and certification status. Planning may consider provider capabilities early, but the final binding occurs only after the selected plan and target are known.</w:t>
      </w:r>
    </w:p>
    <w:p>
      <w:pPr>
        <w:pStyle w:val="CodeBlock"/>
      </w:pPr>
      <w:r>
        <w:t>CodegenProviderRegistry {</w:t>
        <w:br/>
        <w:t xml:space="preserve">  TargetAssemblyGenerator[]</w:t>
        <w:br/>
        <w:t xml:space="preserve">  NativeBinaryFinalizer[]</w:t>
        <w:br/>
        <w:t xml:space="preserve">  KernelImplementationProvider[]</w:t>
        <w:br/>
        <w:t xml:space="preserve">  capability_index</w:t>
        <w:br/>
        <w:t xml:space="preserve">  target_compatibility_index</w:t>
        <w:br/>
        <w:t xml:space="preserve">  ABI_compatibility_index</w:t>
        <w:br/>
        <w:t xml:space="preserve">  certification_status</w:t>
        <w:br/>
        <w:t>}</w:t>
      </w:r>
    </w:p>
    <w:p>
      <w:pPr>
        <w:pStyle w:val="Heading2"/>
      </w:pPr>
      <w:r>
        <w:t>12.11 Separation of Optimization Policy from Emission Mechanics</w:t>
      </w:r>
    </w:p>
    <w:p>
      <w:r>
        <w:t>The PTX generator must not become a second optimizer that duplicates Chapter 10 or Chapter 11. Global performance choices remain visible as explicit plans and facts. Code generation may perform target-local transformations only when they preserve the certified plan or when the transformation is represented as a refinement with recorded provenance.</w:t>
      </w:r>
    </w:p>
    <w:tbl>
      <w:tblPr>
        <w:tblStyle w:val="TableGrid"/>
        <w:tblW w:type="auto" w:w="0"/>
        <w:tblLook w:firstColumn="1" w:firstRow="1" w:lastColumn="0" w:lastRow="0" w:noHBand="0" w:noVBand="1" w:val="04A0"/>
      </w:tblPr>
      <w:tblGrid>
        <w:gridCol w:w="4968"/>
        <w:gridCol w:w="4968"/>
      </w:tblGrid>
      <w:tr>
        <w:trPr>
          <w:tblHeader w:val="true"/>
        </w:trPr>
        <w:tc>
          <w:tcPr>
            <w:tcW w:type="dxa" w:w="4968"/>
          </w:tcPr>
          <w:p>
            <w:r>
              <w:t>Layer</w:t>
            </w:r>
          </w:p>
        </w:tc>
        <w:tc>
          <w:tcPr>
            <w:tcW w:type="dxa" w:w="4968"/>
          </w:tcPr>
          <w:p>
            <w:r>
              <w:t>Primary decisions</w:t>
            </w:r>
          </w:p>
        </w:tc>
      </w:tr>
      <w:tr>
        <w:tc>
          <w:tcPr>
            <w:tcW w:type="dxa" w:w="4968"/>
          </w:tcPr>
          <w:p>
            <w:r>
              <w:t>FusionAnalysisViewIR / Chapter 10</w:t>
            </w:r>
          </w:p>
        </w:tc>
        <w:tc>
          <w:tcPr>
            <w:tcW w:type="dxa" w:w="4968"/>
          </w:tcPr>
          <w:p>
            <w:r>
              <w:t>Expose computations, dependencies, legal fusion regions, and alternate decompositions.</w:t>
            </w:r>
          </w:p>
        </w:tc>
      </w:tr>
      <w:tr>
        <w:tc>
          <w:tcPr>
            <w:tcW w:type="dxa" w:w="4968"/>
          </w:tcPr>
          <w:p>
            <w:r>
              <w:t>OptimizationPlanIR / Chapter 10</w:t>
            </w:r>
          </w:p>
        </w:tc>
        <w:tc>
          <w:tcPr>
            <w:tcW w:type="dxa" w:w="4968"/>
          </w:tcPr>
          <w:p>
            <w:r>
              <w:t>Select fusion, tiling, sharding, communication, memory, precision, and pipeline alternatives.</w:t>
            </w:r>
          </w:p>
        </w:tc>
      </w:tr>
      <w:tr>
        <w:tc>
          <w:tcPr>
            <w:tcW w:type="dxa" w:w="4968"/>
          </w:tcPr>
          <w:p>
            <w:r>
              <w:t>PerformanceModelIR / Chapter 11</w:t>
            </w:r>
          </w:p>
        </w:tc>
        <w:tc>
          <w:tcPr>
            <w:tcW w:type="dxa" w:w="4968"/>
          </w:tcPr>
          <w:p>
            <w:r>
              <w:t>Score candidates using defaults, profiles, uncertainty, resource/service-time predictions, and runtime feedback.</w:t>
            </w:r>
          </w:p>
        </w:tc>
      </w:tr>
      <w:tr>
        <w:tc>
          <w:tcPr>
            <w:tcW w:type="dxa" w:w="4968"/>
          </w:tcPr>
          <w:p>
            <w:r>
              <w:t>DeviceKernelIR</w:t>
            </w:r>
          </w:p>
        </w:tc>
        <w:tc>
          <w:tcPr>
            <w:tcW w:type="dxa" w:w="4968"/>
          </w:tcPr>
          <w:p>
            <w:r>
              <w:t>Encode the selected device execution structure.</w:t>
            </w:r>
          </w:p>
        </w:tc>
      </w:tr>
      <w:tr>
        <w:tc>
          <w:tcPr>
            <w:tcW w:type="dxa" w:w="4968"/>
          </w:tcPr>
          <w:p>
            <w:r>
              <w:t>TargetAssemblyGenerator</w:t>
            </w:r>
          </w:p>
        </w:tc>
        <w:tc>
          <w:tcPr>
            <w:tcW w:type="dxa" w:w="4968"/>
          </w:tcPr>
          <w:p>
            <w:r>
              <w:t>Faithfully lower the selected structure into target assembly and perform local canonical emission.</w:t>
            </w:r>
          </w:p>
        </w:tc>
      </w:tr>
      <w:tr>
        <w:tc>
          <w:tcPr>
            <w:tcW w:type="dxa" w:w="4968"/>
          </w:tcPr>
          <w:p>
            <w:r>
              <w:t>NativeBinaryFinalizer</w:t>
            </w:r>
          </w:p>
        </w:tc>
        <w:tc>
          <w:tcPr>
            <w:tcW w:type="dxa" w:w="4968"/>
          </w:tcPr>
          <w:p>
            <w:r>
              <w:t>Produce architecture-specific machine code, linking, register allocation/scheduling as required, and a loadable binary.</w:t>
            </w:r>
          </w:p>
        </w:tc>
      </w:tr>
    </w:tbl>
    <w:p>
      <w:pPr>
        <w:pStyle w:val="Heading2"/>
      </w:pPr>
      <w:r>
        <w:t>12.12 Code-Generation Strategy Selection</w:t>
      </w:r>
    </w:p>
    <w:p>
      <w:r>
        <w:t>Leveraging strategy is represented as policy rather than architecture. The compiler may choose a provider because of implementation maturity, compile-time budget, target feature support, measured performance, portability, or debugging requirements. The same deployment may use multiple strategies for different kernels.</w:t>
      </w:r>
    </w:p>
    <w:p>
      <w:pPr>
        <w:pStyle w:val="CodeBlock"/>
      </w:pPr>
      <w:r>
        <w:t>CodegenStrategyChoiceIR {</w:t>
        <w:br/>
        <w:t xml:space="preserve">  semantic_region</w:t>
        <w:br/>
        <w:t xml:space="preserve">  target</w:t>
        <w:br/>
        <w:t xml:space="preserve">  implementation_kind: generated | library</w:t>
        <w:br/>
        <w:t xml:space="preserve">  assembly_generator_provider</w:t>
        <w:br/>
        <w:t xml:space="preserve">  native_finalizer_provider</w:t>
        <w:br/>
        <w:t xml:space="preserve">  kernel_library_provider</w:t>
        <w:br/>
        <w:t xml:space="preserve">  reasons</w:t>
        <w:br/>
        <w:t xml:space="preserve">  required_capabilities</w:t>
        <w:br/>
        <w:t xml:space="preserve">  expected_compile_cost</w:t>
        <w:br/>
        <w:t xml:space="preserve">  predicted_runtime_cost</w:t>
        <w:br/>
        <w:t xml:space="preserve">  confidence</w:t>
        <w:br/>
        <w:t xml:space="preserve">  fallback_chain</w:t>
        <w:br/>
        <w:t>}</w:t>
      </w:r>
    </w:p>
    <w:p>
      <w:r>
        <w:t>Examples of valid strategies include a lightweight native DSC PTX emitter for simple reductions and fused elementwise regions, an external Triton or TVM path for complex programmable kernels, generated CUDA C++ for bootstrap or specialized interoperability, and direct library binding for mature GEMM, attention, collective, or MoE kernels. These examples are leveraging choices and do not alter the chapter architecture.</w:t>
      </w:r>
    </w:p>
    <w:p>
      <w:pPr>
        <w:pStyle w:val="Heading2"/>
      </w:pPr>
      <w:r>
        <w:t>12.13 Interaction with PerformanceModelIR</w:t>
      </w:r>
    </w:p>
    <w:p>
      <w:r>
        <w:t>PerformanceModelIR may compare not only kernel variants but also implementation providers and code-generation routes. The model should distinguish compile-time cost from runtime cost and should retain measurement provenance. A library binding may win for a large GEMM while a generated fused kernel wins because it removes intermediate memory traffic across several semantic operators.</w:t>
      </w:r>
    </w:p>
    <w:p>
      <w:pPr>
        <w:pStyle w:val="CodeBlock"/>
      </w:pPr>
      <w:r>
        <w:t>PerformancePredictionFactIR for code generation may include:</w:t>
        <w:br/>
        <w:t xml:space="preserve">  provider_id / implementation_id</w:t>
        <w:br/>
        <w:t xml:space="preserve">  target and shape bucket</w:t>
        <w:br/>
        <w:t xml:space="preserve">  predicted latency / throughput</w:t>
        <w:br/>
        <w:t xml:space="preserve">  register and shared-memory estimates</w:t>
        <w:br/>
        <w:t xml:space="preserve">  spill risk</w:t>
        <w:br/>
        <w:t xml:space="preserve">  HBM traffic</w:t>
        <w:br/>
        <w:t xml:space="preserve">  compilation latency</w:t>
        <w:br/>
        <w:t xml:space="preserve">  binary size</w:t>
        <w:br/>
        <w:t xml:space="preserve">  confidence and evidence class</w:t>
        <w:br/>
        <w:t xml:space="preserve">  exact-profile / interpolation / analytical / default provenance</w:t>
      </w:r>
    </w:p>
    <w:p>
      <w:pPr>
        <w:pStyle w:val="Heading2"/>
      </w:pPr>
      <w:r>
        <w:t>12.14 Portability and Target Families</w:t>
      </w:r>
    </w:p>
    <w:p>
      <w:r>
        <w:t>The architectural separation scales beyond NVIDIA. DeviceKernelIR remains the DSC-owned device execution boundary. TargetAssemblyGenerator and NativeBinaryFinalizer specialize by target family. NVIDIA may use PTX and CUBIN; AMD may use an AMDGPU/GCN path; another accelerator may use SPIR-V, a vendor virtual ISA, or direct native-object generation. The target-specific implementation does not change the semantic, planning, or performance-model layers above it.</w:t>
      </w:r>
    </w:p>
    <w:p>
      <w:pPr>
        <w:pStyle w:val="CodeBlock"/>
      </w:pPr>
      <w:r>
        <w:t>DeviceKernelIR</w:t>
        <w:br/>
        <w:t xml:space="preserve">  -&gt; NvidiaPTXGenerator -&gt; NvidiaCubinFinalizer</w:t>
        <w:br/>
        <w:t xml:space="preserve">  -&gt; AmdTargetAssemblyGenerator -&gt; AmdNativeBinaryFinalizer</w:t>
        <w:br/>
        <w:t xml:space="preserve">  -&gt; SpirvGenerator -&gt; SpirvRuntimeFinalizer</w:t>
        <w:br/>
        <w:t xml:space="preserve">  -&gt; VendorTargetAssemblyGenerator -&gt; VendorNativeBinaryFinalizer</w:t>
      </w:r>
    </w:p>
    <w:p>
      <w:pPr>
        <w:pStyle w:val="Heading2"/>
      </w:pPr>
      <w:r>
        <w:t>12.15 Reproducibility, Lineage, and Certification</w:t>
      </w:r>
    </w:p>
    <w:p>
      <w:r>
        <w:t>Every generated or bound implementation must remain traceable to its semantic origin and certified plans. Reproducibility requires recording provider identities, versions, target description, code-generation policy, assembly/binary hashes, finalizer identity, resource reports, and performance-model snapshot. A runtime package must be able to explain which semantic region produced or selected each executable implementation.</w:t>
      </w:r>
    </w:p>
    <w:p>
      <w:pPr>
        <w:pStyle w:val="CodeBlock"/>
      </w:pPr>
      <w:r>
        <w:t>CodegenArtifactProvenance {</w:t>
        <w:br/>
        <w:t xml:space="preserve">  semantic_origin_ids</w:t>
        <w:br/>
        <w:t xml:space="preserve">  DeviceKernelIR_id</w:t>
        <w:br/>
        <w:t xml:space="preserve">  certified_plan_ids</w:t>
        <w:br/>
        <w:t xml:space="preserve">  codegen_strategy_id</w:t>
        <w:br/>
        <w:t xml:space="preserve">  assembly_generator_provider_and_version</w:t>
        <w:br/>
        <w:t xml:space="preserve">  native_finalizer_provider_and_version</w:t>
        <w:br/>
        <w:t xml:space="preserve">  target_description_id</w:t>
        <w:br/>
        <w:t xml:space="preserve">  assembly_hash</w:t>
        <w:br/>
        <w:t xml:space="preserve">  native_binary_hash</w:t>
        <w:br/>
        <w:t xml:space="preserve">  ABI_id</w:t>
        <w:br/>
        <w:t xml:space="preserve">  resource_report_id</w:t>
        <w:br/>
        <w:t xml:space="preserve">  performance_model_snapshot_id</w:t>
        <w:br/>
        <w:t xml:space="preserve">  certification_id</w:t>
        <w:br/>
        <w:t>}</w:t>
      </w:r>
    </w:p>
    <w:p>
      <w:pPr>
        <w:pStyle w:val="Heading2"/>
      </w:pPr>
      <w:r>
        <w:t>12.16 Diagnostics and Gatekeeper Rules</w:t>
      </w:r>
    </w:p>
    <w:tbl>
      <w:tblPr>
        <w:tblStyle w:val="TableGrid"/>
        <w:tblW w:type="auto" w:w="0"/>
        <w:tblLook w:firstColumn="1" w:firstRow="1" w:lastColumn="0" w:lastRow="0" w:noHBand="0" w:noVBand="1" w:val="04A0"/>
      </w:tblPr>
      <w:tblGrid>
        <w:gridCol w:w="4968"/>
        <w:gridCol w:w="4968"/>
      </w:tblGrid>
      <w:tr>
        <w:trPr>
          <w:tblHeader w:val="true"/>
        </w:trPr>
        <w:tc>
          <w:tcPr>
            <w:tcW w:type="dxa" w:w="4968"/>
          </w:tcPr>
          <w:p>
            <w:r>
              <w:t>Diagnostic</w:t>
            </w:r>
          </w:p>
        </w:tc>
        <w:tc>
          <w:tcPr>
            <w:tcW w:type="dxa" w:w="4968"/>
          </w:tcPr>
          <w:p>
            <w:r>
              <w:t>Meaning</w:t>
            </w:r>
          </w:p>
        </w:tc>
      </w:tr>
      <w:tr>
        <w:tc>
          <w:tcPr>
            <w:tcW w:type="dxa" w:w="4968"/>
          </w:tcPr>
          <w:p>
            <w:r>
              <w:t>CCODEGEN-001</w:t>
            </w:r>
          </w:p>
        </w:tc>
        <w:tc>
          <w:tcPr>
            <w:tcW w:type="dxa" w:w="4968"/>
          </w:tcPr>
          <w:p>
            <w:r>
              <w:t>No conforming implementation provider exists for the selected semantic region and target.</w:t>
            </w:r>
          </w:p>
        </w:tc>
      </w:tr>
      <w:tr>
        <w:tc>
          <w:tcPr>
            <w:tcW w:type="dxa" w:w="4968"/>
          </w:tcPr>
          <w:p>
            <w:r>
              <w:t>CCODEGEN-002</w:t>
            </w:r>
          </w:p>
        </w:tc>
        <w:tc>
          <w:tcPr>
            <w:tcW w:type="dxa" w:w="4968"/>
          </w:tcPr>
          <w:p>
            <w:r>
              <w:t>DeviceKernelIR uses a feature unsupported by the selected TargetAssemblyGenerator.</w:t>
            </w:r>
          </w:p>
        </w:tc>
      </w:tr>
      <w:tr>
        <w:tc>
          <w:tcPr>
            <w:tcW w:type="dxa" w:w="4968"/>
          </w:tcPr>
          <w:p>
            <w:r>
              <w:t>CCODEGEN-003</w:t>
            </w:r>
          </w:p>
        </w:tc>
        <w:tc>
          <w:tcPr>
            <w:tcW w:type="dxa" w:w="4968"/>
          </w:tcPr>
          <w:p>
            <w:r>
              <w:t>Kernel ABI cannot be represented by the selected generator/finalizer path.</w:t>
            </w:r>
          </w:p>
        </w:tc>
      </w:tr>
      <w:tr>
        <w:tc>
          <w:tcPr>
            <w:tcW w:type="dxa" w:w="4968"/>
          </w:tcPr>
          <w:p>
            <w:r>
              <w:t>CCODEGEN-004</w:t>
            </w:r>
          </w:p>
        </w:tc>
        <w:tc>
          <w:tcPr>
            <w:tcW w:type="dxa" w:w="4968"/>
          </w:tcPr>
          <w:p>
            <w:r>
              <w:t>Target assembly generation changed or lost a certified precision, alias, synchronization, or memory contract.</w:t>
            </w:r>
          </w:p>
        </w:tc>
      </w:tr>
      <w:tr>
        <w:tc>
          <w:tcPr>
            <w:tcW w:type="dxa" w:w="4968"/>
          </w:tcPr>
          <w:p>
            <w:r>
              <w:t>CCODEGEN-005</w:t>
            </w:r>
          </w:p>
        </w:tc>
        <w:tc>
          <w:tcPr>
            <w:tcW w:type="dxa" w:w="4968"/>
          </w:tcPr>
          <w:p>
            <w:r>
              <w:t>Native finalization failed or produced an incompatible target binary.</w:t>
            </w:r>
          </w:p>
        </w:tc>
      </w:tr>
      <w:tr>
        <w:tc>
          <w:tcPr>
            <w:tcW w:type="dxa" w:w="4968"/>
          </w:tcPr>
          <w:p>
            <w:r>
              <w:t>CCODEGEN-006</w:t>
            </w:r>
          </w:p>
        </w:tc>
        <w:tc>
          <w:tcPr>
            <w:tcW w:type="dxa" w:w="4968"/>
          </w:tcPr>
          <w:p>
            <w:r>
              <w:t>Native resource use exceeds certified register, shared-memory, local-memory, or launch limits.</w:t>
            </w:r>
          </w:p>
        </w:tc>
      </w:tr>
      <w:tr>
        <w:tc>
          <w:tcPr>
            <w:tcW w:type="dxa" w:w="4968"/>
          </w:tcPr>
          <w:p>
            <w:r>
              <w:t>CCODEGEN-007</w:t>
            </w:r>
          </w:p>
        </w:tc>
        <w:tc>
          <w:tcPr>
            <w:tcW w:type="dxa" w:w="4968"/>
          </w:tcPr>
          <w:p>
            <w:r>
              <w:t>Library implementation does not satisfy shape, dtype, layout, synchronization, or determinism requirements.</w:t>
            </w:r>
          </w:p>
        </w:tc>
      </w:tr>
      <w:tr>
        <w:tc>
          <w:tcPr>
            <w:tcW w:type="dxa" w:w="4968"/>
          </w:tcPr>
          <w:p>
            <w:r>
              <w:t>CCODEGEN-008</w:t>
            </w:r>
          </w:p>
        </w:tc>
        <w:tc>
          <w:tcPr>
            <w:tcW w:type="dxa" w:w="4968"/>
          </w:tcPr>
          <w:p>
            <w:r>
              <w:t>Generated artifact lacks semantic/source lineage or reproducibility metadata.</w:t>
            </w:r>
          </w:p>
        </w:tc>
      </w:tr>
      <w:tr>
        <w:tc>
          <w:tcPr>
            <w:tcW w:type="dxa" w:w="4968"/>
          </w:tcPr>
          <w:p>
            <w:r>
              <w:t>CCODEGEN-009</w:t>
            </w:r>
          </w:p>
        </w:tc>
        <w:tc>
          <w:tcPr>
            <w:tcW w:type="dxa" w:w="4968"/>
          </w:tcPr>
          <w:p>
            <w:r>
              <w:t>Selected provider is uncertified for the requested target or runtime ABI.</w:t>
            </w:r>
          </w:p>
        </w:tc>
      </w:tr>
      <w:tr>
        <w:tc>
          <w:tcPr>
            <w:tcW w:type="dxa" w:w="4968"/>
          </w:tcPr>
          <w:p>
            <w:r>
              <w:t>CCODEGEN-010</w:t>
            </w:r>
          </w:p>
        </w:tc>
        <w:tc>
          <w:tcPr>
            <w:tcW w:type="dxa" w:w="4968"/>
          </w:tcPr>
          <w:p>
            <w:r>
              <w:t>Performance-model evidence is insufficient for an aggressive provider switch; conservative fallback required.</w:t>
            </w:r>
          </w:p>
        </w:tc>
      </w:tr>
    </w:tbl>
    <w:p>
      <w:r>
        <w:t>The gatekeeper shall reject silent fallback that changes semantics or precision. A fallback chain is legal only when every candidate independently satisfies the semantic contract and runtime ABI, and the selected candidate is recorded in the deployment manifest and runtime telemetry.</w:t>
      </w:r>
    </w:p>
    <w:p>
      <w:pPr>
        <w:pStyle w:val="Heading2"/>
      </w:pPr>
      <w:r>
        <w:t>12.17 Initial Implementation Roadmap</w:t>
      </w:r>
    </w:p>
    <w:p>
      <w:r>
        <w:t>The architecture supports a deliberately small first implementation. Phase 1 should prove the interfaces rather than reproduce a complete general-purpose compiler backend.</w:t>
      </w:r>
    </w:p>
    <w:tbl>
      <w:tblPr>
        <w:tblStyle w:val="TableGrid"/>
        <w:tblW w:type="auto" w:w="0"/>
        <w:tblLook w:firstColumn="1" w:firstRow="1" w:lastColumn="0" w:lastRow="0" w:noHBand="0" w:noVBand="1" w:val="04A0"/>
      </w:tblPr>
      <w:tblGrid>
        <w:gridCol w:w="3312"/>
        <w:gridCol w:w="3312"/>
        <w:gridCol w:w="3312"/>
      </w:tblGrid>
      <w:tr>
        <w:trPr>
          <w:tblHeader w:val="true"/>
        </w:trPr>
        <w:tc>
          <w:tcPr>
            <w:tcW w:type="dxa" w:w="3312"/>
          </w:tcPr>
          <w:p>
            <w:r>
              <w:t>Phase</w:t>
            </w:r>
          </w:p>
        </w:tc>
        <w:tc>
          <w:tcPr>
            <w:tcW w:type="dxa" w:w="3312"/>
          </w:tcPr>
          <w:p>
            <w:r>
              <w:t>Native DSC capability</w:t>
            </w:r>
          </w:p>
        </w:tc>
        <w:tc>
          <w:tcPr>
            <w:tcW w:type="dxa" w:w="3312"/>
          </w:tcPr>
          <w:p>
            <w:r>
              <w:t>Representative kernels / goal</w:t>
            </w:r>
          </w:p>
        </w:tc>
      </w:tr>
      <w:tr>
        <w:tc>
          <w:tcPr>
            <w:tcW w:type="dxa" w:w="3312"/>
          </w:tcPr>
          <w:p>
            <w:r>
              <w:t>1. Minimal PTX subset</w:t>
            </w:r>
          </w:p>
        </w:tc>
        <w:tc>
          <w:tcPr>
            <w:tcW w:type="dxa" w:w="3312"/>
          </w:tcPr>
          <w:p>
            <w:r>
              <w:t>Entry ABI; integer index arithmetic; FP32/BF16/FP16 scalar arithmetic; global/shared load-store; block/thread IDs; barriers; warp shuffle; simple loops and predication.</w:t>
            </w:r>
          </w:p>
        </w:tc>
        <w:tc>
          <w:tcPr>
            <w:tcW w:type="dxa" w:w="3312"/>
          </w:tcPr>
          <w:p>
            <w:r>
              <w:t>RMSNorm, RoPE, elementwise operations, simple reductions.</w:t>
            </w:r>
          </w:p>
        </w:tc>
      </w:tr>
      <w:tr>
        <w:tc>
          <w:tcPr>
            <w:tcW w:type="dxa" w:w="3312"/>
          </w:tcPr>
          <w:p>
            <w:r>
              <w:t>2. Performance PTX subset</w:t>
            </w:r>
          </w:p>
        </w:tc>
        <w:tc>
          <w:tcPr>
            <w:tcW w:type="dxa" w:w="3312"/>
          </w:tcPr>
          <w:p>
            <w:r>
              <w:t>Vector memory operations; asynchronous copy; shared-memory software pipeline; MMA forms; stronger reduction and warp primitives.</w:t>
            </w:r>
          </w:p>
        </w:tc>
        <w:tc>
          <w:tcPr>
            <w:tcW w:type="dxa" w:w="3312"/>
          </w:tcPr>
          <w:p>
            <w:r>
              <w:t>Small GEMM, fused normalization/projection fragments, bandwidth-sensitive fused regions.</w:t>
            </w:r>
          </w:p>
        </w:tc>
      </w:tr>
      <w:tr>
        <w:tc>
          <w:tcPr>
            <w:tcW w:type="dxa" w:w="3312"/>
          </w:tcPr>
          <w:p>
            <w:r>
              <w:t>3. Advanced architecture features</w:t>
            </w:r>
          </w:p>
        </w:tc>
        <w:tc>
          <w:tcPr>
            <w:tcW w:type="dxa" w:w="3312"/>
          </w:tcPr>
          <w:p>
            <w:r>
              <w:t>TMA/mbarrier, WGMMA or newer tensor operations, target memory tiers, warp specialization, architecture-specific pipeline mechanisms.</w:t>
            </w:r>
          </w:p>
        </w:tc>
        <w:tc>
          <w:tcPr>
            <w:tcW w:type="dxa" w:w="3312"/>
          </w:tcPr>
          <w:p>
            <w:r>
              <w:t>Attention/GEMM fusion and advanced Hopper/Blackwell-class kernels where direct generation is justified.</w:t>
            </w:r>
          </w:p>
        </w:tc>
      </w:tr>
    </w:tbl>
    <w:p>
      <w:r>
        <w:t>The direct DSC PTX generator can mature incrementally while LLVM, Triton, TVM, generated CUDA, or library kernels remain available through the same provider interfaces. This permits early runnable results without making a heavyweight external compiler a permanent architectural dependency.</w:t>
      </w:r>
    </w:p>
    <w:p>
      <w:pPr>
        <w:pStyle w:val="Heading2"/>
      </w:pPr>
      <w:r>
        <w:t>12.18 Relationship to Chapter 13 and Appendix J</w:t>
      </w:r>
    </w:p>
    <w:p>
      <w:r>
        <w:t>Chapter 12 ends when executable kernel implementations and their metadata are available. Chapter 13 begins with runtime-specific packaging and SGLang integration: package discovery, module loading, kernel registration, stream/workspace binding, fallback, correctness gates, benchmarks, telemetry, and progressive multi-GPU/RL rollout integration. Appendix J provides the first detailed NVIDIA realization of the assembly/finalization path and the CUBIN packaging mechanics used by Chapter 13.</w:t>
      </w:r>
    </w:p>
    <w:p>
      <w:pPr>
        <w:pStyle w:val="CodeBlock"/>
      </w:pPr>
      <w:r>
        <w:t>Chapter 12: build or bind executable implementations.</w:t>
        <w:br/>
        <w:t>Appendix J: realize and validate the first NVIDIA PTX/CUBIN path.</w:t>
        <w:br/>
        <w:t>Chapter 13: package, load, dispatch, benchmark, and operate those implementations in SGLang.</w:t>
      </w:r>
    </w:p>
    <w:p>
      <w:pPr>
        <w:pStyle w:val="Heading2"/>
      </w:pPr>
      <w:r>
        <w:t>12.19 Final Architectural Rule</w:t>
      </w:r>
    </w:p>
    <w:p>
      <w:pPr>
        <w:pStyle w:val="CodeBlock"/>
      </w:pPr>
      <w:r>
        <w:t>Chapter 12 rule:</w:t>
        <w:br/>
        <w:t xml:space="preserve">  Define code-generation architecture by capability and contract, not by implementation brand.</w:t>
        <w:br/>
        <w:t xml:space="preserve">  Keep DeviceKernelIR above target assembly.</w:t>
        <w:br/>
        <w:t xml:space="preserve">  Make TargetAssemblyGenerator and NativeBinaryFinalizer replaceable providers.</w:t>
        <w:br/>
        <w:t xml:space="preserve">  Treat LLVM, Triton, TVM, CuTe, generated CUDA, and native DSC emission as leveraging strategies.</w:t>
        <w:br/>
        <w:t xml:space="preserve">  Treat existing performance libraries as first-class KernelImplementationProviders.</w:t>
        <w:br/>
        <w:t xml:space="preserve">  Preserve semantic lineage, ABI, certification, and performance-model provenance through every emitted or bound executable artifact.</w:t>
      </w:r>
    </w:p>
    <w:p>
      <w:pPr>
        <w:pStyle w:val="Heading1"/>
        <w:pageBreakBefore/>
      </w:pPr>
      <w:r>
        <w:t>Chapter 13. DSC-to-SGLang Native Executable Integration Plan</w:t>
      </w:r>
    </w:p>
    <w:p>
      <w:pPr>
        <w:pStyle w:val="Heading2"/>
      </w:pPr>
      <w:r>
        <w:t>13.1 Purpose, Status, and Implementation Reading Order</w:t>
      </w:r>
    </w:p>
    <w:p>
      <w:r>
        <w:t>This chapter is the draft implementation plan for the first runnable connection between DSC and SGLang. It converts the architectural boundary in Appendix B into a concrete vertical slice: compile one supported Transformer operation, package it as a native NVIDIA kernel, load it once during SGLang server initialization, execute it repeatedly from the normal model path, and measure correctness and performance. The first milestone is an integration proof, not a claim that the initial DSC kernel will outperform every stock SGLang implementation.</w:t>
      </w:r>
    </w:p>
    <w:p>
      <w:r>
        <w:t>Implementation dependency. A coder implementing this chapter shall read Appendix J before building the kernel backend or runtime loader. Chapter 13 defines what must run, what must be measured, and the order in which capability is added. Appendix J defines how DeviceKernelIR is converted to PTX and CUBIN, how the kernel ABI and manifest are constructed, how NVIDIA tools are invoked, how resource usage is validated, and how SGLang loads and caches the resulting module.</w:t>
      </w:r>
    </w:p>
    <w:p>
      <w:r>
        <w:t>Appendix B remains the source of truth for the long-term compiler-to-SGLang ownership boundary. Chapter 13 intentionally uses a narrow integration hook for the first implementation and generalizes that hook only after the real ABI, stream, workspace, graph-capture, and lifecycle requirements are observed.</w:t>
      </w:r>
    </w:p>
    <w:p>
      <w:pPr>
        <w:pStyle w:val="Heading2"/>
      </w:pPr>
      <w:r>
        <w:t>13.2 Host-Device Execution Responsibility and Decode Control Flow</w:t>
      </w:r>
    </w:p>
    <w:p>
      <w:pPr/>
      <w:r>
        <w:t>A runnable inference service is not a GPU-only program. SGLang primarily expresses request scheduling and serving policy in Python, but the CPU also executes native CPython, PyTorch C++, CUDA driver/runtime, NCCL host-runtime, networking, allocator, and extension code. The GPU executes tensor kernels and, in the traditional NCCL path, GPU-resident collective kernels. The communication fabric carries peer data over NVLink/NVSwitch, PCIe peer-to-peer links, or scale-out networking. This section makes those responsibilities explicit so that a coder integrating a DSC CUBIN does not mistake kernel integration for complete execution integration. SGLang exposes an overlap scheduler that overlaps the CPU scheduler with the GPU model worker, and also exposes CUDA-Graph and compute/communication overlap controls, confirming that host and device work are distinct but intentionally overlapped execution stages [86].</w:t>
      </w:r>
    </w:p>
    <w:p>
      <w:pPr>
        <w:pStyle w:val="Heading3"/>
      </w:pPr>
      <w:r>
        <w:t>13.2.1 Execution Domains and Ownership</w:t>
      </w:r>
    </w:p>
    <w:p>
      <w:pPr/>
      <w:r>
        <w:t>The integration shall use the following operational decomposition. It is an execution-responsibility model, not a new semantic IR hierarchy. Chapter 11 remains responsible for performance modeling and pipeline balance; Chapter 13 exposes the timing and dependency boundaries that the runtime adapter must measure.</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rPr>
          <w:tblHeader w:val="true"/>
          <w:cantSplit/>
        </w:trPr>
        <w:tc>
          <w:tcPr>
            <w:tcW w:type="dxa" w:w="1728"/>
            <w:vAlign w:val="center"/>
            <w:shd w:fill="D9E2F3"/>
          </w:tcPr>
          <w:p>
            <w:r>
              <w:rPr>
                <w:sz w:val="19"/>
              </w:rPr>
            </w:r>
            <w:r>
              <w:rPr>
                <w:b/>
                <w:sz w:val="19"/>
              </w:rPr>
              <w:t>Execution domain</w:t>
            </w:r>
          </w:p>
        </w:tc>
        <w:tc>
          <w:tcPr>
            <w:tcW w:type="dxa" w:w="2232"/>
            <w:vAlign w:val="center"/>
            <w:shd w:fill="D9E2F3"/>
          </w:tcPr>
          <w:p>
            <w:r>
              <w:rPr>
                <w:sz w:val="19"/>
              </w:rPr>
            </w:r>
            <w:r>
              <w:rPr>
                <w:b/>
                <w:sz w:val="19"/>
              </w:rPr>
              <w:t>Representative implementation</w:t>
            </w:r>
          </w:p>
        </w:tc>
        <w:tc>
          <w:tcPr>
            <w:tcW w:type="dxa" w:w="3672"/>
            <w:vAlign w:val="center"/>
            <w:shd w:fill="D9E2F3"/>
          </w:tcPr>
          <w:p>
            <w:r>
              <w:rPr>
                <w:sz w:val="19"/>
              </w:rPr>
            </w:r>
            <w:r>
              <w:rPr>
                <w:b/>
                <w:sz w:val="19"/>
              </w:rPr>
              <w:t>Primary responsibilities</w:t>
            </w:r>
          </w:p>
        </w:tc>
        <w:tc>
          <w:tcPr>
            <w:tcW w:type="dxa" w:w="1728"/>
            <w:vAlign w:val="center"/>
            <w:shd w:fill="D9E2F3"/>
          </w:tcPr>
          <w:p>
            <w:r>
              <w:rPr>
                <w:sz w:val="19"/>
              </w:rPr>
            </w:r>
            <w:r>
              <w:rPr>
                <w:b/>
                <w:sz w:val="19"/>
              </w:rPr>
              <w:t>Typical state</w:t>
            </w:r>
          </w:p>
        </w:tc>
      </w:tr>
      <w:tr>
        <w:trPr>
          <w:cantSplit/>
        </w:trPr>
        <w:tc>
          <w:tcPr>
            <w:tcW w:type="dxa" w:w="1728"/>
            <w:vAlign w:val="center"/>
          </w:tcPr>
          <w:p>
            <w:r>
              <w:rPr>
                <w:sz w:val="19"/>
              </w:rPr>
            </w:r>
            <w:r>
              <w:rPr>
                <w:b w:val="0"/>
                <w:sz w:val="19"/>
              </w:rPr>
              <w:t>Host control policy</w:t>
            </w:r>
          </w:p>
        </w:tc>
        <w:tc>
          <w:tcPr>
            <w:tcW w:type="dxa" w:w="2232"/>
            <w:vAlign w:val="center"/>
          </w:tcPr>
          <w:p>
            <w:r>
              <w:rPr>
                <w:sz w:val="19"/>
              </w:rPr>
            </w:r>
            <w:r>
              <w:rPr>
                <w:b w:val="0"/>
                <w:sz w:val="19"/>
              </w:rPr>
              <w:t>SGLang Python scheduler and request managers</w:t>
            </w:r>
          </w:p>
        </w:tc>
        <w:tc>
          <w:tcPr>
            <w:tcW w:type="dxa" w:w="3672"/>
            <w:vAlign w:val="center"/>
          </w:tcPr>
          <w:p>
            <w:r>
              <w:rPr>
                <w:sz w:val="19"/>
              </w:rPr>
            </w:r>
            <w:r>
              <w:rPr>
                <w:b w:val="0"/>
                <w:sz w:val="19"/>
              </w:rPr>
              <w:t>Admission, continuous batching, request lifecycle, KV-page bookkeeping, shape/batch selection, stop conditions, streaming policy</w:t>
            </w:r>
          </w:p>
        </w:tc>
        <w:tc>
          <w:tcPr>
            <w:tcW w:type="dxa" w:w="1728"/>
            <w:vAlign w:val="center"/>
          </w:tcPr>
          <w:p>
            <w:r>
              <w:rPr>
                <w:sz w:val="19"/>
              </w:rPr>
            </w:r>
            <w:r>
              <w:rPr>
                <w:b w:val="0"/>
                <w:sz w:val="19"/>
              </w:rPr>
              <w:t>CPU resident</w:t>
            </w:r>
          </w:p>
        </w:tc>
      </w:tr>
      <w:tr>
        <w:trPr>
          <w:cantSplit/>
        </w:trPr>
        <w:tc>
          <w:tcPr>
            <w:tcW w:type="dxa" w:w="1728"/>
            <w:vAlign w:val="center"/>
          </w:tcPr>
          <w:p>
            <w:r>
              <w:rPr>
                <w:sz w:val="19"/>
              </w:rPr>
            </w:r>
            <w:r>
              <w:rPr>
                <w:b w:val="0"/>
                <w:sz w:val="19"/>
              </w:rPr>
              <w:t>Host runtime mechanisms</w:t>
            </w:r>
          </w:p>
        </w:tc>
        <w:tc>
          <w:tcPr>
            <w:tcW w:type="dxa" w:w="2232"/>
            <w:vAlign w:val="center"/>
          </w:tcPr>
          <w:p>
            <w:r>
              <w:rPr>
                <w:sz w:val="19"/>
              </w:rPr>
            </w:r>
            <w:r>
              <w:rPr>
                <w:b w:val="0"/>
                <w:sz w:val="19"/>
              </w:rPr>
              <w:t>CPython, PyTorch C++, CUDA driver/runtime, NCCL host library, native extensions</w:t>
            </w:r>
          </w:p>
        </w:tc>
        <w:tc>
          <w:tcPr>
            <w:tcW w:type="dxa" w:w="3672"/>
            <w:vAlign w:val="center"/>
          </w:tcPr>
          <w:p>
            <w:r>
              <w:rPr>
                <w:sz w:val="19"/>
              </w:rPr>
            </w:r>
            <w:r>
              <w:rPr>
                <w:b w:val="0"/>
                <w:sz w:val="19"/>
              </w:rPr>
              <w:t>Tensor/descriptor preparation, graph/kernel submission, communicator calls, allocator and stream/event operations, completion processing</w:t>
            </w:r>
          </w:p>
        </w:tc>
        <w:tc>
          <w:tcPr>
            <w:tcW w:type="dxa" w:w="1728"/>
            <w:vAlign w:val="center"/>
          </w:tcPr>
          <w:p>
            <w:r>
              <w:rPr>
                <w:sz w:val="19"/>
              </w:rPr>
            </w:r>
            <w:r>
              <w:rPr>
                <w:b w:val="0"/>
                <w:sz w:val="19"/>
              </w:rPr>
              <w:t>CPU resident</w:t>
            </w:r>
          </w:p>
        </w:tc>
      </w:tr>
      <w:tr>
        <w:trPr>
          <w:cantSplit/>
        </w:trPr>
        <w:tc>
          <w:tcPr>
            <w:tcW w:type="dxa" w:w="1728"/>
            <w:vAlign w:val="center"/>
          </w:tcPr>
          <w:p>
            <w:r>
              <w:rPr>
                <w:sz w:val="19"/>
              </w:rPr>
            </w:r>
            <w:r>
              <w:rPr>
                <w:b w:val="0"/>
                <w:sz w:val="19"/>
              </w:rPr>
              <w:t>GPU computation</w:t>
            </w:r>
          </w:p>
        </w:tc>
        <w:tc>
          <w:tcPr>
            <w:tcW w:type="dxa" w:w="2232"/>
            <w:vAlign w:val="center"/>
          </w:tcPr>
          <w:p>
            <w:r>
              <w:rPr>
                <w:sz w:val="19"/>
              </w:rPr>
            </w:r>
            <w:r>
              <w:rPr>
                <w:b w:val="0"/>
                <w:sz w:val="19"/>
              </w:rPr>
              <w:t>DSC CUBIN, SGLang/FlashInfer/Triton/CUTLASS/library kernels</w:t>
            </w:r>
          </w:p>
        </w:tc>
        <w:tc>
          <w:tcPr>
            <w:tcW w:type="dxa" w:w="3672"/>
            <w:vAlign w:val="center"/>
          </w:tcPr>
          <w:p>
            <w:r>
              <w:rPr>
                <w:sz w:val="19"/>
              </w:rPr>
            </w:r>
            <w:r>
              <w:rPr>
                <w:b w:val="0"/>
                <w:sz w:val="19"/>
              </w:rPr>
              <w:t>Embedding, normalization, QKV/MLP projections, RoPE, attention, KV-cache reads/writes, LM head, sampling</w:t>
            </w:r>
          </w:p>
        </w:tc>
        <w:tc>
          <w:tcPr>
            <w:tcW w:type="dxa" w:w="1728"/>
            <w:vAlign w:val="center"/>
          </w:tcPr>
          <w:p>
            <w:r>
              <w:rPr>
                <w:sz w:val="19"/>
              </w:rPr>
            </w:r>
            <w:r>
              <w:rPr>
                <w:b w:val="0"/>
                <w:sz w:val="19"/>
              </w:rPr>
              <w:t>GPU resident</w:t>
            </w:r>
          </w:p>
        </w:tc>
      </w:tr>
      <w:tr>
        <w:trPr>
          <w:cantSplit/>
        </w:trPr>
        <w:tc>
          <w:tcPr>
            <w:tcW w:type="dxa" w:w="1728"/>
            <w:vAlign w:val="center"/>
          </w:tcPr>
          <w:p>
            <w:r>
              <w:rPr>
                <w:sz w:val="19"/>
              </w:rPr>
            </w:r>
            <w:r>
              <w:rPr>
                <w:b w:val="0"/>
                <w:sz w:val="19"/>
              </w:rPr>
              <w:t>Communication and fabric</w:t>
            </w:r>
          </w:p>
        </w:tc>
        <w:tc>
          <w:tcPr>
            <w:tcW w:type="dxa" w:w="2232"/>
            <w:vAlign w:val="center"/>
          </w:tcPr>
          <w:p>
            <w:r>
              <w:rPr>
                <w:sz w:val="19"/>
              </w:rPr>
            </w:r>
            <w:r>
              <w:rPr>
                <w:b w:val="0"/>
                <w:sz w:val="19"/>
              </w:rPr>
              <w:t>NCCL device work plus NVLink/NVSwitch, PCIe P2P, NIC/RDMA as selected</w:t>
            </w:r>
          </w:p>
        </w:tc>
        <w:tc>
          <w:tcPr>
            <w:tcW w:type="dxa" w:w="3672"/>
            <w:vAlign w:val="center"/>
          </w:tcPr>
          <w:p>
            <w:r>
              <w:rPr>
                <w:sz w:val="19"/>
              </w:rPr>
            </w:r>
            <w:r>
              <w:rPr>
                <w:b w:val="0"/>
                <w:sz w:val="19"/>
              </w:rPr>
              <w:t>Reduction, scatter/gather, rank-to-rank transfer, collective synchronization, scale-up/scale-out data movement</w:t>
            </w:r>
          </w:p>
        </w:tc>
        <w:tc>
          <w:tcPr>
            <w:tcW w:type="dxa" w:w="1728"/>
            <w:vAlign w:val="center"/>
          </w:tcPr>
          <w:p>
            <w:r>
              <w:rPr>
                <w:sz w:val="19"/>
              </w:rPr>
            </w:r>
            <w:r>
              <w:rPr>
                <w:b w:val="0"/>
                <w:sz w:val="19"/>
              </w:rPr>
              <w:t>GPU + fabric; host progress may participate</w:t>
            </w:r>
          </w:p>
        </w:tc>
      </w:tr>
    </w:tbl>
    <w:p>
      <w:pPr>
        <w:pStyle w:val="Heading3"/>
      </w:pPr>
      <w:r>
        <w:t>13.2.2 One-Token Tensor-Parallel Decode Sequence</w:t>
      </w:r>
    </w:p>
    <w:p>
      <w:pPr/>
      <w:r>
        <w:t>For the first multi-GPU integration model, assume a decoder-only Transformer in steady-state autoregressive decode with the KV cache already resident on the GPUs and tensor parallelism greater than one. One decode iteration can be understood as the following dependency chain. CUDA Graph replay may collapse many individual host launch calls into one graph launch, but it does not remove the CPU scheduler, result handling, or collective semantics.</w:t>
      </w:r>
    </w:p>
    <w:p>
      <w:pPr>
        <w:pStyle w:val="CodeBlock"/>
      </w:pPr>
      <w:r>
        <w:t>CPU host control</w:t>
        <w:br/>
        <w:t xml:space="preserve">  -&gt; process prior token completions and incoming requests</w:t>
        <w:br/>
        <w:t xml:space="preserve">  -&gt; select active decode batch and KV locations</w:t>
        <w:br/>
        <w:t xml:space="preserve">  -&gt; update device-visible metadata / choose CUDA-Graph or kernel variant</w:t>
        <w:br/>
        <w:t xml:space="preserve">  -&gt; enqueue decode execution</w:t>
        <w:br/>
        <w:br/>
        <w:t>GPU compute</w:t>
        <w:br/>
        <w:t xml:space="preserve">  -&gt; embedding</w:t>
        <w:br/>
        <w:t xml:space="preserve">  -&gt; RMSNorm</w:t>
        <w:br/>
        <w:t xml:space="preserve">  -&gt; local QKV projection</w:t>
        <w:br/>
        <w:t xml:space="preserve">  -&gt; RoPE</w:t>
        <w:br/>
        <w:t xml:space="preserve">  -&gt; decode attention and new KV-cache write</w:t>
        <w:br/>
        <w:t xml:space="preserve">  -&gt; local output projection</w:t>
        <w:br/>
        <w:br/>
        <w:t>CPU/NCCL host submission</w:t>
        <w:br/>
        <w:t xml:space="preserve">  -&gt; enqueue tensor-parallel collective on the designated CUDA stream</w:t>
        <w:br/>
        <w:br/>
        <w:t>GPU + fabric</w:t>
        <w:br/>
        <w:t xml:space="preserve">  -&gt; execute NCCL collective and make the combined result ready</w:t>
        <w:br/>
        <w:br/>
        <w:t>GPU compute</w:t>
        <w:br/>
        <w:t xml:space="preserve">  -&gt; residual path</w:t>
        <w:br/>
        <w:t xml:space="preserve">  -&gt; RMSNorm</w:t>
        <w:br/>
        <w:t xml:space="preserve">  -&gt; local MLP gate/up/down computation</w:t>
        <w:br/>
        <w:br/>
        <w:t>CPU/NCCL host submission</w:t>
        <w:br/>
        <w:t xml:space="preserve">  -&gt; enqueue second tensor-parallel collective</w:t>
        <w:br/>
        <w:br/>
        <w:t>GPU + fabric</w:t>
        <w:br/>
        <w:t xml:space="preserve">  -&gt; execute second collective</w:t>
        <w:br/>
        <w:br/>
        <w:t>GPU compute</w:t>
        <w:br/>
        <w:t xml:space="preserve">  -&gt; final norm / LM head / sampling when the last layer is complete</w:t>
        <w:br/>
        <w:br/>
        <w:t>CPU host control</w:t>
        <w:br/>
        <w:t xml:space="preserve">  -&gt; observe sampled-token completion</w:t>
        <w:br/>
        <w:t xml:space="preserve">  -&gt; update request state / stopping condition</w:t>
        <w:br/>
        <w:t xml:space="preserve">  -&gt; stream response and prepare the next decode batch</w:t>
      </w:r>
    </w:p>
    <w:p>
      <w:pPr/>
      <w:r>
        <w:t>The CPU should not synchronously wait after every GPU operation. CUDA stream ordering and events should express device dependencies, while the host prepares future work whenever possible. The integration benchmark shall therefore report host scheduling time, graph/kernel submission time, collective time, host-observation delay, and GPU compute time separately rather than collapsing them into a single GPU-utilization number.</w:t>
      </w:r>
    </w:p>
    <w:p>
      <w:pPr>
        <w:pStyle w:val="Heading3"/>
      </w:pPr>
      <w:r>
        <w:t>13.2.3 Synchronization Classes</w:t>
      </w:r>
    </w:p>
    <w:p>
      <w:pPr/>
      <w:r>
        <w:t>Four synchronization classes shall be distinguished because they have different performance consequences. A data dependency does not automatically imply a CPU wait.</w:t>
      </w:r>
    </w:p>
    <w:p>
      <w:pPr>
        <w:pStyle w:val="CodeBlock"/>
      </w:pPr>
      <w:r>
        <w:t>1. Stream-order dependency: producer and consumer are ordered on one CUDA stream, for example QKV projection -&gt; RoPE. No host synchronization is required.</w:t>
        <w:br/>
        <w:t>2. Device communication dependency: a local projection produces partial results, an NCCL collective combines or redistributes them, and a dependent GPU consumer waits on collective completion.</w:t>
        <w:br/>
        <w:t>3. Cross-stream dependency: compute and communication use separate CUDA streams connected by CUDA events or equivalent runtime ordering so that independent work may overlap.</w:t>
        <w:br/>
        <w:t>4. Host-observation dependency: the GPU has produced a result such as a sampled token and the CPU must eventually observe completion to update request state, stop generation, or send output.</w:t>
      </w:r>
    </w:p>
    <w:p>
      <w:pPr/>
      <w:r>
        <w:t>NCCL collective calls are associated with CUDA streams; work submitted after a collective on the same stream observes the collective ordering. NCCL also supports CUDA Graph capture under documented constraints [96]. The DSC adapter should therefore prefer stream/event dependency over full-device synchronization in the steady-state path.</w:t>
      </w:r>
    </w:p>
    <w:p>
      <w:pPr>
        <w:pStyle w:val="Heading3"/>
      </w:pPr>
      <w:r>
        <w:t>13.2.4 What an NCCL GPU Collective Does</w:t>
      </w:r>
    </w:p>
    <w:p>
      <w:pPr/>
      <w:r>
        <w:t>NCCL is topology-aware and implements inter-GPU collective primitives. NVIDIA documents that, in the traditional CUDA collective model, NCCL implements a collective in a single GPU kernel that handles both communication and local computation rather than requiring the application to alternate explicit memory copies with separate reduction kernels [96]. The exact algorithm is selected by NCCL and may be ring, tree, NVLS/in-network, or another supported topology-specific path; the ring examples below are therefore explanatory models rather than requirements [97].</w:t>
      </w:r>
    </w:p>
    <w:p>
      <w:pPr/>
      <w:r>
        <w:rPr>
          <w:b/>
        </w:rPr>
        <w:t>Example 1 - Tensor-parallel AllReduce after an output projection.</w:t>
      </w:r>
    </w:p>
    <w:p>
      <w:pPr/>
      <w:r>
        <w:t>Assume four TP ranks independently compute partial output vectors Y0, Y1, Y2, and Y3 and the next residual consumer requires Y = Y0 + Y1 + Y2 + Y3 on every rank. In a ring-style AllReduce, the tensor is divided into chunks. During the reduce-scatter phase, each GPU repeatedly reads a local/received chunk, applies the reduction with its local partial contribution, sends the updated chunk to the next peer, and receives another chunk from the previous peer. After the reduce-scatter phase, each rank owns one fully reduced chunk. During the all-gather phase, those completed chunks circulate until all ranks hold the complete reduced tensor. The NCCL device work therefore performs GPU-memory loads/stores, reduction arithmetic, protocol/synchronization work, and peer transfer while the interconnect transports the data. The CPU does not execute one instruction per tensor element or per ring hop; it has submitted the collective and can continue independent host work while stream dependencies govern the device result [96][97].</w:t>
      </w:r>
    </w:p>
    <w:p>
      <w:pPr>
        <w:pStyle w:val="CodeBlock"/>
      </w:pPr>
      <w:r>
        <w:t>TP rank 0: Y0 ----TP rank 1: Y1 -----+--&gt; ReduceScatter --&gt; one reduced shard/rank</w:t>
        <w:br/>
        <w:t>TP rank 2: Y2 -----+                         |</w:t>
        <w:br/>
        <w:t>TP rank 3: Y3 ----/                          v</w:t>
        <w:br/>
        <w:t xml:space="preserve">                                      AllGather</w:t>
        <w:br/>
        <w:t xml:space="preserve">                                          |</w:t>
        <w:br/>
        <w:t xml:space="preserve">                                          v</w:t>
        <w:br/>
        <w:t xml:space="preserve">                              complete Y on every rank</w:t>
      </w:r>
    </w:p>
    <w:p>
      <w:pPr/>
      <w:r>
        <w:rPr>
          <w:b/>
        </w:rPr>
        <w:t>Example 2 - ReduceScatter followed later by AllGather.</w:t>
      </w:r>
    </w:p>
    <w:p>
      <w:pPr/>
      <w:r>
        <w:t>A distributed decode plan does not always need the fully replicated reduced tensor immediately. Suppose a projection produces partial full-width vectors on every rank, but the next legal operation can consume only a local hidden-state shard. A ReduceScatter can combine the partial vectors across ranks while leaving rank r only its assigned reduced shard. Local GPU work can then proceed on that shard, avoiding an immediate full replication. If a later operation requires a replicated tensor, AllGather exchanges the completed shards so every rank reconstructs the full logical value. NCCL defines ReduceScatter as reduction followed by equal partitioning of the result and defines AllGather as gathering each rank's shard on every rank; ReduceScatter followed by AllGather is semantically equivalent to AllReduce [96].</w:t>
      </w:r>
    </w:p>
    <w:p>
      <w:pPr>
        <w:pStyle w:val="CodeBlock"/>
      </w:pPr>
      <w:r>
        <w:t>local partial vectors on all ranks</w:t>
        <w:br/>
        <w:t xml:space="preserve">          |</w:t>
        <w:br/>
        <w:t xml:space="preserve">          v</w:t>
        <w:br/>
        <w:t xml:space="preserve">   NCCL ReduceScatter</w:t>
        <w:br/>
        <w:t xml:space="preserve">          |</w:t>
        <w:br/>
        <w:t xml:space="preserve">    +-----+-----+-----+</w:t>
        <w:br/>
        <w:t xml:space="preserve">    |     |     |     |</w:t>
        <w:br/>
        <w:t xml:space="preserve"> shard0 shard1 shard2 shard3     &lt;- local GPU work may continue on shards</w:t>
        <w:br/>
        <w:t xml:space="preserve">    |     |     |     |</w:t>
        <w:br/>
        <w:t xml:space="preserve">    +-----+-----+-----+</w:t>
        <w:br/>
        <w:t xml:space="preserve">          |</w:t>
        <w:br/>
        <w:t xml:space="preserve">          v</w:t>
        <w:br/>
        <w:t xml:space="preserve">     NCCL AllGather</w:t>
        <w:br/>
        <w:t xml:space="preserve">          |</w:t>
        <w:br/>
        <w:t xml:space="preserve">          v</w:t>
        <w:br/>
        <w:t xml:space="preserve"> full logical tensor replicated when required</w:t>
      </w:r>
    </w:p>
    <w:p>
      <w:pPr/>
      <w:r>
        <w:t>These examples also show why collective time belongs in the execution pipeline rather than being modeled as an external networking afterthought. A traditional NCCL collective can consume both interconnect bandwidth and GPU execution resources, while dependent kernels may starve if the required tensor or shard is not ready. Chapter 11 should therefore model the collective as a pipeline stage with service time, resource demand, readiness, and overlap constraints.</w:t>
      </w:r>
    </w:p>
    <w:p>
      <w:pPr>
        <w:pStyle w:val="Heading3"/>
      </w:pPr>
      <w:r>
        <w:t>13.2.5 CPU-GPU Overlap and Starvation</w:t>
      </w:r>
    </w:p>
    <w:p>
      <w:pPr>
        <w:pStyle w:val="CodeBlock"/>
      </w:pPr>
      <w:r>
        <w:t>time ---&gt;</w:t>
        <w:br/>
        <w:br/>
        <w:t>CPU:  schedule N+1 / update metadata ---- schedule N+2 / process result ----</w:t>
        <w:br/>
        <w:t>GPU:        decode N -------------------------- decode N+1 -----------------</w:t>
        <w:br/>
        <w:t>COMM:              TP collective(s)                  TP collective(s)</w:t>
        <w:br/>
        <w:br/>
        <w:t>Desired condition:</w:t>
        <w:br/>
        <w:t xml:space="preserve">  host preparation for N+1 is substantially hidden under GPU/communication work for N.</w:t>
        <w:br/>
        <w:br/>
        <w:t>Starvation condition:</w:t>
        <w:br/>
        <w:t xml:space="preserve">  host preparation or host-observation latency exceeds available overlap window</w:t>
        <w:br/>
        <w:t xml:space="preserve">  -&gt; GPU reaches the next launch boundary with no ready work</w:t>
        <w:br/>
        <w:t xml:space="preserve">  -&gt; useful device utilization and token throughput fall.</w:t>
      </w:r>
    </w:p>
    <w:p>
      <w:pPr/>
      <w:r>
        <w:t>SGLang exposes an overlap scheduler specifically to overlap the CPU scheduler with the GPU model worker, and exposes additional single-batch/two-batch compute-communication overlap controls [86]. The DSC integration shall preserve those runtime capabilities rather than accidentally inserting blocking host synchronization around a DSC kernel or NCCL call.</w:t>
      </w:r>
    </w:p>
    <w:p>
      <w:pPr>
        <w:pStyle w:val="Heading3"/>
      </w:pPr>
      <w:r>
        <w:t>13.2.6 Measurement and Telemetry Boundary</w:t>
      </w:r>
    </w:p>
    <w:p>
      <w:pPr/>
      <w:r>
        <w:t>Chapter 13 shall expose execution-duty timing to Chapter 11 without adding a new large IR taxonomy at this stage. Runtime telemetry should tag at least the following intervals and causal edges so that PerformanceModelIR can distinguish CPU starvation, GPU compute bottlenecks, and collective bottlenecks.</w:t>
      </w:r>
    </w:p>
    <w:p>
      <w:pPr>
        <w:pStyle w:val="CodeBlock"/>
      </w:pPr>
      <w:r>
        <w:t>host_schedule_time</w:t>
        <w:br/>
        <w:t>host_metadata_and_dispatch_time</w:t>
        <w:br/>
        <w:t>cuda_graph_or_kernel_submission_time</w:t>
        <w:br/>
        <w:t>device_compute_time_by_region</w:t>
        <w:br/>
        <w:t>collective_enqueue_time</w:t>
        <w:br/>
        <w:t>collective_device_time</w:t>
        <w:br/>
        <w:t>collective_wait_or_dependency_time</w:t>
        <w:br/>
        <w:t>host_observation_time</w:t>
        <w:br/>
        <w:t>response_streaming_time</w:t>
        <w:br/>
        <w:br/>
        <w:t>causal edges:</w:t>
        <w:br/>
        <w:t xml:space="preserve">  CPU ready -&gt; GPU launch</w:t>
        <w:br/>
        <w:t xml:space="preserve">  GPU producer -&gt; NCCL collective</w:t>
        <w:br/>
        <w:t xml:space="preserve">  NCCL completion -&gt; GPU consumer</w:t>
        <w:br/>
        <w:t xml:space="preserve">  GPU sampled token -&gt; CPU observation</w:t>
        <w:br/>
        <w:t xml:space="preserve">  CPU next-batch ready -&gt; next GPU execution</w:t>
      </w:r>
    </w:p>
    <w:p>
      <w:pPr/>
      <w:r>
        <w:t>A performance regression shall not be classified merely as low GPU utilization. The report should identify whether the lost time is host starvation, device compute, collective communication, cross-stream dependency, host observation, memory pressure, or a combination. This is the operational bridge from the SGLang integration in Chapter 13 to the balanced-pipeline model in Chapter 11.</w:t>
      </w:r>
    </w:p>
    <w:p>
      <w:pPr>
        <w:pStyle w:val="Heading3"/>
      </w:pPr>
      <w:r>
        <w:t>13.2.7 Integration Rule</w:t>
      </w:r>
    </w:p>
    <w:p>
      <w:pPr>
        <w:pStyle w:val="CodeBlock"/>
      </w:pPr>
      <w:r>
        <w:t>Program execution is not equivalent to GPU kernel execution.</w:t>
        <w:br/>
        <w:br/>
        <w:t>For SGLang integration, DSC shall treat one decode step as a coordinated pipeline of:</w:t>
        <w:br/>
        <w:t xml:space="preserve">  host control policy</w:t>
        <w:br/>
        <w:t xml:space="preserve">  + native host runtime mechanisms</w:t>
        <w:br/>
        <w:t xml:space="preserve">  + GPU computation</w:t>
        <w:br/>
        <w:t xml:space="preserve">  + GPU/fabric collective communication</w:t>
        <w:br/>
        <w:t xml:space="preserve">  + host/device synchronization and observation.</w:t>
        <w:br/>
        <w:br/>
        <w:t>The first milestone still replaces only one GPU operation with a DSC CUBIN. However, every benchmark and later optimization must preserve visibility into all four execution domains so that a faster kernel is not accepted when host scheduling, NCCL, or synchronization increases end-to-end decode time.</w:t>
      </w:r>
    </w:p>
    <w:p>
      <w:pPr>
        <w:pStyle w:val="Heading2"/>
        <w:pageBreakBefore/>
      </w:pPr>
      <w:r>
        <w:t>13.3 Primary Runtime Target and DSC Output</w:t>
      </w:r>
    </w:p>
    <w:p>
      <w:r>
        <w:t>The primary runtime target is a persistent, single-GPU SGLang inference server. The primary DSC output is a runtime-specific executable package containing a C++ runtime extension, architecture-specific CUBIN or FATBIN images, a PTX fallback, kernel and ABI manifests, a kernel-dispatch plan, generated SGLang configuration, correctness artifacts, and a versioned performance-model snapshot. SGLang is launched once, loads the package once, warms up the kernel variants, and then reuses the cached kernel handles for repeated requests [17][24][86].</w:t>
      </w:r>
    </w:p>
    <w:p>
      <w:pPr>
        <w:pStyle w:val="CodeBlock"/>
      </w:pPr>
      <w:r>
        <w:t>DSC compile/package time</w:t>
        <w:br/>
        <w:t xml:space="preserve">    -&gt; semantic operation and plan selection</w:t>
        <w:br/>
        <w:t xml:space="preserve">    -&gt; DeviceKernelIR and KernelABIIR</w:t>
        <w:br/>
        <w:t xml:space="preserve">    -&gt; PTX/CUBIN production described in Appendix J</w:t>
        <w:br/>
        <w:t xml:space="preserve">    -&gt; DSCSGLangNativePackage</w:t>
        <w:br/>
        <w:br/>
        <w:t>SGLang server initialization</w:t>
        <w:br/>
        <w:t xml:space="preserve">    -&gt; load model and DSC package</w:t>
        <w:br/>
        <w:t xml:space="preserve">    -&gt; select compatible CUBIN or PTX fallback</w:t>
        <w:br/>
        <w:t xml:space="preserve">    -&gt; register kernel implementation and warm up</w:t>
        <w:br/>
        <w:br/>
        <w:t>Request execution</w:t>
        <w:br/>
        <w:t xml:space="preserve">    -&gt; SGLang scheduler and model runner</w:t>
        <w:br/>
        <w:t xml:space="preserve">    -&gt; precomputed dispatch-table lookup</w:t>
        <w:br/>
        <w:t xml:space="preserve">    -&gt; launch preloaded DSC or stock kernel</w:t>
      </w:r>
    </w:p>
    <w:p>
      <w:pPr>
        <w:pStyle w:val="Heading2"/>
        <w:keepNext/>
        <w:pageBreakBefore/>
      </w:pPr>
      <w:r>
        <w:t>13.4 Initial Model, Hardware, and Runtime Scope</w:t>
      </w:r>
    </w:p>
    <w:tbl>
      <w:tblPr>
        <w:tblStyle w:val="TableGrid"/>
        <w:tblW w:type="auto" w:w="0"/>
        <w:jc w:val="center"/>
        <w:tblLook w:firstColumn="1" w:firstRow="1" w:lastColumn="0" w:lastRow="0" w:noHBand="0" w:noVBand="1" w:val="04A0"/>
      </w:tblPr>
      <w:tblGrid>
        <w:gridCol w:w="3312"/>
        <w:gridCol w:w="3312"/>
        <w:gridCol w:w="3312"/>
      </w:tblGrid>
      <w:tr>
        <w:tc>
          <w:tcPr>
            <w:tcW w:type="dxa" w:w="1872"/>
            <w:vAlign w:val="center"/>
          </w:tcPr>
          <w:p>
            <w:r>
              <w:rPr>
                <w:b/>
              </w:rPr>
              <w:t>Dimension</w:t>
            </w:r>
          </w:p>
        </w:tc>
        <w:tc>
          <w:tcPr>
            <w:tcW w:type="dxa" w:w="3888"/>
            <w:vAlign w:val="center"/>
          </w:tcPr>
          <w:p>
            <w:r>
              <w:rPr>
                <w:b/>
              </w:rPr>
              <w:t>Initial decision</w:t>
            </w:r>
          </w:p>
        </w:tc>
        <w:tc>
          <w:tcPr>
            <w:tcW w:type="dxa" w:w="4320"/>
            <w:vAlign w:val="center"/>
          </w:tcPr>
          <w:p>
            <w:r>
              <w:rPr>
                <w:b/>
              </w:rPr>
              <w:t>Reason</w:t>
            </w:r>
          </w:p>
        </w:tc>
      </w:tr>
      <w:tr>
        <w:tc>
          <w:tcPr>
            <w:tcW w:type="dxa" w:w="1872"/>
            <w:vAlign w:val="top"/>
          </w:tcPr>
          <w:p>
            <w:r>
              <w:t>Model</w:t>
            </w:r>
          </w:p>
        </w:tc>
        <w:tc>
          <w:tcPr>
            <w:tcW w:type="dxa" w:w="3888"/>
            <w:vAlign w:val="top"/>
          </w:tcPr>
          <w:p>
            <w:r>
              <w:t>One small dense Transformer model already supported by SGLang, initially Qwen2.5-3B-Instruct or an equivalently small dense model.</w:t>
            </w:r>
          </w:p>
        </w:tc>
        <w:tc>
          <w:tcPr>
            <w:tcW w:type="dxa" w:w="4320"/>
            <w:vAlign w:val="top"/>
          </w:tcPr>
          <w:p>
            <w:r>
              <w:t>Avoid MoE routing and keep the model small enough for single-GPU iteration.</w:t>
            </w:r>
          </w:p>
        </w:tc>
      </w:tr>
      <w:tr>
        <w:tc>
          <w:tcPr>
            <w:tcW w:type="dxa" w:w="1872"/>
            <w:vAlign w:val="top"/>
          </w:tcPr>
          <w:p>
            <w:r>
              <w:t>Hardware</w:t>
            </w:r>
          </w:p>
        </w:tc>
        <w:tc>
          <w:tcPr>
            <w:tcW w:type="dxa" w:w="3888"/>
            <w:vAlign w:val="top"/>
          </w:tcPr>
          <w:p>
            <w:r>
              <w:t>One installed NVIDIA GPU; TP=1, DP=1, PP=1.</w:t>
            </w:r>
          </w:p>
        </w:tc>
        <w:tc>
          <w:tcPr>
            <w:tcW w:type="dxa" w:w="4320"/>
            <w:vAlign w:val="top"/>
          </w:tcPr>
          <w:p>
            <w:r>
              <w:t>Separate native-kernel integration from distributed execution.</w:t>
            </w:r>
          </w:p>
        </w:tc>
      </w:tr>
      <w:tr>
        <w:tc>
          <w:tcPr>
            <w:tcW w:type="dxa" w:w="1872"/>
            <w:vAlign w:val="top"/>
          </w:tcPr>
          <w:p>
            <w:r>
              <w:t>Precision</w:t>
            </w:r>
          </w:p>
        </w:tc>
        <w:tc>
          <w:tcPr>
            <w:tcW w:type="dxa" w:w="3888"/>
            <w:vAlign w:val="top"/>
          </w:tcPr>
          <w:p>
            <w:r>
              <w:t>BF16 or FP16; no quantization in the first milestone.</w:t>
            </w:r>
          </w:p>
        </w:tc>
        <w:tc>
          <w:tcPr>
            <w:tcW w:type="dxa" w:w="4320"/>
            <w:vAlign w:val="top"/>
          </w:tcPr>
          <w:p>
            <w:r>
              <w:t>Minimize numerical and ABI uncertainty.</w:t>
            </w:r>
          </w:p>
        </w:tc>
      </w:tr>
      <w:tr>
        <w:tc>
          <w:tcPr>
            <w:tcW w:type="dxa" w:w="1872"/>
            <w:vAlign w:val="top"/>
          </w:tcPr>
          <w:p>
            <w:r>
              <w:t>Serving mode</w:t>
            </w:r>
          </w:p>
        </w:tc>
        <w:tc>
          <w:tcPr>
            <w:tcW w:type="dxa" w:w="3888"/>
            <w:vAlign w:val="top"/>
          </w:tcPr>
          <w:p>
            <w:r>
              <w:t>Persistent local SGLang server with metrics enabled.</w:t>
            </w:r>
          </w:p>
        </w:tc>
        <w:tc>
          <w:tcPr>
            <w:tcW w:type="dxa" w:w="4320"/>
            <w:vAlign w:val="top"/>
          </w:tcPr>
          <w:p>
            <w:r>
              <w:t>Exercise a real runtime lifecycle without adding network-distributed complexity.</w:t>
            </w:r>
          </w:p>
        </w:tc>
      </w:tr>
      <w:tr>
        <w:tc>
          <w:tcPr>
            <w:tcW w:type="dxa" w:w="1872"/>
            <w:vAlign w:val="top"/>
          </w:tcPr>
          <w:p>
            <w:r>
              <w:t>Excluded initially</w:t>
            </w:r>
          </w:p>
        </w:tc>
        <w:tc>
          <w:tcPr>
            <w:tcW w:type="dxa" w:w="3888"/>
            <w:vAlign w:val="top"/>
          </w:tcPr>
          <w:p>
            <w:r>
              <w:t>PD disaggregation, speculative decoding, LoRA multiplexing, custom KV manager, expert parallelism, and custom scheduling.</w:t>
            </w:r>
          </w:p>
        </w:tc>
        <w:tc>
          <w:tcPr>
            <w:tcW w:type="dxa" w:w="4320"/>
            <w:vAlign w:val="top"/>
          </w:tcPr>
          <w:p>
            <w:r>
              <w:t>Prevent advanced runtime behavior from obscuring the first integration result.</w:t>
            </w:r>
          </w:p>
        </w:tc>
      </w:tr>
    </w:tbl>
    <w:p>
      <w:pPr>
        <w:pStyle w:val="Heading2"/>
      </w:pPr>
      <w:r>
        <w:t>13.5 First DSC-Owned Operation</w:t>
      </w:r>
    </w:p>
    <w:p>
      <w:r>
        <w:t>The first DSC-owned operation should be RMSNorm. ResidualAdd plus RMSNorm may be used if the SGLang integration point is equally straightforward. RMSNorm has a clear semantic contract, fixed-shape output, no KV-cache dependence, no collective communication, and a simple correctness reference. It is also a useful starting point for later fusion into QKV projection.</w:t>
      </w:r>
    </w:p>
    <w:p>
      <w:pPr>
        <w:pStyle w:val="CodeBlock"/>
      </w:pPr>
      <w:r>
        <w:t>transformer.rms_norm</w:t>
        <w:br/>
        <w:t xml:space="preserve">    -&gt; FusionAnalysisViewIR decomposition</w:t>
        <w:br/>
        <w:t xml:space="preserve">    -&gt; one minimum-optimization DeviceKernelIR</w:t>
        <w:br/>
        <w:t xml:space="preserve">    -&gt; PTX/CUBIN through Appendix J</w:t>
        <w:br/>
        <w:t xml:space="preserve">    -&gt; SGLang dispatch hook</w:t>
        <w:br/>
        <w:t xml:space="preserve">    -&gt; stock RMSNorm fallback</w:t>
      </w:r>
    </w:p>
    <w:p>
      <w:r>
        <w:t>The first kernel may use a straightforward reduction and scaling implementation. Advanced vectorization, warp specialization, software pipelining, fusion, and architecture-specific tensor instructions are deliberately deferred until the native execution path and measurement loop are stable.</w:t>
      </w:r>
    </w:p>
    <w:p>
      <w:pPr>
        <w:pStyle w:val="Heading2"/>
      </w:pPr>
      <w:r>
        <w:t>13.6 Deployment Package Contract</w:t>
      </w:r>
    </w:p>
    <w:p>
      <w:r>
        <w:t>The first package shall use the directory and ownership model below. Appendix J defines the binary generation, loader, manifest, and compatibility details.</w:t>
      </w:r>
    </w:p>
    <w:p>
      <w:pPr>
        <w:pStyle w:val="CodeBlock"/>
      </w:pPr>
      <w:r>
        <w:t>DSCSGLangNativePackage/</w:t>
        <w:br/>
        <w:t>|-- lib/</w:t>
        <w:br/>
        <w:t>|   `-- libdsc_sglang_ops.so</w:t>
        <w:br/>
        <w:t>|-- kernels/</w:t>
        <w:br/>
        <w:t>|   |-- sm_&lt;target&gt;/dsc_kernels.cubin</w:t>
        <w:br/>
        <w:t>|   `-- portable/dsc_kernels.ptx</w:t>
        <w:br/>
        <w:t>|-- python/</w:t>
        <w:br/>
        <w:t>|   |-- dsc_sglang_adapter.py</w:t>
        <w:br/>
        <w:t>|   `-- dsc_kernel_registry.py</w:t>
        <w:br/>
        <w:t>|-- config/sglang_server.yaml</w:t>
        <w:br/>
        <w:t>|-- plans/</w:t>
        <w:br/>
        <w:t>|   |-- runtime_plan.json</w:t>
        <w:br/>
        <w:t>|   |-- kernel_dispatch_plan.json</w:t>
        <w:br/>
        <w:t>|   `-- performance_model_snapshot.json</w:t>
        <w:br/>
        <w:t>|-- manifests/</w:t>
        <w:br/>
        <w:t>|   |-- model_contract.json</w:t>
        <w:br/>
        <w:t>|   |-- kernel_manifest.json</w:t>
        <w:br/>
        <w:t>|   |-- abi_manifest.json</w:t>
        <w:br/>
        <w:t>|   `-- compatibility_manifest.json</w:t>
        <w:br/>
        <w:t>`-- tests/</w:t>
      </w:r>
    </w:p>
    <w:p>
      <w:pPr>
        <w:pStyle w:val="Heading2"/>
      </w:pPr>
      <w:r>
        <w:t>13.7 Prototype Integration Strategy</w:t>
      </w:r>
    </w:p>
    <w:p>
      <w:r>
        <w:t>The first prototype should use pinned SGLang and sglang-kernel revisions and a small local integration patch. The patch should be limited to package loading, one operation dispatch site, a fallback path, and telemetry. This is lower risk than defining a general external provider ABI before the actual runtime requirements are known. SGLang separates Python runtime code from compiled kernel packaging, making a DSC kernel wheel or shared-library extension a natural first deployment form [88].</w:t>
      </w:r>
    </w:p>
    <w:p>
      <w:r>
        <w:t>After the prototype, the hook should be generalized into DSCKernelProviderAdapter. The provider interface should answer whether a semantic operation is supported for the current shape, dtype, target, layout, quantization state, stream semantics, workspace limit, and CUDA Graph mode. It should return the selected implementation, launch metadata, required workspace, and fallback provider.</w:t>
      </w:r>
    </w:p>
    <w:p>
      <w:pPr>
        <w:pStyle w:val="Heading2"/>
      </w:pPr>
      <w:r>
        <w:t>13.8 Kernel and Runtime ABI</w:t>
      </w:r>
    </w:p>
    <w:p>
      <w:r>
        <w:t>The ABI shall use plain scalar values, pointers, dimensions, strides, alignment declarations, workspace information, and an opaque CUDA stream handle. It shall not expose internal SGLang, PyTorch, or DSC object layouts. The complete ABI and CUBIN entry-symbol rules are specified in Appendix J.</w:t>
      </w:r>
    </w:p>
    <w:p>
      <w:pPr>
        <w:pStyle w:val="CodeBlock"/>
      </w:pPr>
      <w:r>
        <w:t>DscRmsNormParams {</w:t>
        <w:br/>
        <w:t xml:space="preserve">  output_ptr</w:t>
        <w:br/>
        <w:t xml:space="preserve">  input_ptr</w:t>
        <w:br/>
        <w:t xml:space="preserve">  weight_ptr</w:t>
        <w:br/>
        <w:t xml:space="preserve">  rows</w:t>
        <w:br/>
        <w:t xml:space="preserve">  hidden_size</w:t>
        <w:br/>
        <w:t xml:space="preserve">  epsilon</w:t>
        <w:br/>
        <w:t xml:space="preserve">  input_dtype</w:t>
        <w:br/>
        <w:t xml:space="preserve">  output_dtype</w:t>
        <w:br/>
        <w:t xml:space="preserve">  workspace_ptr</w:t>
        <w:br/>
        <w:t xml:space="preserve">  workspace_bytes</w:t>
        <w:br/>
        <w:t xml:space="preserve">  cuda_stream</w:t>
        <w:br/>
        <w:t>}</w:t>
        <w:br/>
        <w:br/>
        <w:t>dsc_rms_norm(params) -&gt; DscStatus</w:t>
      </w:r>
    </w:p>
    <w:p>
      <w:pPr>
        <w:pStyle w:val="Heading2"/>
      </w:pPr>
      <w:r>
        <w:t>13.9 Startup and Request-Time Operational Flow</w:t>
      </w:r>
    </w:p>
    <w:p>
      <w:pPr/>
      <w:r>
        <w:t>1. Install or mount the DSC native package in the pinned SGLang environment.</w:t>
      </w:r>
    </w:p>
    <w:p>
      <w:pPr/>
      <w:r>
        <w:t>2. Launch the persistent SGLang server and load the selected model.</w:t>
      </w:r>
    </w:p>
    <w:p>
      <w:pPr/>
      <w:r>
        <w:t>3. The DSC adapter validates package, CUDA, target, ABI, runtime, and model compatibility.</w:t>
      </w:r>
    </w:p>
    <w:p>
      <w:pPr/>
      <w:r>
        <w:t>4. The C++ extension loads a compatible CUBIN, or uses PTX JIT as a controlled fallback, and caches kernel function handles.</w:t>
      </w:r>
    </w:p>
    <w:p>
      <w:pPr/>
      <w:r>
        <w:t>5. Warm-up runs verify launch legality, numerical tolerance, workspace use, and graph-capture behavior when enabled.</w:t>
      </w:r>
    </w:p>
    <w:p>
      <w:pPr/>
      <w:r>
        <w:t>6. The model operation is bound to a small dispatch table. Incompatible cases retain the stock SGLang implementation.</w:t>
      </w:r>
    </w:p>
    <w:p>
      <w:pPr/>
      <w:r>
        <w:t>7. Every request uses the already running SGLang scheduler and the already loaded kernel. No recompilation or module reload occurs in the request hot path.</w:t>
      </w:r>
    </w:p>
    <w:p>
      <w:pPr/>
      <w:r>
        <w:t>8. Telemetry is normalized and attached to the semantic operation, kernel, runtime-plan, and performance-model IDs.</w:t>
      </w:r>
    </w:p>
    <w:p>
      <w:pPr>
        <w:pStyle w:val="Heading2"/>
        <w:keepNext/>
      </w:pPr>
      <w:r>
        <w:t>13.10 Correctness and Certification Gates</w:t>
      </w:r>
    </w:p>
    <w:tbl>
      <w:tblPr>
        <w:tblStyle w:val="TableGrid"/>
        <w:tblW w:type="auto" w:w="0"/>
        <w:jc w:val="center"/>
        <w:tblLook w:firstColumn="1" w:firstRow="1" w:lastColumn="0" w:lastRow="0" w:noHBand="0" w:noVBand="1" w:val="04A0"/>
      </w:tblPr>
      <w:tblGrid>
        <w:gridCol w:w="3312"/>
        <w:gridCol w:w="3312"/>
        <w:gridCol w:w="3312"/>
      </w:tblGrid>
      <w:tr>
        <w:tc>
          <w:tcPr>
            <w:tcW w:type="dxa" w:w="1944"/>
            <w:vAlign w:val="center"/>
          </w:tcPr>
          <w:p>
            <w:r>
              <w:rPr>
                <w:b/>
              </w:rPr>
              <w:t>Gate</w:t>
            </w:r>
          </w:p>
        </w:tc>
        <w:tc>
          <w:tcPr>
            <w:tcW w:type="dxa" w:w="5616"/>
            <w:vAlign w:val="center"/>
          </w:tcPr>
          <w:p>
            <w:r>
              <w:rPr>
                <w:b/>
              </w:rPr>
              <w:t>Required checks</w:t>
            </w:r>
          </w:p>
        </w:tc>
        <w:tc>
          <w:tcPr>
            <w:tcW w:type="dxa" w:w="2736"/>
            <w:vAlign w:val="center"/>
          </w:tcPr>
          <w:p>
            <w:r>
              <w:rPr>
                <w:b/>
              </w:rPr>
              <w:t>Result</w:t>
            </w:r>
          </w:p>
        </w:tc>
      </w:tr>
      <w:tr>
        <w:tc>
          <w:tcPr>
            <w:tcW w:type="dxa" w:w="1944"/>
            <w:vAlign w:val="top"/>
          </w:tcPr>
          <w:p>
            <w:r>
              <w:t>Kernel unit gate</w:t>
            </w:r>
          </w:p>
        </w:tc>
        <w:tc>
          <w:tcPr>
            <w:tcW w:type="dxa" w:w="5616"/>
            <w:vAlign w:val="top"/>
          </w:tcPr>
          <w:p>
            <w:r>
              <w:t>Absolute/relative error, NaN/Inf behavior, supported shape and alignment, repeated execution, workspace bounds.</w:t>
            </w:r>
          </w:p>
        </w:tc>
        <w:tc>
          <w:tcPr>
            <w:tcW w:type="dxa" w:w="2736"/>
            <w:vAlign w:val="top"/>
          </w:tcPr>
          <w:p>
            <w:r>
              <w:t>Certified shape/dtype buckets or rejected implementation.</w:t>
            </w:r>
          </w:p>
        </w:tc>
      </w:tr>
      <w:tr>
        <w:tc>
          <w:tcPr>
            <w:tcW w:type="dxa" w:w="1944"/>
            <w:vAlign w:val="top"/>
          </w:tcPr>
          <w:p>
            <w:r>
              <w:t>Model equivalence gate</w:t>
            </w:r>
          </w:p>
        </w:tc>
        <w:tc>
          <w:tcPr>
            <w:tcW w:type="dxa" w:w="5616"/>
            <w:vAlign w:val="top"/>
          </w:tcPr>
          <w:p>
            <w:r>
              <w:t>Fixed prompt tokenization, logits, greedy decode, short multi-token decode, multiple prompt and batch sizes.</w:t>
            </w:r>
          </w:p>
        </w:tc>
        <w:tc>
          <w:tcPr>
            <w:tcW w:type="dxa" w:w="2736"/>
            <w:vAlign w:val="top"/>
          </w:tcPr>
          <w:p>
            <w:r>
              <w:t>Model-path equivalence report.</w:t>
            </w:r>
          </w:p>
        </w:tc>
      </w:tr>
      <w:tr>
        <w:tc>
          <w:tcPr>
            <w:tcW w:type="dxa" w:w="1944"/>
            <w:vAlign w:val="top"/>
          </w:tcPr>
          <w:p>
            <w:r>
              <w:t>Runtime gate</w:t>
            </w:r>
          </w:p>
        </w:tc>
        <w:tc>
          <w:tcPr>
            <w:tcW w:type="dxa" w:w="5616"/>
            <w:vAlign w:val="top"/>
          </w:tcPr>
          <w:p>
            <w:r>
              <w:t>Stream correctness, module lifetime, fallback behavior, server restart, error translation, memory leak checks.</w:t>
            </w:r>
          </w:p>
        </w:tc>
        <w:tc>
          <w:tcPr>
            <w:tcW w:type="dxa" w:w="2736"/>
            <w:vAlign w:val="top"/>
          </w:tcPr>
          <w:p>
            <w:r>
              <w:t>Runtime compatibility certificate.</w:t>
            </w:r>
          </w:p>
        </w:tc>
      </w:tr>
      <w:tr>
        <w:tc>
          <w:tcPr>
            <w:tcW w:type="dxa" w:w="1944"/>
            <w:vAlign w:val="top"/>
          </w:tcPr>
          <w:p>
            <w:r>
              <w:t>CUDA Graph gate</w:t>
            </w:r>
          </w:p>
        </w:tc>
        <w:tc>
          <w:tcPr>
            <w:tcW w:type="dxa" w:w="5616"/>
            <w:vAlign w:val="top"/>
          </w:tcPr>
          <w:p>
            <w:r>
              <w:t>Capture, replay, parameter update, stable addresses, workspace and side-effect restrictions.</w:t>
            </w:r>
          </w:p>
        </w:tc>
        <w:tc>
          <w:tcPr>
            <w:tcW w:type="dxa" w:w="2736"/>
            <w:vAlign w:val="top"/>
          </w:tcPr>
          <w:p>
            <w:r>
              <w:t>graph_capture_safe flag and supported buckets.</w:t>
            </w:r>
          </w:p>
        </w:tc>
      </w:tr>
      <w:tr>
        <w:tc>
          <w:tcPr>
            <w:tcW w:type="dxa" w:w="1944"/>
            <w:vAlign w:val="top"/>
          </w:tcPr>
          <w:p>
            <w:r>
              <w:t>Performance gate</w:t>
            </w:r>
          </w:p>
        </w:tc>
        <w:tc>
          <w:tcPr>
            <w:tcW w:type="dxa" w:w="5616"/>
            <w:vAlign w:val="top"/>
          </w:tcPr>
          <w:p>
            <w:r>
              <w:t>Kernel actually invoked, no catastrophic model-level regression, overhead explained and reproducible.</w:t>
            </w:r>
          </w:p>
        </w:tc>
        <w:tc>
          <w:tcPr>
            <w:tcW w:type="dxa" w:w="2736"/>
            <w:vAlign w:val="top"/>
          </w:tcPr>
          <w:p>
            <w:r>
              <w:t>Performance baseline and accepted/rejected provider policy.</w:t>
            </w:r>
          </w:p>
        </w:tc>
      </w:tr>
    </w:tbl>
    <w:p>
      <w:pPr>
        <w:pStyle w:val="Heading2"/>
        <w:keepNext/>
        <w:pageBreakBefore/>
      </w:pPr>
      <w:r>
        <w:t>13.11 Benchmark Ladder</w:t>
      </w:r>
    </w:p>
    <w:tbl>
      <w:tblPr>
        <w:tblStyle w:val="TableGrid"/>
        <w:tblW w:type="auto" w:w="0"/>
        <w:jc w:val="center"/>
        <w:tblLook w:firstColumn="1" w:firstRow="1" w:lastColumn="0" w:lastRow="0" w:noHBand="0" w:noVBand="1" w:val="04A0"/>
      </w:tblPr>
      <w:tblGrid>
        <w:gridCol w:w="3312"/>
        <w:gridCol w:w="3312"/>
        <w:gridCol w:w="3312"/>
      </w:tblGrid>
      <w:tr>
        <w:tc>
          <w:tcPr>
            <w:tcW w:type="dxa" w:w="792"/>
            <w:vAlign w:val="center"/>
          </w:tcPr>
          <w:p>
            <w:r>
              <w:rPr>
                <w:b/>
              </w:rPr>
              <w:t>Level</w:t>
            </w:r>
          </w:p>
        </w:tc>
        <w:tc>
          <w:tcPr>
            <w:tcW w:type="dxa" w:w="3384"/>
            <w:vAlign w:val="center"/>
          </w:tcPr>
          <w:p>
            <w:r>
              <w:rPr>
                <w:b/>
              </w:rPr>
              <w:t>Benchmark</w:t>
            </w:r>
          </w:p>
        </w:tc>
        <w:tc>
          <w:tcPr>
            <w:tcW w:type="dxa" w:w="6120"/>
            <w:vAlign w:val="center"/>
          </w:tcPr>
          <w:p>
            <w:r>
              <w:rPr>
                <w:b/>
              </w:rPr>
              <w:t>Purpose and primary metrics</w:t>
            </w:r>
          </w:p>
        </w:tc>
      </w:tr>
      <w:tr>
        <w:tc>
          <w:tcPr>
            <w:tcW w:type="dxa" w:w="792"/>
            <w:vAlign w:val="top"/>
          </w:tcPr>
          <w:p>
            <w:r>
              <w:t>1</w:t>
            </w:r>
          </w:p>
        </w:tc>
        <w:tc>
          <w:tcPr>
            <w:tcW w:type="dxa" w:w="3384"/>
            <w:vAlign w:val="top"/>
          </w:tcPr>
          <w:p>
            <w:r>
              <w:t>Kernel microbenchmark plus sglang.bench_one_batch</w:t>
            </w:r>
          </w:p>
        </w:tc>
        <w:tc>
          <w:tcPr>
            <w:tcW w:type="dxa" w:w="6120"/>
            <w:vAlign w:val="top"/>
          </w:tcPr>
          <w:p>
            <w:r>
              <w:t>Kernel latency, launch count, prefill/decode time, HBM traffic, resource use, and numerical accuracy.</w:t>
            </w:r>
          </w:p>
        </w:tc>
      </w:tr>
      <w:tr>
        <w:tc>
          <w:tcPr>
            <w:tcW w:type="dxa" w:w="792"/>
            <w:vAlign w:val="top"/>
          </w:tcPr>
          <w:p>
            <w:r>
              <w:t>2</w:t>
            </w:r>
          </w:p>
        </w:tc>
        <w:tc>
          <w:tcPr>
            <w:tcW w:type="dxa" w:w="3384"/>
            <w:vAlign w:val="top"/>
          </w:tcPr>
          <w:p>
            <w:r>
              <w:t>sglang.bench_offline_throughput</w:t>
            </w:r>
          </w:p>
        </w:tc>
        <w:tc>
          <w:tcPr>
            <w:tcW w:type="dxa" w:w="6120"/>
            <w:vAlign w:val="top"/>
          </w:tcPr>
          <w:p>
            <w:r>
              <w:t>Maximum in-process engine throughput, scheduler overhead, GPU memory, and provider invocation counts.</w:t>
            </w:r>
          </w:p>
        </w:tc>
      </w:tr>
      <w:tr>
        <w:tc>
          <w:tcPr>
            <w:tcW w:type="dxa" w:w="792"/>
            <w:vAlign w:val="top"/>
          </w:tcPr>
          <w:p>
            <w:r>
              <w:t>3</w:t>
            </w:r>
          </w:p>
        </w:tc>
        <w:tc>
          <w:tcPr>
            <w:tcW w:type="dxa" w:w="3384"/>
            <w:vAlign w:val="top"/>
          </w:tcPr>
          <w:p>
            <w:r>
              <w:t>sglang.bench_serving</w:t>
            </w:r>
          </w:p>
        </w:tc>
        <w:tc>
          <w:tcPr>
            <w:tcW w:type="dxa" w:w="6120"/>
            <w:vAlign w:val="top"/>
          </w:tcPr>
          <w:p>
            <w:r>
              <w:t>Request throughput, TTFT, inter-token latency, TPOT, tail latency, queue state, and fallback frequency.</w:t>
            </w:r>
          </w:p>
        </w:tc>
      </w:tr>
      <w:tr>
        <w:tc>
          <w:tcPr>
            <w:tcW w:type="dxa" w:w="792"/>
            <w:vAlign w:val="top"/>
          </w:tcPr>
          <w:p>
            <w:r>
              <w:t>4</w:t>
            </w:r>
          </w:p>
        </w:tc>
        <w:tc>
          <w:tcPr>
            <w:tcW w:type="dxa" w:w="3384"/>
            <w:vAlign w:val="top"/>
          </w:tcPr>
          <w:p>
            <w:r>
              <w:t>RL rollout benchmark</w:t>
            </w:r>
          </w:p>
        </w:tc>
        <w:tc>
          <w:tcPr>
            <w:tcW w:type="dxa" w:w="6120"/>
            <w:vAlign w:val="top"/>
          </w:tcPr>
          <w:p>
            <w:r>
              <w:t>Rollout tokens/sec, trajectories/sec, queue balance, policy-version synchronization, and trainer starvation.</w:t>
            </w:r>
          </w:p>
        </w:tc>
      </w:tr>
    </w:tbl>
    <w:p>
      <w:r>
        <w:t>The first benchmark matrix should vary batch size, prompt length, and output length while keeping the model, GPU clocks, software versions, and memory policy fixed. SGLang provides distinct benchmark modes for direct model-runner execution, offline engine throughput, and end-to-end serving [87].</w:t>
      </w:r>
    </w:p>
    <w:p>
      <w:pPr>
        <w:pStyle w:val="Heading2"/>
      </w:pPr>
      <w:r>
        <w:t>13.12 Runtime Telemetry and Performance-Model Feedback</w:t>
      </w:r>
    </w:p>
    <w:p>
      <w:r>
        <w:t>The adapter shall publish DSC kernel invocation, fallback, latency, error, workspace, graph-capture, plan-ID, kernel-ID, and performance-model-epoch metrics. SGLang runtime metrics and DSC metrics are normalized into RuntimeFeedbackIR, validated into PerformanceObservationIR, and used to update PerformanceModelIR as defined in Chapter 11 [89]. Request content, token values, source code, and customer identifiers shall not be recorded.</w:t>
      </w:r>
    </w:p>
    <w:p>
      <w:pPr>
        <w:pStyle w:val="CodeBlock"/>
      </w:pPr>
      <w:r>
        <w:t>SGLang and DSC telemetry</w:t>
        <w:br/>
        <w:t xml:space="preserve">    -&gt; RuntimeFeedbackIR</w:t>
        <w:br/>
        <w:t xml:space="preserve">    -&gt; PerformanceObservationIR</w:t>
        <w:br/>
        <w:t xml:space="preserve">    -&gt; PerformanceModelIR update</w:t>
        <w:br/>
        <w:t xml:space="preserve">    -&gt; new PerformanceModelSnapshotIR</w:t>
        <w:br/>
        <w:t xml:space="preserve">    -&gt; revised provider, shape bucket, fusion, tiling, or pipeline plan</w:t>
      </w:r>
    </w:p>
    <w:p>
      <w:pPr>
        <w:pStyle w:val="Heading2"/>
      </w:pPr>
      <w:r>
        <w:t>13.13 Minimum Runnable Milestone</w:t>
      </w:r>
    </w:p>
    <w:p>
      <w:pPr>
        <w:pStyle w:val="ListBullet"/>
      </w:pPr>
      <w:r>
        <w:t>One supported dense Transformer model runs under stock SGLang on one NVIDIA GPU.</w:t>
      </w:r>
    </w:p>
    <w:p>
      <w:pPr>
        <w:pStyle w:val="ListBullet"/>
      </w:pPr>
      <w:r>
        <w:t>DSC compiles and packages one RMSNorm implementation as a CUBIN with a PTX fallback.</w:t>
      </w:r>
    </w:p>
    <w:p>
      <w:pPr>
        <w:pStyle w:val="ListBullet"/>
      </w:pPr>
      <w:r>
        <w:t>SGLang loads the DSC package during initialization and caches the kernel function handle.</w:t>
      </w:r>
    </w:p>
    <w:p>
      <w:pPr>
        <w:pStyle w:val="ListBullet"/>
      </w:pPr>
      <w:r>
        <w:t>At least one model operation dispatches to the DSC kernel, with a runtime switch or configuration switch to restore the stock implementation.</w:t>
      </w:r>
    </w:p>
    <w:p>
      <w:pPr>
        <w:pStyle w:val="ListBullet"/>
      </w:pPr>
      <w:r>
        <w:t>Kernel and model-level correctness tests pass the declared tolerance.</w:t>
      </w:r>
    </w:p>
    <w:p>
      <w:pPr>
        <w:pStyle w:val="ListBullet"/>
      </w:pPr>
      <w:r>
        <w:t>The benchmark report proves that the DSC kernel is executing and records the stock-versus-DSC result.</w:t>
      </w:r>
    </w:p>
    <w:p>
      <w:pPr>
        <w:pStyle w:val="ListBullet"/>
      </w:pPr>
      <w:r>
        <w:t>The server exposes both SGLang metrics and DSC provider telemetry.</w:t>
      </w:r>
    </w:p>
    <w:p>
      <w:pPr>
        <w:pStyle w:val="ListBullet"/>
      </w:pPr>
      <w:r>
        <w:t>The complete package is reproducible from recorded compiler, CUDA, target, model, and plan inputs.</w:t>
      </w:r>
    </w:p>
    <w:p>
      <w:pPr>
        <w:pStyle w:val="Heading2"/>
        <w:keepNext/>
        <w:pageBreakBefore/>
      </w:pPr>
      <w:r>
        <w:t>13.14 Progressive Optimization Ladder</w:t>
      </w:r>
    </w:p>
    <w:tbl>
      <w:tblPr>
        <w:tblStyle w:val="TableGrid"/>
        <w:tblW w:type="auto" w:w="0"/>
        <w:jc w:val="center"/>
        <w:tblLook w:firstColumn="1" w:firstRow="1" w:lastColumn="0" w:lastRow="0" w:noHBand="0" w:noVBand="1" w:val="04A0"/>
      </w:tblPr>
      <w:tblGrid>
        <w:gridCol w:w="3312"/>
        <w:gridCol w:w="3312"/>
        <w:gridCol w:w="3312"/>
      </w:tblGrid>
      <w:tr>
        <w:tc>
          <w:tcPr>
            <w:tcW w:type="dxa" w:w="792"/>
            <w:vAlign w:val="center"/>
          </w:tcPr>
          <w:p>
            <w:r>
              <w:rPr>
                <w:b/>
              </w:rPr>
              <w:t>Stage</w:t>
            </w:r>
          </w:p>
        </w:tc>
        <w:tc>
          <w:tcPr>
            <w:tcW w:type="dxa" w:w="5472"/>
            <w:vAlign w:val="center"/>
          </w:tcPr>
          <w:p>
            <w:r>
              <w:rPr>
                <w:b/>
              </w:rPr>
              <w:t>Added capability</w:t>
            </w:r>
          </w:p>
        </w:tc>
        <w:tc>
          <w:tcPr>
            <w:tcW w:type="dxa" w:w="4320"/>
            <w:vAlign w:val="center"/>
          </w:tcPr>
          <w:p>
            <w:r>
              <w:rPr>
                <w:b/>
              </w:rPr>
              <w:t>Demonstrating benchmark</w:t>
            </w:r>
          </w:p>
        </w:tc>
      </w:tr>
      <w:tr>
        <w:tc>
          <w:tcPr>
            <w:tcW w:type="dxa" w:w="792"/>
            <w:vAlign w:val="top"/>
          </w:tcPr>
          <w:p>
            <w:r>
              <w:t>A</w:t>
            </w:r>
          </w:p>
        </w:tc>
        <w:tc>
          <w:tcPr>
            <w:tcW w:type="dxa" w:w="5472"/>
            <w:vAlign w:val="top"/>
          </w:tcPr>
          <w:p>
            <w:r>
              <w:t>Native RMSNorm substitution with minimum optimization.</w:t>
            </w:r>
          </w:p>
        </w:tc>
        <w:tc>
          <w:tcPr>
            <w:tcW w:type="dxa" w:w="4320"/>
            <w:vAlign w:val="top"/>
          </w:tcPr>
          <w:p>
            <w:r>
              <w:t>Kernel microbenchmark and bench_one_batch correctness/performance baseline.</w:t>
            </w:r>
          </w:p>
        </w:tc>
      </w:tr>
      <w:tr>
        <w:tc>
          <w:tcPr>
            <w:tcW w:type="dxa" w:w="792"/>
            <w:vAlign w:val="top"/>
          </w:tcPr>
          <w:p>
            <w:r>
              <w:t>B</w:t>
            </w:r>
          </w:p>
        </w:tc>
        <w:tc>
          <w:tcPr>
            <w:tcW w:type="dxa" w:w="5472"/>
            <w:vAlign w:val="top"/>
          </w:tcPr>
          <w:p>
            <w:r>
              <w:t>ResidualAdd+RMSNorm, then RMSNorm+QKV or RMSNorm+QKV+RoPE fusion.</w:t>
            </w:r>
          </w:p>
        </w:tc>
        <w:tc>
          <w:tcPr>
            <w:tcW w:type="dxa" w:w="4320"/>
            <w:vAlign w:val="top"/>
          </w:tcPr>
          <w:p>
            <w:r>
              <w:t>Launch count, HBM traffic, kernel latency, register/shared-memory impact.</w:t>
            </w:r>
          </w:p>
        </w:tc>
      </w:tr>
      <w:tr>
        <w:tc>
          <w:tcPr>
            <w:tcW w:type="dxa" w:w="792"/>
            <w:vAlign w:val="top"/>
          </w:tcPr>
          <w:p>
            <w:r>
              <w:t>C</w:t>
            </w:r>
          </w:p>
        </w:tc>
        <w:tc>
          <w:tcPr>
            <w:tcW w:type="dxa" w:w="5472"/>
            <w:vAlign w:val="top"/>
          </w:tcPr>
          <w:p>
            <w:r>
              <w:t>Shape-specialized CUBIN family and dispatch table.</w:t>
            </w:r>
          </w:p>
        </w:tc>
        <w:tc>
          <w:tcPr>
            <w:tcW w:type="dxa" w:w="4320"/>
            <w:vAlign w:val="top"/>
          </w:tcPr>
          <w:p>
            <w:r>
              <w:t>Latency by prefill/decode shape bucket and offline throughput.</w:t>
            </w:r>
          </w:p>
        </w:tc>
      </w:tr>
      <w:tr>
        <w:tc>
          <w:tcPr>
            <w:tcW w:type="dxa" w:w="792"/>
            <w:vAlign w:val="top"/>
          </w:tcPr>
          <w:p>
            <w:r>
              <w:t>D</w:t>
            </w:r>
          </w:p>
        </w:tc>
        <w:tc>
          <w:tcPr>
            <w:tcW w:type="dxa" w:w="5472"/>
            <w:vAlign w:val="top"/>
          </w:tcPr>
          <w:p>
            <w:r>
              <w:t>CUDA Graph capture and replay for certified buckets.</w:t>
            </w:r>
          </w:p>
        </w:tc>
        <w:tc>
          <w:tcPr>
            <w:tcW w:type="dxa" w:w="4320"/>
            <w:vAlign w:val="top"/>
          </w:tcPr>
          <w:p>
            <w:r>
              <w:t>Short-output decode, CPU launch overhead, and tail latency.</w:t>
            </w:r>
          </w:p>
        </w:tc>
      </w:tr>
      <w:tr>
        <w:tc>
          <w:tcPr>
            <w:tcW w:type="dxa" w:w="792"/>
            <w:vAlign w:val="top"/>
          </w:tcPr>
          <w:p>
            <w:r>
              <w:t>E</w:t>
            </w:r>
          </w:p>
        </w:tc>
        <w:tc>
          <w:tcPr>
            <w:tcW w:type="dxa" w:w="5472"/>
            <w:vAlign w:val="top"/>
          </w:tcPr>
          <w:p>
            <w:r>
              <w:t>KV-aware provider selection and memory guards while retaining SGLang KV ownership.</w:t>
            </w:r>
          </w:p>
        </w:tc>
        <w:tc>
          <w:tcPr>
            <w:tcW w:type="dxa" w:w="4320"/>
            <w:vAlign w:val="top"/>
          </w:tcPr>
          <w:p>
            <w:r>
              <w:t>Long-context and shared-prefix serving benchmark.</w:t>
            </w:r>
          </w:p>
        </w:tc>
      </w:tr>
      <w:tr>
        <w:tc>
          <w:tcPr>
            <w:tcW w:type="dxa" w:w="792"/>
            <w:vAlign w:val="top"/>
          </w:tcPr>
          <w:p>
            <w:r>
              <w:t>F</w:t>
            </w:r>
          </w:p>
        </w:tc>
        <w:tc>
          <w:tcPr>
            <w:tcW w:type="dxa" w:w="5472"/>
            <w:vAlign w:val="top"/>
          </w:tcPr>
          <w:p>
            <w:r>
              <w:t>Tensor parallelism and communication plans.</w:t>
            </w:r>
          </w:p>
        </w:tc>
        <w:tc>
          <w:tcPr>
            <w:tcW w:type="dxa" w:w="4320"/>
            <w:vAlign w:val="top"/>
          </w:tcPr>
          <w:p>
            <w:r>
              <w:t>Single GPU versus TP=2 scaling, collective time, memory/GPU.</w:t>
            </w:r>
          </w:p>
        </w:tc>
      </w:tr>
      <w:tr>
        <w:tc>
          <w:tcPr>
            <w:tcW w:type="dxa" w:w="792"/>
            <w:vAlign w:val="top"/>
          </w:tcPr>
          <w:p>
            <w:r>
              <w:t>G</w:t>
            </w:r>
          </w:p>
        </w:tc>
        <w:tc>
          <w:tcPr>
            <w:tcW w:type="dxa" w:w="5472"/>
            <w:vAlign w:val="top"/>
          </w:tcPr>
          <w:p>
            <w:r>
              <w:t>Data-parallel serving.</w:t>
            </w:r>
          </w:p>
        </w:tc>
        <w:tc>
          <w:tcPr>
            <w:tcW w:type="dxa" w:w="4320"/>
            <w:vAlign w:val="top"/>
          </w:tcPr>
          <w:p>
            <w:r>
              <w:t>High-concurrency request throughput and queue balance.</w:t>
            </w:r>
          </w:p>
        </w:tc>
      </w:tr>
      <w:tr>
        <w:tc>
          <w:tcPr>
            <w:tcW w:type="dxa" w:w="792"/>
            <w:vAlign w:val="top"/>
          </w:tcPr>
          <w:p>
            <w:r>
              <w:t>H</w:t>
            </w:r>
          </w:p>
        </w:tc>
        <w:tc>
          <w:tcPr>
            <w:tcW w:type="dxa" w:w="5472"/>
            <w:vAlign w:val="top"/>
          </w:tcPr>
          <w:p>
            <w:r>
              <w:t>Prefill/decode specialization or disaggregation.</w:t>
            </w:r>
          </w:p>
        </w:tc>
        <w:tc>
          <w:tcPr>
            <w:tcW w:type="dxa" w:w="4320"/>
            <w:vAlign w:val="top"/>
          </w:tcPr>
          <w:p>
            <w:r>
              <w:t>Mixed workload TTFT, ITL, starvation, and KV transfer overhead.</w:t>
            </w:r>
          </w:p>
        </w:tc>
      </w:tr>
      <w:tr>
        <w:tc>
          <w:tcPr>
            <w:tcW w:type="dxa" w:w="792"/>
            <w:vAlign w:val="top"/>
          </w:tcPr>
          <w:p>
            <w:r>
              <w:t>I</w:t>
            </w:r>
          </w:p>
        </w:tc>
        <w:tc>
          <w:tcPr>
            <w:tcW w:type="dxa" w:w="5472"/>
            <w:vAlign w:val="top"/>
          </w:tcPr>
          <w:p>
            <w:r>
              <w:t>RL rollout and weight-version integration.</w:t>
            </w:r>
          </w:p>
        </w:tc>
        <w:tc>
          <w:tcPr>
            <w:tcW w:type="dxa" w:w="4320"/>
            <w:vAlign w:val="top"/>
          </w:tcPr>
          <w:p>
            <w:r>
              <w:t>Rollout rate, trainer starvation, reward queue, and synchronization cost.</w:t>
            </w:r>
          </w:p>
        </w:tc>
      </w:tr>
    </w:tbl>
    <w:p>
      <w:pPr>
        <w:pStyle w:val="Heading2"/>
      </w:pPr>
      <w:r>
        <w:t>13.15 Parallelization Introduction Policy</w:t>
      </w:r>
    </w:p>
    <w:p>
      <w:r>
        <w:t>Parallelization begins only after the single-GPU package, ABI, dispatch, correctness, telemetry, and host-device execution measurements in Section 13.2 are stable. Tensor parallelism is introduced first because it exercises TensorAxisMapPlanIR, CommunicationPlanIR, collective placement, local-shape evolution, multi-GPU kernel dispatch, and the CPU/GPU/NCCL execution dependencies that become visible only with more than one rank. Data parallelism follows for serving throughput. Pipeline parallelism, expert parallelism, and scale-out execution are deferred until a model and benchmark make their costs and benefits observable.</w:t>
      </w:r>
    </w:p>
    <w:p>
      <w:r>
        <w:t>Every parallelization milestone shall retain the single-GPU result as a correctness and performance reference. A change is accepted only when the benchmark demonstrates the intended gain or an explicitly documented capacity benefit, and when Chapters 11 and 13 attribute any starvation or backpressure to identifiable host-control, device-compute, collective, memory, or shared-resource stages.</w:t>
      </w:r>
    </w:p>
    <w:p>
      <w:pPr>
        <w:pStyle w:val="Heading2"/>
      </w:pPr>
      <w:r>
        <w:t>13.16 RL Rollout Extension</w:t>
      </w:r>
    </w:p>
    <w:p>
      <w:r>
        <w:t>The SGLang inference path becomes the rollout execution personality after stable inference integration. DSC shall then add policy-version contracts, rollout logprob capture, weight-synchronization plans, reward and trainer queue telemetry, and RLPipelinePlanIR. The goal is not merely high rollout GPU utilization; it is balanced policy-improvement throughput with bounded policy staleness and minimal rollout, reward, or trainer starvation.</w:t>
      </w:r>
    </w:p>
    <w:p>
      <w:pPr>
        <w:pStyle w:val="Heading2"/>
        <w:keepNext/>
      </w:pPr>
      <w:r>
        <w:t>13.17 Risks and Containment</w:t>
      </w:r>
    </w:p>
    <w:tbl>
      <w:tblPr>
        <w:tblStyle w:val="TableGrid"/>
        <w:tblW w:type="auto" w:w="0"/>
        <w:jc w:val="center"/>
        <w:tblLook w:firstColumn="1" w:firstRow="1" w:lastColumn="0" w:lastRow="0" w:noHBand="0" w:noVBand="1" w:val="04A0"/>
      </w:tblPr>
      <w:tblGrid>
        <w:gridCol w:w="4968"/>
        <w:gridCol w:w="4968"/>
      </w:tblGrid>
      <w:tr>
        <w:tc>
          <w:tcPr>
            <w:tcW w:type="dxa" w:w="2880"/>
            <w:vAlign w:val="center"/>
          </w:tcPr>
          <w:p>
            <w:r>
              <w:rPr>
                <w:b/>
              </w:rPr>
              <w:t>Risk</w:t>
            </w:r>
          </w:p>
        </w:tc>
        <w:tc>
          <w:tcPr>
            <w:tcW w:type="dxa" w:w="7200"/>
            <w:vAlign w:val="center"/>
          </w:tcPr>
          <w:p>
            <w:r>
              <w:rPr>
                <w:b/>
              </w:rPr>
              <w:t>Containment</w:t>
            </w:r>
          </w:p>
        </w:tc>
      </w:tr>
      <w:tr>
        <w:tc>
          <w:tcPr>
            <w:tcW w:type="dxa" w:w="2880"/>
            <w:vAlign w:val="top"/>
          </w:tcPr>
          <w:p>
            <w:r>
              <w:t>SGLang API/package change</w:t>
            </w:r>
          </w:p>
        </w:tc>
        <w:tc>
          <w:tcPr>
            <w:tcW w:type="dxa" w:w="7200"/>
            <w:vAlign w:val="top"/>
          </w:tcPr>
          <w:p>
            <w:r>
              <w:t>Pin exact revisions, keep the patch narrow, and isolate all coupling in the adapter.</w:t>
            </w:r>
          </w:p>
        </w:tc>
      </w:tr>
      <w:tr>
        <w:tc>
          <w:tcPr>
            <w:tcW w:type="dxa" w:w="2880"/>
            <w:vAlign w:val="top"/>
          </w:tcPr>
          <w:p>
            <w:r>
              <w:t>CUDA/PyTorch ABI mismatch</w:t>
            </w:r>
          </w:p>
        </w:tc>
        <w:tc>
          <w:tcPr>
            <w:tcW w:type="dxa" w:w="7200"/>
            <w:vAlign w:val="top"/>
          </w:tcPr>
          <w:p>
            <w:r>
              <w:t>Record toolchain and ABI identities in the manifest and reject incompatible packages at startup.</w:t>
            </w:r>
          </w:p>
        </w:tc>
      </w:tr>
      <w:tr>
        <w:tc>
          <w:tcPr>
            <w:tcW w:type="dxa" w:w="2880"/>
            <w:vAlign w:val="top"/>
          </w:tcPr>
          <w:p>
            <w:r>
              <w:t>Numerical divergence</w:t>
            </w:r>
          </w:p>
        </w:tc>
        <w:tc>
          <w:tcPr>
            <w:tcW w:type="dxa" w:w="7200"/>
            <w:vAlign w:val="top"/>
          </w:tcPr>
          <w:p>
            <w:r>
              <w:t>Begin with BF16/FP16, preserve stock fallback, and require kernel plus model-level certification.</w:t>
            </w:r>
          </w:p>
        </w:tc>
      </w:tr>
      <w:tr>
        <w:tc>
          <w:tcPr>
            <w:tcW w:type="dxa" w:w="2880"/>
            <w:vAlign w:val="top"/>
          </w:tcPr>
          <w:p>
            <w:r>
              <w:t>CUDA Graph incompatibility</w:t>
            </w:r>
          </w:p>
        </w:tc>
        <w:tc>
          <w:tcPr>
            <w:tcW w:type="dxa" w:w="7200"/>
            <w:vAlign w:val="top"/>
          </w:tcPr>
          <w:p>
            <w:r>
              <w:t>Disable graph capture during bring-up, certify it separately, and encode graph safety in the manifest.</w:t>
            </w:r>
          </w:p>
        </w:tc>
      </w:tr>
      <w:tr>
        <w:tc>
          <w:tcPr>
            <w:tcW w:type="dxa" w:w="2880"/>
            <w:vAlign w:val="top"/>
          </w:tcPr>
          <w:p>
            <w:r>
              <w:t>DSC kernel slower than stock</w:t>
            </w:r>
          </w:p>
        </w:tc>
        <w:tc>
          <w:tcPr>
            <w:tcW w:type="dxa" w:w="7200"/>
            <w:vAlign w:val="top"/>
          </w:tcPr>
          <w:p>
            <w:r>
              <w:t>Treat the first kernel as an integration proof and let PerformanceModelIR select the stock provider when better.</w:t>
            </w:r>
          </w:p>
        </w:tc>
      </w:tr>
      <w:tr>
        <w:tc>
          <w:tcPr>
            <w:tcW w:type="dxa" w:w="2880"/>
            <w:vAlign w:val="top"/>
          </w:tcPr>
          <w:p>
            <w:r>
              <w:t>Excessive fork divergence</w:t>
            </w:r>
          </w:p>
        </w:tc>
        <w:tc>
          <w:tcPr>
            <w:tcW w:type="dxa" w:w="7200"/>
            <w:vAlign w:val="top"/>
          </w:tcPr>
          <w:p>
            <w:r>
              <w:t>Generalize to a provider adapter after the prototype and upstream a stable hook when feasible.</w:t>
            </w:r>
          </w:p>
        </w:tc>
      </w:tr>
      <w:tr>
        <w:tc>
          <w:tcPr>
            <w:tcW w:type="dxa" w:w="2880"/>
            <w:vAlign w:val="top"/>
          </w:tcPr>
          <w:p>
            <w:r>
              <w:t>Opaque performance regression</w:t>
            </w:r>
          </w:p>
        </w:tc>
        <w:tc>
          <w:tcPr>
            <w:tcW w:type="dxa" w:w="7200"/>
            <w:vAlign w:val="top"/>
          </w:tcPr>
          <w:p>
            <w:r>
              <w:t>Require plan IDs, kernel IDs, resource reports, benchmark provenance, and normalized runtime telemetry.</w:t>
            </w:r>
          </w:p>
        </w:tc>
      </w:tr>
    </w:tbl>
    <w:p>
      <w:pPr>
        <w:pStyle w:val="Heading2"/>
        <w:keepNext/>
        <w:pageBreakBefore/>
      </w:pPr>
      <w:r>
        <w:t>13.18 Initial Work Packages</w:t>
      </w:r>
    </w:p>
    <w:tbl>
      <w:tblPr>
        <w:tblStyle w:val="TableGrid"/>
        <w:tblW w:type="auto" w:w="0"/>
        <w:jc w:val="center"/>
        <w:tblLook w:firstColumn="1" w:firstRow="1" w:lastColumn="0" w:lastRow="0" w:noHBand="0" w:noVBand="1" w:val="04A0"/>
      </w:tblPr>
      <w:tblGrid>
        <w:gridCol w:w="4968"/>
        <w:gridCol w:w="4968"/>
      </w:tblGrid>
      <w:tr>
        <w:tc>
          <w:tcPr>
            <w:tcW w:type="dxa" w:w="3024"/>
            <w:vAlign w:val="center"/>
          </w:tcPr>
          <w:p>
            <w:r>
              <w:rPr>
                <w:b/>
              </w:rPr>
              <w:t>Work package</w:t>
            </w:r>
          </w:p>
        </w:tc>
        <w:tc>
          <w:tcPr>
            <w:tcW w:type="dxa" w:w="7056"/>
            <w:vAlign w:val="center"/>
          </w:tcPr>
          <w:p>
            <w:r>
              <w:rPr>
                <w:b/>
              </w:rPr>
              <w:t>Primary output</w:t>
            </w:r>
          </w:p>
        </w:tc>
      </w:tr>
      <w:tr>
        <w:tc>
          <w:tcPr>
            <w:tcW w:type="dxa" w:w="3024"/>
            <w:vAlign w:val="top"/>
          </w:tcPr>
          <w:p>
            <w:r>
              <w:t>WP1: Environment and baseline</w:t>
            </w:r>
          </w:p>
        </w:tc>
        <w:tc>
          <w:tcPr>
            <w:tcW w:type="dxa" w:w="7056"/>
            <w:vAlign w:val="top"/>
          </w:tcPr>
          <w:p>
            <w:r>
              <w:t>Pinned SGLang/sglang-kernel/CUDA/PyTorch environment; stock correctness and benchmark report.</w:t>
            </w:r>
          </w:p>
        </w:tc>
      </w:tr>
      <w:tr>
        <w:tc>
          <w:tcPr>
            <w:tcW w:type="dxa" w:w="3024"/>
            <w:vAlign w:val="top"/>
          </w:tcPr>
          <w:p>
            <w:r>
              <w:t>WP2: IR and ABI</w:t>
            </w:r>
          </w:p>
        </w:tc>
        <w:tc>
          <w:tcPr>
            <w:tcW w:type="dxa" w:w="7056"/>
            <w:vAlign w:val="top"/>
          </w:tcPr>
          <w:p>
            <w:r>
              <w:t>RMSNorm SemanticIR, FusionAnalysisViewIR, DeviceKernelIR, KernelABIIR, and target description.</w:t>
            </w:r>
          </w:p>
        </w:tc>
      </w:tr>
      <w:tr>
        <w:tc>
          <w:tcPr>
            <w:tcW w:type="dxa" w:w="3024"/>
            <w:vAlign w:val="top"/>
          </w:tcPr>
          <w:p>
            <w:r>
              <w:t>WP3: Binary generation</w:t>
            </w:r>
          </w:p>
        </w:tc>
        <w:tc>
          <w:tcPr>
            <w:tcW w:type="dxa" w:w="7056"/>
            <w:vAlign w:val="top"/>
          </w:tcPr>
          <w:p>
            <w:r>
              <w:t>CUDA C++ bootstrap and/or native PTX path producing CUBIN according to Appendix J.</w:t>
            </w:r>
          </w:p>
        </w:tc>
      </w:tr>
      <w:tr>
        <w:tc>
          <w:tcPr>
            <w:tcW w:type="dxa" w:w="3024"/>
            <w:vAlign w:val="top"/>
          </w:tcPr>
          <w:p>
            <w:r>
              <w:t>WP4: Package and loader</w:t>
            </w:r>
          </w:p>
        </w:tc>
        <w:tc>
          <w:tcPr>
            <w:tcW w:type="dxa" w:w="7056"/>
            <w:vAlign w:val="top"/>
          </w:tcPr>
          <w:p>
            <w:r>
              <w:t>Shared library, manifest, module loader, cached function handles, launch wrapper, and fallback.</w:t>
            </w:r>
          </w:p>
        </w:tc>
      </w:tr>
      <w:tr>
        <w:tc>
          <w:tcPr>
            <w:tcW w:type="dxa" w:w="3024"/>
            <w:vAlign w:val="top"/>
          </w:tcPr>
          <w:p>
            <w:r>
              <w:t>WP5: SGLang hook</w:t>
            </w:r>
          </w:p>
        </w:tc>
        <w:tc>
          <w:tcPr>
            <w:tcW w:type="dxa" w:w="7056"/>
            <w:vAlign w:val="top"/>
          </w:tcPr>
          <w:p>
            <w:r>
              <w:t>Package discovery, one operation binding, configuration, telemetry, and minimal local patch.</w:t>
            </w:r>
          </w:p>
        </w:tc>
      </w:tr>
      <w:tr>
        <w:tc>
          <w:tcPr>
            <w:tcW w:type="dxa" w:w="3024"/>
            <w:vAlign w:val="top"/>
          </w:tcPr>
          <w:p>
            <w:r>
              <w:t>WP6: Verification</w:t>
            </w:r>
          </w:p>
        </w:tc>
        <w:tc>
          <w:tcPr>
            <w:tcW w:type="dxa" w:w="7056"/>
            <w:vAlign w:val="top"/>
          </w:tcPr>
          <w:p>
            <w:r>
              <w:t>Kernel tests, model equivalence, memory/stream checks, and certification record.</w:t>
            </w:r>
          </w:p>
        </w:tc>
      </w:tr>
      <w:tr>
        <w:tc>
          <w:tcPr>
            <w:tcW w:type="dxa" w:w="3024"/>
            <w:vAlign w:val="top"/>
          </w:tcPr>
          <w:p>
            <w:r>
              <w:t>WP7: Benchmark and feedback</w:t>
            </w:r>
          </w:p>
        </w:tc>
        <w:tc>
          <w:tcPr>
            <w:tcW w:type="dxa" w:w="7056"/>
            <w:vAlign w:val="top"/>
          </w:tcPr>
          <w:p>
            <w:r>
              <w:t>Three-level benchmark results, PerformanceObservationIR, and initial model calibration.</w:t>
            </w:r>
          </w:p>
        </w:tc>
      </w:tr>
      <w:tr>
        <w:tc>
          <w:tcPr>
            <w:tcW w:type="dxa" w:w="3024"/>
            <w:vAlign w:val="top"/>
          </w:tcPr>
          <w:p>
            <w:r>
              <w:t>WP8: First optimization</w:t>
            </w:r>
          </w:p>
        </w:tc>
        <w:tc>
          <w:tcPr>
            <w:tcW w:type="dxa" w:w="7056"/>
            <w:vAlign w:val="top"/>
          </w:tcPr>
          <w:p>
            <w:r>
              <w:t>ResidualAdd+RMSNorm fusion or shape specialization with demonstrated gain.</w:t>
            </w:r>
          </w:p>
        </w:tc>
      </w:tr>
    </w:tbl>
    <w:p>
      <w:pPr>
        <w:pStyle w:val="Heading2"/>
      </w:pPr>
      <w:r>
        <w:t>13.19 Final Architectural Rule</w:t>
      </w:r>
    </w:p>
    <w:p>
      <w:pPr>
        <w:pStyle w:val="CodeBlock"/>
      </w:pPr>
      <w:r>
        <w:t>Chapter 13 rule:</w:t>
        <w:br/>
        <w:t xml:space="preserve">  Start with one persistent SGLang server and one DSC-owned native kernel.</w:t>
        <w:br/>
        <w:t xml:space="preserve">  Treat decode execution as a host-control + GPU-compute + NCCL/fabric pipeline, not as GPU kernels alone.</w:t>
        <w:br/>
        <w:t xml:space="preserve">  Compile and package before serving; load once at server initialization.</w:t>
        <w:br/>
        <w:t xml:space="preserve">  Keep the stock SGLang implementation as a certified fallback.</w:t>
        <w:br/>
        <w:t xml:space="preserve">  Prefer stream/event dependencies over blocking host synchronization in steady state.</w:t>
        <w:br/>
        <w:t xml:space="preserve">  Measure host scheduling, GPU compute, collective communication, and host observation separately.</w:t>
        <w:br/>
        <w:t xml:space="preserve">  Prove correctness and observability before optimization.</w:t>
        <w:br/>
        <w:t xml:space="preserve">  Add one optimization or parallelization dimension at a time.</w:t>
        <w:br/>
        <w:t xml:space="preserve">  Select providers and plans using measured, confidence-qualified performance facts.</w:t>
        <w:br/>
        <w:t xml:space="preserve">  Use Appendix J as the required implementation specification for PTX, CUBIN, ABI, binary validation, packaging, and loading.</w:t>
      </w:r>
    </w:p>
    <w:p>
      <w:pPr>
        <w:pStyle w:val="Heading1"/>
        <w:pageBreakBefore/>
      </w:pPr>
      <w:r>
        <w:t>Appendix A. Gatekeeper Construction Proposal: From Pretrained Import to Inference Certification</w:t>
      </w:r>
    </w:p>
    <w:p>
      <w:pPr>
        <w:pStyle w:val="Heading2"/>
      </w:pPr>
      <w:r>
        <w:t>A.1 Purpose and Scope</w:t>
      </w:r>
    </w:p>
    <w:p>
      <w:r>
        <w:t>This appendix consolidates the gatekeeper construction proposal for the two most important lifecycle transitions in the Transformer domain: the transition from a pretrained model into RL-based post-training, and the transition from a post-trained model into inference deployment. The same compiler-centered gatekeeper infrastructure should be reused for both transitions, but each gate should apply a different phase-specific contract.</w:t>
      </w:r>
    </w:p>
    <w:p>
      <w:r>
        <w:t>The compiler should not treat a model checkpoint as a complete source of truth. A checkpoint is an observable artifact containing tensor values and partial metadata. The compiler must extract what is declared, infer what is structural, verify what can be tested, and require explicit manifests for semantics that are not observable from the model itself.</w:t>
      </w:r>
    </w:p>
    <w:p>
      <w:pPr>
        <w:pStyle w:val="Heading2"/>
      </w:pPr>
      <w:r>
        <w:t>A.2 Two-Gate Lifecycle Model</w:t>
      </w:r>
    </w:p>
    <w:p>
      <w:r>
        <w:t>The proposed gatekeeper model has two explicit gates:</w:t>
      </w:r>
    </w:p>
    <w:p>
      <w:pPr>
        <w:pStyle w:val="CodeBlock"/>
      </w:pPr>
      <w:r>
        <w:rPr>
          <w:rFonts w:ascii="Consolas" w:hAnsi="Consolas" w:eastAsia="Consolas"/>
          <w:sz w:val="17"/>
        </w:rPr>
        <w:t>Gate 1: Pretrained model  -&gt; RL post-training readiness</w:t>
        <w:br/>
        <w:t>Gate 2: Post-trained model -&gt; inference deployment readiness</w:t>
      </w:r>
    </w:p>
    <w:p>
      <w:r>
        <w:t>Gate 1 protects RL post-training from starting with an incomplete or incompatible pretrained-model contract. Gate 2 protects inference from serving a post-trained model whose runtime behavior no longer matches the rollout behavior that the RL process optimized.</w:t>
      </w:r>
    </w:p>
    <w:tbl>
      <w:tblPr>
        <w:tblStyle w:val="TableGrid"/>
        <w:tblW w:type="auto" w:w="0"/>
        <w:jc w:val="center"/>
        <w:tblLook w:firstColumn="1" w:firstRow="1" w:lastColumn="0" w:lastRow="0" w:noHBand="0" w:noVBand="1" w:val="04A0"/>
      </w:tblPr>
      <w:tblGrid>
        <w:gridCol w:w="2484"/>
        <w:gridCol w:w="2484"/>
        <w:gridCol w:w="2484"/>
        <w:gridCol w:w="2484"/>
      </w:tblGrid>
      <w:tr>
        <w:trPr>
          <w:cantSplit/>
          <w:tblHeader/>
          <w:cantSplit/>
          <w:tblHeader w:val="true"/>
        </w:trPr>
        <w:tc>
          <w:tcPr>
            <w:tcW w:type="dxa" w:w="2484"/>
            <w:shd w:fill="D9EAF7"/>
            <w:vAlign w:val="top"/>
          </w:tcPr>
          <w:p>
            <w:pPr>
              <w:spacing w:after="0" w:before="0"/>
            </w:pPr>
            <w:r>
              <w:rPr>
                <w:sz w:val="18"/>
              </w:rPr>
            </w:r>
            <w:r>
              <w:rPr>
                <w:b/>
                <w:sz w:val="18"/>
              </w:rPr>
              <w:t>Gate</w:t>
            </w:r>
          </w:p>
        </w:tc>
        <w:tc>
          <w:tcPr>
            <w:tcW w:type="dxa" w:w="2484"/>
            <w:shd w:fill="D9EAF7"/>
            <w:vAlign w:val="top"/>
          </w:tcPr>
          <w:p>
            <w:pPr>
              <w:spacing w:after="0" w:before="0"/>
            </w:pPr>
            <w:r>
              <w:rPr>
                <w:sz w:val="18"/>
              </w:rPr>
            </w:r>
            <w:r>
              <w:rPr>
                <w:b/>
                <w:sz w:val="18"/>
              </w:rPr>
              <w:t>Input</w:t>
            </w:r>
          </w:p>
        </w:tc>
        <w:tc>
          <w:tcPr>
            <w:tcW w:type="dxa" w:w="2484"/>
            <w:shd w:fill="D9EAF7"/>
            <w:vAlign w:val="top"/>
          </w:tcPr>
          <w:p>
            <w:pPr>
              <w:spacing w:after="0" w:before="0"/>
            </w:pPr>
            <w:r>
              <w:rPr>
                <w:sz w:val="18"/>
              </w:rPr>
            </w:r>
            <w:r>
              <w:rPr>
                <w:b/>
                <w:sz w:val="18"/>
              </w:rPr>
              <w:t>Primary Question</w:t>
            </w:r>
          </w:p>
        </w:tc>
        <w:tc>
          <w:tcPr>
            <w:tcW w:type="dxa" w:w="2484"/>
            <w:shd w:fill="D9EAF7"/>
            <w:vAlign w:val="top"/>
          </w:tcPr>
          <w:p>
            <w:pPr>
              <w:spacing w:after="0" w:before="0"/>
            </w:pPr>
            <w:r>
              <w:rPr>
                <w:sz w:val="18"/>
              </w:rPr>
            </w:r>
            <w:r>
              <w:rPr>
                <w:b/>
                <w:sz w:val="18"/>
              </w:rPr>
              <w:t>Representative Checks</w:t>
            </w:r>
          </w:p>
        </w:tc>
      </w:tr>
      <w:tr>
        <w:trPr>
          <w:cantSplit/>
          <w:cantSplit/>
        </w:trPr>
        <w:tc>
          <w:tcPr>
            <w:tcW w:type="dxa" w:w="2484"/>
            <w:vAlign w:val="top"/>
          </w:tcPr>
          <w:p>
            <w:pPr>
              <w:spacing w:after="0" w:before="0"/>
            </w:pPr>
            <w:r>
              <w:rPr>
                <w:sz w:val="18"/>
              </w:rPr>
            </w:r>
            <w:r>
              <w:rPr>
                <w:b w:val="0"/>
                <w:sz w:val="18"/>
              </w:rPr>
              <w:t>Gate 1: RL-start gate</w:t>
            </w:r>
          </w:p>
        </w:tc>
        <w:tc>
          <w:tcPr>
            <w:tcW w:type="dxa" w:w="2484"/>
            <w:vAlign w:val="top"/>
          </w:tcPr>
          <w:p>
            <w:pPr>
              <w:spacing w:after="0" w:before="0"/>
            </w:pPr>
            <w:r>
              <w:rPr>
                <w:sz w:val="18"/>
              </w:rPr>
            </w:r>
            <w:r>
              <w:rPr>
                <w:b w:val="0"/>
                <w:sz w:val="18"/>
              </w:rPr>
              <w:t>Pretrained checkpoint, tokenizer, pretraining contract, model configuration, attention/state contract</w:t>
            </w:r>
          </w:p>
        </w:tc>
        <w:tc>
          <w:tcPr>
            <w:tcW w:type="dxa" w:w="2484"/>
            <w:vAlign w:val="top"/>
          </w:tcPr>
          <w:p>
            <w:pPr>
              <w:spacing w:after="0" w:before="0"/>
            </w:pPr>
            <w:r>
              <w:rPr>
                <w:sz w:val="18"/>
              </w:rPr>
            </w:r>
            <w:r>
              <w:rPr>
                <w:b w:val="0"/>
                <w:sz w:val="18"/>
              </w:rPr>
              <w:t>Can this pretrained model safely enter RL post-training?</w:t>
            </w:r>
          </w:p>
        </w:tc>
        <w:tc>
          <w:tcPr>
            <w:tcW w:type="dxa" w:w="2484"/>
            <w:vAlign w:val="top"/>
          </w:tcPr>
          <w:p>
            <w:pPr>
              <w:spacing w:after="0" w:before="0"/>
            </w:pPr>
            <w:r>
              <w:rPr>
                <w:sz w:val="18"/>
              </w:rPr>
            </w:r>
            <w:r>
              <w:rPr>
                <w:b w:val="0"/>
                <w:sz w:val="18"/>
              </w:rPr>
              <w:t>Architecture compatibility; checkpoint tensor compatibility; tokenizer ABI; position encoding; attention or linear-attention semantics; RL rollout readiness; logprob support; missing-contract report</w:t>
            </w:r>
          </w:p>
        </w:tc>
      </w:tr>
      <w:tr>
        <w:trPr>
          <w:cantSplit/>
          <w:cantSplit/>
        </w:trPr>
        <w:tc>
          <w:tcPr>
            <w:tcW w:type="dxa" w:w="2484"/>
            <w:vAlign w:val="top"/>
          </w:tcPr>
          <w:p>
            <w:pPr>
              <w:spacing w:after="0" w:before="0"/>
            </w:pPr>
            <w:r>
              <w:rPr>
                <w:sz w:val="18"/>
              </w:rPr>
            </w:r>
            <w:r>
              <w:rPr>
                <w:b w:val="0"/>
                <w:sz w:val="18"/>
              </w:rPr>
              <w:t>Gate 2: Inference-start gate</w:t>
            </w:r>
          </w:p>
        </w:tc>
        <w:tc>
          <w:tcPr>
            <w:tcW w:type="dxa" w:w="2484"/>
            <w:vAlign w:val="top"/>
          </w:tcPr>
          <w:p>
            <w:pPr>
              <w:spacing w:after="0" w:before="0"/>
            </w:pPr>
            <w:r>
              <w:rPr>
                <w:sz w:val="18"/>
              </w:rPr>
            </w:r>
            <w:r>
              <w:rPr>
                <w:b w:val="0"/>
                <w:sz w:val="18"/>
              </w:rPr>
              <w:t>Post-trained checkpoint, RL rollout contract, tokenizer/chat template, generation configuration, runtime deployment configuration, SGLang backend configuration</w:t>
            </w:r>
          </w:p>
        </w:tc>
        <w:tc>
          <w:tcPr>
            <w:tcW w:type="dxa" w:w="2484"/>
            <w:vAlign w:val="top"/>
          </w:tcPr>
          <w:p>
            <w:pPr>
              <w:spacing w:after="0" w:before="0"/>
            </w:pPr>
            <w:r>
              <w:rPr>
                <w:sz w:val="18"/>
              </w:rPr>
            </w:r>
            <w:r>
              <w:rPr>
                <w:b w:val="0"/>
                <w:sz w:val="18"/>
              </w:rPr>
              <w:t>Can this post-trained model be safely served by the inference system?</w:t>
            </w:r>
          </w:p>
        </w:tc>
        <w:tc>
          <w:tcPr>
            <w:tcW w:type="dxa" w:w="2484"/>
            <w:vAlign w:val="top"/>
          </w:tcPr>
          <w:p>
            <w:pPr>
              <w:spacing w:after="0" w:before="0"/>
            </w:pPr>
            <w:r>
              <w:rPr>
                <w:sz w:val="18"/>
              </w:rPr>
            </w:r>
            <w:r>
              <w:rPr>
                <w:b w:val="0"/>
                <w:sz w:val="18"/>
              </w:rPr>
              <w:t>Checkpoint loadability; rollout-vs-inference token/logit/logprob equivalence; runtime-state correctness; KV cache or linear-attention state verification; backend capability; quantization drift; memory and context-length constraints</w:t>
            </w:r>
          </w:p>
        </w:tc>
      </w:tr>
    </w:tbl>
    <w:p>
      <w:pPr>
        <w:pStyle w:val="Caption"/>
      </w:pPr>
      <w:r>
        <w:t>Table A.1. Two compiler gatekeeper transitions.</w:t>
      </w:r>
    </w:p>
    <w:p>
      <w:pPr>
        <w:pStyle w:val="Heading2"/>
      </w:pPr>
      <w:r>
        <w:t>A.3 Gate 1: Pretrained Model Import for RL Post-Training Readiness</w:t>
      </w:r>
    </w:p>
    <w:p>
      <w:r>
        <w:t>When RL post-training begins, the compiler should run an import-and-certification pass over the pretrained model artifact. The goal is to produce a certified RL-start package, not merely to determine whether the checkpoint can be loaded by a framework.</w:t>
      </w:r>
    </w:p>
    <w:p>
      <w:r>
        <w:t>The import pass should inspect common model artifacts such as configuration files, tokenizer files, checkpoint shards, safetensors metadata, generation defaults, model cards, and any provided custom model code. It should then construct the Model Semantic IR, Tokenizer Contract IR, Checkpoint Mapping IR, Attention Runtime State IR, and RL Readiness Contract.</w:t>
      </w:r>
    </w:p>
    <w:p>
      <w:pPr>
        <w:pStyle w:val="Heading3"/>
      </w:pPr>
      <w:r>
        <w:t>A.3.1 Information the Compiler Can Extract Directly</w:t>
      </w:r>
    </w:p>
    <w:p>
      <w:pPr>
        <w:pStyle w:val="ListBullet"/>
      </w:pPr>
      <w:r>
        <w:t>Model architecture fields declared in configuration files: model type, layer count, hidden size, head count, KV-head count, intermediate size, normalization epsilon, activation function, vocabulary size, maximum position, and position-encoding fields when present.</w:t>
      </w:r>
    </w:p>
    <w:p>
      <w:pPr>
        <w:pStyle w:val="ListBullet"/>
      </w:pPr>
      <w:r>
        <w:t>Tokenizer ABI fields: vocabulary, tokenizer model or BPE merges, special-token IDs, BOS/EOS/PAD behavior, tokenizer configuration, and chat template when present.</w:t>
      </w:r>
    </w:p>
    <w:p>
      <w:pPr>
        <w:pStyle w:val="ListBullet"/>
      </w:pPr>
      <w:r>
        <w:t>Checkpoint tensor metadata: tensor names, shapes, dtypes, shard indexes, byte offsets, and sometimes quantization metadata.</w:t>
      </w:r>
    </w:p>
    <w:p>
      <w:pPr>
        <w:pStyle w:val="ListBullet"/>
      </w:pPr>
      <w:r>
        <w:t>Generation defaults: max tokens, temperature, top-p, top-k, stop/eos settings, cache-use defaults, and other decoding controls when included in the package.</w:t>
      </w:r>
    </w:p>
    <w:p>
      <w:pPr>
        <w:pStyle w:val="ListBullet"/>
      </w:pPr>
      <w:r>
        <w:t>Some framework-origin signals: Megatron-style naming, Hugging Face-style naming, fused QKV layout, sharded checkpoint pattern, and tensor-parallel partitioning.</w:t>
      </w:r>
    </w:p>
    <w:p>
      <w:pPr>
        <w:pStyle w:val="Heading3"/>
      </w:pPr>
      <w:r>
        <w:t>A.3.2 Information the Compiler Can Infer but Should Mark as Derived</w:t>
      </w:r>
    </w:p>
    <w:p>
      <w:r>
        <w:t>Some facts are inferable from tensor shapes and names, but should not be treated as authoritative declarations. The compiler should mark them as derived and assign confidence levels.</w:t>
      </w:r>
    </w:p>
    <w:p>
      <w:pPr>
        <w:pStyle w:val="ListBullet"/>
      </w:pPr>
      <w:r>
        <w:t>Layer count inferred from repeated layer tensor groups.</w:t>
      </w:r>
    </w:p>
    <w:p>
      <w:pPr>
        <w:pStyle w:val="ListBullet"/>
      </w:pPr>
      <w:r>
        <w:t>Hidden size inferred from projection and embedding tensor dimensions.</w:t>
      </w:r>
    </w:p>
    <w:p>
      <w:pPr>
        <w:pStyle w:val="ListBullet"/>
      </w:pPr>
      <w:r>
        <w:t>MLP expansion size inferred from up/gate/down projection tensors.</w:t>
      </w:r>
    </w:p>
    <w:p>
      <w:pPr>
        <w:pStyle w:val="ListBullet"/>
      </w:pPr>
      <w:r>
        <w:t>GQA or MQA structure inferred from the ratio between query projection width and KV projection width.</w:t>
      </w:r>
    </w:p>
    <w:p>
      <w:pPr>
        <w:pStyle w:val="ListBullet"/>
      </w:pPr>
      <w:r>
        <w:t>Fused versus split QKV layout inferred from tensor names and shapes.</w:t>
      </w:r>
    </w:p>
    <w:p>
      <w:pPr>
        <w:pStyle w:val="ListBullet"/>
      </w:pPr>
      <w:r>
        <w:t>Tensor-parallel shard axis inferred from shard shapes and naming conventions.</w:t>
      </w:r>
    </w:p>
    <w:p>
      <w:pPr>
        <w:pStyle w:val="ListBullet"/>
      </w:pPr>
      <w:r>
        <w:t>Weight tying inferred by comparing embedding and LM-head tensors or explicit tying metadata.</w:t>
      </w:r>
    </w:p>
    <w:p>
      <w:r>
        <w:t>Derived facts should be used to assist import, but they should be verified against declared contracts or golden tests before the gate passes.</w:t>
      </w:r>
    </w:p>
    <w:p>
      <w:pPr>
        <w:pStyle w:val="Heading3"/>
      </w:pPr>
      <w:r>
        <w:t>A.3.3 Information Usually Missing from the Model Artifact</w:t>
      </w:r>
    </w:p>
    <w:p>
      <w:r>
        <w:t>A checkpoint is not a complete domain contract. Important pretraining information is usually absent or only partially documented.</w:t>
      </w:r>
    </w:p>
    <w:tbl>
      <w:tblPr>
        <w:tblStyle w:val="TableGrid"/>
        <w:tblW w:type="auto" w:w="0"/>
        <w:jc w:val="center"/>
        <w:tblLook w:firstColumn="1" w:firstRow="1" w:lastColumn="0" w:lastRow="0" w:noHBand="0" w:noVBand="1" w:val="04A0"/>
      </w:tblPr>
      <w:tblGrid>
        <w:gridCol w:w="3312"/>
        <w:gridCol w:w="3312"/>
        <w:gridCol w:w="3312"/>
      </w:tblGrid>
      <w:tr>
        <w:trPr>
          <w:cantSplit/>
          <w:tblHeader/>
          <w:cantSplit/>
          <w:tblHeader w:val="true"/>
        </w:trPr>
        <w:tc>
          <w:tcPr>
            <w:tcW w:type="dxa" w:w="3312"/>
            <w:shd w:fill="D9EAF7"/>
            <w:vAlign w:val="top"/>
          </w:tcPr>
          <w:p>
            <w:pPr>
              <w:spacing w:after="0" w:before="0"/>
            </w:pPr>
            <w:r>
              <w:rPr>
                <w:sz w:val="18"/>
              </w:rPr>
            </w:r>
            <w:r>
              <w:rPr>
                <w:b/>
                <w:sz w:val="18"/>
              </w:rPr>
              <w:t>Missing Information</w:t>
            </w:r>
          </w:p>
        </w:tc>
        <w:tc>
          <w:tcPr>
            <w:tcW w:type="dxa" w:w="3312"/>
            <w:shd w:fill="D9EAF7"/>
            <w:vAlign w:val="top"/>
          </w:tcPr>
          <w:p>
            <w:pPr>
              <w:spacing w:after="0" w:before="0"/>
            </w:pPr>
            <w:r>
              <w:rPr>
                <w:sz w:val="18"/>
              </w:rPr>
            </w:r>
            <w:r>
              <w:rPr>
                <w:b/>
                <w:sz w:val="18"/>
              </w:rPr>
              <w:t>Why It Matters for RL Post-Training</w:t>
            </w:r>
          </w:p>
        </w:tc>
        <w:tc>
          <w:tcPr>
            <w:tcW w:type="dxa" w:w="3312"/>
            <w:shd w:fill="D9EAF7"/>
            <w:vAlign w:val="top"/>
          </w:tcPr>
          <w:p>
            <w:pPr>
              <w:spacing w:after="0" w:before="0"/>
            </w:pPr>
            <w:r>
              <w:rPr>
                <w:sz w:val="18"/>
              </w:rPr>
            </w:r>
            <w:r>
              <w:rPr>
                <w:b/>
                <w:sz w:val="18"/>
              </w:rPr>
              <w:t>Gatekeeper Action</w:t>
            </w:r>
          </w:p>
        </w:tc>
      </w:tr>
      <w:tr>
        <w:trPr>
          <w:cantSplit/>
          <w:cantSplit/>
        </w:trPr>
        <w:tc>
          <w:tcPr>
            <w:tcW w:type="dxa" w:w="3312"/>
            <w:vAlign w:val="top"/>
          </w:tcPr>
          <w:p>
            <w:pPr>
              <w:spacing w:after="0" w:before="0"/>
            </w:pPr>
            <w:r>
              <w:rPr>
                <w:sz w:val="18"/>
              </w:rPr>
            </w:r>
            <w:r>
              <w:rPr>
                <w:b w:val="0"/>
                <w:sz w:val="18"/>
              </w:rPr>
              <w:t>Pretraining data mixture and filtering policy</w:t>
            </w:r>
          </w:p>
        </w:tc>
        <w:tc>
          <w:tcPr>
            <w:tcW w:type="dxa" w:w="3312"/>
            <w:vAlign w:val="top"/>
          </w:tcPr>
          <w:p>
            <w:pPr>
              <w:spacing w:after="0" w:before="0"/>
            </w:pPr>
            <w:r>
              <w:rPr>
                <w:sz w:val="18"/>
              </w:rPr>
            </w:r>
            <w:r>
              <w:rPr>
                <w:b w:val="0"/>
                <w:sz w:val="18"/>
              </w:rPr>
              <w:t>Affects model behavior, safety profile, contamination risk, and RL data design.</w:t>
            </w:r>
          </w:p>
        </w:tc>
        <w:tc>
          <w:tcPr>
            <w:tcW w:type="dxa" w:w="3312"/>
            <w:vAlign w:val="top"/>
          </w:tcPr>
          <w:p>
            <w:pPr>
              <w:spacing w:after="0" w:before="0"/>
            </w:pPr>
            <w:r>
              <w:rPr>
                <w:sz w:val="18"/>
              </w:rPr>
            </w:r>
            <w:r>
              <w:rPr>
                <w:b w:val="0"/>
                <w:sz w:val="18"/>
              </w:rPr>
              <w:t>Require provenance note or model card. Mark unavailable if not supplied; do not infer from weights.</w:t>
            </w:r>
          </w:p>
        </w:tc>
      </w:tr>
      <w:tr>
        <w:trPr>
          <w:cantSplit/>
          <w:cantSplit/>
        </w:trPr>
        <w:tc>
          <w:tcPr>
            <w:tcW w:type="dxa" w:w="3312"/>
            <w:vAlign w:val="top"/>
          </w:tcPr>
          <w:p>
            <w:pPr>
              <w:spacing w:after="0" w:before="0"/>
            </w:pPr>
            <w:r>
              <w:rPr>
                <w:sz w:val="18"/>
              </w:rPr>
            </w:r>
            <w:r>
              <w:rPr>
                <w:b w:val="0"/>
                <w:sz w:val="18"/>
              </w:rPr>
              <w:t>Exact training objective and loss details</w:t>
            </w:r>
          </w:p>
        </w:tc>
        <w:tc>
          <w:tcPr>
            <w:tcW w:type="dxa" w:w="3312"/>
            <w:vAlign w:val="top"/>
          </w:tcPr>
          <w:p>
            <w:pPr>
              <w:spacing w:after="0" w:before="0"/>
            </w:pPr>
            <w:r>
              <w:rPr>
                <w:sz w:val="18"/>
              </w:rPr>
            </w:r>
            <w:r>
              <w:rPr>
                <w:b w:val="0"/>
                <w:sz w:val="18"/>
              </w:rPr>
              <w:t>Usually next-token prediction, but auxiliary losses, masking rules, or special objectives may affect continuation.</w:t>
            </w:r>
          </w:p>
        </w:tc>
        <w:tc>
          <w:tcPr>
            <w:tcW w:type="dxa" w:w="3312"/>
            <w:vAlign w:val="top"/>
          </w:tcPr>
          <w:p>
            <w:pPr>
              <w:spacing w:after="0" w:before="0"/>
            </w:pPr>
            <w:r>
              <w:rPr>
                <w:sz w:val="18"/>
              </w:rPr>
            </w:r>
            <w:r>
              <w:rPr>
                <w:b w:val="0"/>
                <w:sz w:val="18"/>
              </w:rPr>
              <w:t>Require manifest if nonstandard; otherwise mark as assumed standard.</w:t>
            </w:r>
          </w:p>
        </w:tc>
      </w:tr>
      <w:tr>
        <w:trPr>
          <w:cantSplit/>
          <w:cantSplit/>
        </w:trPr>
        <w:tc>
          <w:tcPr>
            <w:tcW w:type="dxa" w:w="3312"/>
            <w:vAlign w:val="top"/>
          </w:tcPr>
          <w:p>
            <w:pPr>
              <w:spacing w:after="0" w:before="0"/>
            </w:pPr>
            <w:r>
              <w:rPr>
                <w:sz w:val="18"/>
              </w:rPr>
            </w:r>
            <w:r>
              <w:rPr>
                <w:b w:val="0"/>
                <w:sz w:val="18"/>
              </w:rPr>
              <w:t>Optimizer state, LR schedule, precision schedule</w:t>
            </w:r>
          </w:p>
        </w:tc>
        <w:tc>
          <w:tcPr>
            <w:tcW w:type="dxa" w:w="3312"/>
            <w:vAlign w:val="top"/>
          </w:tcPr>
          <w:p>
            <w:pPr>
              <w:spacing w:after="0" w:before="0"/>
            </w:pPr>
            <w:r>
              <w:rPr>
                <w:sz w:val="18"/>
              </w:rPr>
            </w:r>
            <w:r>
              <w:rPr>
                <w:b w:val="0"/>
                <w:sz w:val="18"/>
              </w:rPr>
              <w:t>Relevant if continuing training from optimizer state or reproducing stability conditions.</w:t>
            </w:r>
          </w:p>
        </w:tc>
        <w:tc>
          <w:tcPr>
            <w:tcW w:type="dxa" w:w="3312"/>
            <w:vAlign w:val="top"/>
          </w:tcPr>
          <w:p>
            <w:pPr>
              <w:spacing w:after="0" w:before="0"/>
            </w:pPr>
            <w:r>
              <w:rPr>
                <w:sz w:val="18"/>
              </w:rPr>
            </w:r>
            <w:r>
              <w:rPr>
                <w:b w:val="0"/>
                <w:sz w:val="18"/>
              </w:rPr>
              <w:t>Require only if optimizer continuation is requested.</w:t>
            </w:r>
          </w:p>
        </w:tc>
      </w:tr>
      <w:tr>
        <w:trPr>
          <w:cantSplit/>
          <w:cantSplit/>
        </w:trPr>
        <w:tc>
          <w:tcPr>
            <w:tcW w:type="dxa" w:w="3312"/>
            <w:vAlign w:val="top"/>
          </w:tcPr>
          <w:p>
            <w:pPr>
              <w:spacing w:after="0" w:before="0"/>
            </w:pPr>
            <w:r>
              <w:rPr>
                <w:sz w:val="18"/>
              </w:rPr>
            </w:r>
            <w:r>
              <w:rPr>
                <w:b w:val="0"/>
                <w:sz w:val="18"/>
              </w:rPr>
              <w:t>Framework-specific custom semantics</w:t>
            </w:r>
          </w:p>
        </w:tc>
        <w:tc>
          <w:tcPr>
            <w:tcW w:type="dxa" w:w="3312"/>
            <w:vAlign w:val="top"/>
          </w:tcPr>
          <w:p>
            <w:pPr>
              <w:spacing w:after="0" w:before="0"/>
            </w:pPr>
            <w:r>
              <w:rPr>
                <w:sz w:val="18"/>
              </w:rPr>
            </w:r>
            <w:r>
              <w:rPr>
                <w:b w:val="0"/>
                <w:sz w:val="18"/>
              </w:rPr>
              <w:t>Custom kernels, attention variants, normalization rules, or checkpoint layouts may not be recoverable from tensors alone.</w:t>
            </w:r>
          </w:p>
        </w:tc>
        <w:tc>
          <w:tcPr>
            <w:tcW w:type="dxa" w:w="3312"/>
            <w:vAlign w:val="top"/>
          </w:tcPr>
          <w:p>
            <w:pPr>
              <w:spacing w:after="0" w:before="0"/>
            </w:pPr>
            <w:r>
              <w:rPr>
                <w:sz w:val="18"/>
              </w:rPr>
            </w:r>
            <w:r>
              <w:rPr>
                <w:b w:val="0"/>
                <w:sz w:val="18"/>
              </w:rPr>
              <w:t>Require model implementation reference or contract manifest.</w:t>
            </w:r>
          </w:p>
        </w:tc>
      </w:tr>
      <w:tr>
        <w:trPr>
          <w:cantSplit/>
          <w:cantSplit/>
        </w:trPr>
        <w:tc>
          <w:tcPr>
            <w:tcW w:type="dxa" w:w="3312"/>
            <w:vAlign w:val="top"/>
          </w:tcPr>
          <w:p>
            <w:pPr>
              <w:spacing w:after="0" w:before="0"/>
            </w:pPr>
            <w:r>
              <w:rPr>
                <w:sz w:val="18"/>
              </w:rPr>
            </w:r>
            <w:r>
              <w:rPr>
                <w:b w:val="0"/>
                <w:sz w:val="18"/>
              </w:rPr>
              <w:t>Linear-attention state update rule</w:t>
            </w:r>
          </w:p>
        </w:tc>
        <w:tc>
          <w:tcPr>
            <w:tcW w:type="dxa" w:w="3312"/>
            <w:vAlign w:val="top"/>
          </w:tcPr>
          <w:p>
            <w:pPr>
              <w:spacing w:after="0" w:before="0"/>
            </w:pPr>
            <w:r>
              <w:rPr>
                <w:sz w:val="18"/>
              </w:rPr>
            </w:r>
            <w:r>
              <w:rPr>
                <w:b w:val="0"/>
                <w:sz w:val="18"/>
              </w:rPr>
              <w:t>Critical for rollout/inference equivalence; not recoverable from shape alone.</w:t>
            </w:r>
          </w:p>
        </w:tc>
        <w:tc>
          <w:tcPr>
            <w:tcW w:type="dxa" w:w="3312"/>
            <w:vAlign w:val="top"/>
          </w:tcPr>
          <w:p>
            <w:pPr>
              <w:spacing w:after="0" w:before="0"/>
            </w:pPr>
            <w:r>
              <w:rPr>
                <w:sz w:val="18"/>
              </w:rPr>
            </w:r>
            <w:r>
              <w:rPr>
                <w:b w:val="0"/>
                <w:sz w:val="18"/>
              </w:rPr>
              <w:t>Require LinearAttentionStateContract; fail if absent.</w:t>
            </w:r>
          </w:p>
        </w:tc>
      </w:tr>
      <w:tr>
        <w:trPr>
          <w:cantSplit/>
          <w:cantSplit/>
        </w:trPr>
        <w:tc>
          <w:tcPr>
            <w:tcW w:type="dxa" w:w="3312"/>
            <w:vAlign w:val="top"/>
          </w:tcPr>
          <w:p>
            <w:pPr>
              <w:spacing w:after="0" w:before="0"/>
            </w:pPr>
            <w:r>
              <w:rPr>
                <w:sz w:val="18"/>
              </w:rPr>
            </w:r>
            <w:r>
              <w:rPr>
                <w:b w:val="0"/>
                <w:sz w:val="18"/>
              </w:rPr>
              <w:t>Chunked-prefill vs recurrent-decode equivalence rule</w:t>
            </w:r>
          </w:p>
        </w:tc>
        <w:tc>
          <w:tcPr>
            <w:tcW w:type="dxa" w:w="3312"/>
            <w:vAlign w:val="top"/>
          </w:tcPr>
          <w:p>
            <w:pPr>
              <w:spacing w:after="0" w:before="0"/>
            </w:pPr>
            <w:r>
              <w:rPr>
                <w:sz w:val="18"/>
              </w:rPr>
            </w:r>
            <w:r>
              <w:rPr>
                <w:b w:val="0"/>
                <w:sz w:val="18"/>
              </w:rPr>
              <w:t>RL rollout may use recurrent decode while training recomputes logprobs in chunks.</w:t>
            </w:r>
          </w:p>
        </w:tc>
        <w:tc>
          <w:tcPr>
            <w:tcW w:type="dxa" w:w="3312"/>
            <w:vAlign w:val="top"/>
          </w:tcPr>
          <w:p>
            <w:pPr>
              <w:spacing w:after="0" w:before="0"/>
            </w:pPr>
            <w:r>
              <w:rPr>
                <w:sz w:val="18"/>
              </w:rPr>
            </w:r>
            <w:r>
              <w:rPr>
                <w:b w:val="0"/>
                <w:sz w:val="18"/>
              </w:rPr>
              <w:t>Require equivalence test specification and golden vectors.</w:t>
            </w:r>
          </w:p>
        </w:tc>
      </w:tr>
      <w:tr>
        <w:trPr>
          <w:cantSplit/>
          <w:cantSplit/>
        </w:trPr>
        <w:tc>
          <w:tcPr>
            <w:tcW w:type="dxa" w:w="3312"/>
            <w:vAlign w:val="top"/>
          </w:tcPr>
          <w:p>
            <w:pPr>
              <w:spacing w:after="0" w:before="0"/>
            </w:pPr>
            <w:r>
              <w:rPr>
                <w:sz w:val="18"/>
              </w:rPr>
            </w:r>
            <w:r>
              <w:rPr>
                <w:b w:val="0"/>
                <w:sz w:val="18"/>
              </w:rPr>
              <w:t>Chat-template intent</w:t>
            </w:r>
          </w:p>
        </w:tc>
        <w:tc>
          <w:tcPr>
            <w:tcW w:type="dxa" w:w="3312"/>
            <w:vAlign w:val="top"/>
          </w:tcPr>
          <w:p>
            <w:pPr>
              <w:spacing w:after="0" w:before="0"/>
            </w:pPr>
            <w:r>
              <w:rPr>
                <w:sz w:val="18"/>
              </w:rPr>
            </w:r>
            <w:r>
              <w:rPr>
                <w:b w:val="0"/>
                <w:sz w:val="18"/>
              </w:rPr>
              <w:t>Base models may lack chat templates; instruction/RL models depend heavily on prompt formatting.</w:t>
            </w:r>
          </w:p>
        </w:tc>
        <w:tc>
          <w:tcPr>
            <w:tcW w:type="dxa" w:w="3312"/>
            <w:vAlign w:val="top"/>
          </w:tcPr>
          <w:p>
            <w:pPr>
              <w:spacing w:after="0" w:before="0"/>
            </w:pPr>
            <w:r>
              <w:rPr>
                <w:sz w:val="18"/>
              </w:rPr>
            </w:r>
            <w:r>
              <w:rPr>
                <w:b w:val="0"/>
                <w:sz w:val="18"/>
              </w:rPr>
              <w:t>Require template from RL owner before rollout begins.</w:t>
            </w:r>
          </w:p>
        </w:tc>
      </w:tr>
      <w:tr>
        <w:trPr>
          <w:cantSplit/>
          <w:cantSplit/>
        </w:trPr>
        <w:tc>
          <w:tcPr>
            <w:tcW w:type="dxa" w:w="3312"/>
            <w:vAlign w:val="top"/>
          </w:tcPr>
          <w:p>
            <w:pPr>
              <w:spacing w:after="0" w:before="0"/>
            </w:pPr>
            <w:r>
              <w:rPr>
                <w:sz w:val="18"/>
              </w:rPr>
            </w:r>
            <w:r>
              <w:rPr>
                <w:b w:val="0"/>
                <w:sz w:val="18"/>
              </w:rPr>
              <w:t>Safety and policy assumptions</w:t>
            </w:r>
          </w:p>
        </w:tc>
        <w:tc>
          <w:tcPr>
            <w:tcW w:type="dxa" w:w="3312"/>
            <w:vAlign w:val="top"/>
          </w:tcPr>
          <w:p>
            <w:pPr>
              <w:spacing w:after="0" w:before="0"/>
            </w:pPr>
            <w:r>
              <w:rPr>
                <w:sz w:val="18"/>
              </w:rPr>
            </w:r>
            <w:r>
              <w:rPr>
                <w:b w:val="0"/>
                <w:sz w:val="18"/>
              </w:rPr>
              <w:t>Not represented in tensors but important for RL data, reward design, and deployment.</w:t>
            </w:r>
          </w:p>
        </w:tc>
        <w:tc>
          <w:tcPr>
            <w:tcW w:type="dxa" w:w="3312"/>
            <w:vAlign w:val="top"/>
          </w:tcPr>
          <w:p>
            <w:pPr>
              <w:spacing w:after="0" w:before="0"/>
            </w:pPr>
            <w:r>
              <w:rPr>
                <w:sz w:val="18"/>
              </w:rPr>
            </w:r>
            <w:r>
              <w:rPr>
                <w:b w:val="0"/>
                <w:sz w:val="18"/>
              </w:rPr>
              <w:t>Track outside compiler compatibility; require governance/evaluation artifacts.</w:t>
            </w:r>
          </w:p>
        </w:tc>
      </w:tr>
    </w:tbl>
    <w:p>
      <w:pPr>
        <w:pStyle w:val="Caption"/>
      </w:pPr>
      <w:r>
        <w:t>Table A.2. Missing pretrained-model information and recommended compiler action.</w:t>
      </w:r>
    </w:p>
    <w:p>
      <w:pPr>
        <w:pStyle w:val="Heading3"/>
      </w:pPr>
      <w:r>
        <w:t>A.3.4 Classification of Imported Facts</w:t>
      </w:r>
    </w:p>
    <w:p>
      <w:r>
        <w:t>The compiler should classify every imported fact into one of four categories: declared, derived, empirically verified, or missing.</w:t>
      </w:r>
    </w:p>
    <w:tbl>
      <w:tblPr>
        <w:tblStyle w:val="TableGrid"/>
        <w:tblW w:type="auto" w:w="0"/>
        <w:jc w:val="center"/>
        <w:tblLook w:firstColumn="1" w:firstRow="1" w:lastColumn="0" w:lastRow="0" w:noHBand="0" w:noVBand="1" w:val="04A0"/>
      </w:tblPr>
      <w:tblGrid>
        <w:gridCol w:w="3312"/>
        <w:gridCol w:w="3312"/>
        <w:gridCol w:w="3312"/>
      </w:tblGrid>
      <w:tr>
        <w:trPr>
          <w:cantSplit/>
          <w:tblHeader/>
          <w:cantSplit/>
          <w:tblHeader w:val="true"/>
        </w:trPr>
        <w:tc>
          <w:tcPr>
            <w:tcW w:type="dxa" w:w="3312"/>
            <w:shd w:fill="D9EAF7"/>
            <w:vAlign w:val="top"/>
          </w:tcPr>
          <w:p>
            <w:pPr>
              <w:spacing w:after="0" w:before="0"/>
            </w:pPr>
            <w:r>
              <w:rPr>
                <w:sz w:val="18"/>
              </w:rPr>
            </w:r>
            <w:r>
              <w:rPr>
                <w:b/>
                <w:sz w:val="18"/>
              </w:rPr>
              <w:t>Status</w:t>
            </w:r>
          </w:p>
        </w:tc>
        <w:tc>
          <w:tcPr>
            <w:tcW w:type="dxa" w:w="3312"/>
            <w:shd w:fill="D9EAF7"/>
            <w:vAlign w:val="top"/>
          </w:tcPr>
          <w:p>
            <w:pPr>
              <w:spacing w:after="0" w:before="0"/>
            </w:pPr>
            <w:r>
              <w:rPr>
                <w:sz w:val="18"/>
              </w:rPr>
            </w:r>
            <w:r>
              <w:rPr>
                <w:b/>
                <w:sz w:val="18"/>
              </w:rPr>
              <w:t>Meaning</w:t>
            </w:r>
          </w:p>
        </w:tc>
        <w:tc>
          <w:tcPr>
            <w:tcW w:type="dxa" w:w="3312"/>
            <w:shd w:fill="D9EAF7"/>
            <w:vAlign w:val="top"/>
          </w:tcPr>
          <w:p>
            <w:pPr>
              <w:spacing w:after="0" w:before="0"/>
            </w:pPr>
            <w:r>
              <w:rPr>
                <w:sz w:val="18"/>
              </w:rPr>
            </w:r>
            <w:r>
              <w:rPr>
                <w:b/>
                <w:sz w:val="18"/>
              </w:rPr>
              <w:t>Compiler Treatment</w:t>
            </w:r>
          </w:p>
        </w:tc>
      </w:tr>
      <w:tr>
        <w:trPr>
          <w:cantSplit/>
          <w:cantSplit/>
        </w:trPr>
        <w:tc>
          <w:tcPr>
            <w:tcW w:type="dxa" w:w="3312"/>
            <w:vAlign w:val="top"/>
          </w:tcPr>
          <w:p>
            <w:pPr>
              <w:spacing w:after="0" w:before="0"/>
            </w:pPr>
            <w:r>
              <w:rPr>
                <w:sz w:val="18"/>
              </w:rPr>
            </w:r>
            <w:r>
              <w:rPr>
                <w:b w:val="0"/>
                <w:sz w:val="18"/>
              </w:rPr>
              <w:t>declared</w:t>
            </w:r>
          </w:p>
        </w:tc>
        <w:tc>
          <w:tcPr>
            <w:tcW w:type="dxa" w:w="3312"/>
            <w:vAlign w:val="top"/>
          </w:tcPr>
          <w:p>
            <w:pPr>
              <w:spacing w:after="0" w:before="0"/>
            </w:pPr>
            <w:r>
              <w:rPr>
                <w:sz w:val="18"/>
              </w:rPr>
            </w:r>
            <w:r>
              <w:rPr>
                <w:b w:val="0"/>
                <w:sz w:val="18"/>
              </w:rPr>
              <w:t>The fact is explicitly present in a model artifact or contract manifest.</w:t>
            </w:r>
          </w:p>
        </w:tc>
        <w:tc>
          <w:tcPr>
            <w:tcW w:type="dxa" w:w="3312"/>
            <w:vAlign w:val="top"/>
          </w:tcPr>
          <w:p>
            <w:pPr>
              <w:spacing w:after="0" w:before="0"/>
            </w:pPr>
            <w:r>
              <w:rPr>
                <w:sz w:val="18"/>
              </w:rPr>
            </w:r>
            <w:r>
              <w:rPr>
                <w:b w:val="0"/>
                <w:sz w:val="18"/>
              </w:rPr>
              <w:t>Use as authoritative input and cross-check against tensors/tests.</w:t>
            </w:r>
          </w:p>
        </w:tc>
      </w:tr>
      <w:tr>
        <w:trPr>
          <w:cantSplit/>
          <w:cantSplit/>
        </w:trPr>
        <w:tc>
          <w:tcPr>
            <w:tcW w:type="dxa" w:w="3312"/>
            <w:vAlign w:val="top"/>
          </w:tcPr>
          <w:p>
            <w:pPr>
              <w:spacing w:after="0" w:before="0"/>
            </w:pPr>
            <w:r>
              <w:rPr>
                <w:sz w:val="18"/>
              </w:rPr>
            </w:r>
            <w:r>
              <w:rPr>
                <w:b w:val="0"/>
                <w:sz w:val="18"/>
              </w:rPr>
              <w:t>derived</w:t>
            </w:r>
          </w:p>
        </w:tc>
        <w:tc>
          <w:tcPr>
            <w:tcW w:type="dxa" w:w="3312"/>
            <w:vAlign w:val="top"/>
          </w:tcPr>
          <w:p>
            <w:pPr>
              <w:spacing w:after="0" w:before="0"/>
            </w:pPr>
            <w:r>
              <w:rPr>
                <w:sz w:val="18"/>
              </w:rPr>
            </w:r>
            <w:r>
              <w:rPr>
                <w:b w:val="0"/>
                <w:sz w:val="18"/>
              </w:rPr>
              <w:t>The fact is inferred from tensor names, shapes, or layout patterns.</w:t>
            </w:r>
          </w:p>
        </w:tc>
        <w:tc>
          <w:tcPr>
            <w:tcW w:type="dxa" w:w="3312"/>
            <w:vAlign w:val="top"/>
          </w:tcPr>
          <w:p>
            <w:pPr>
              <w:spacing w:after="0" w:before="0"/>
            </w:pPr>
            <w:r>
              <w:rPr>
                <w:sz w:val="18"/>
              </w:rPr>
            </w:r>
            <w:r>
              <w:rPr>
                <w:b w:val="0"/>
                <w:sz w:val="18"/>
              </w:rPr>
              <w:t>Use as a hypothesis; require verification for critical facts.</w:t>
            </w:r>
          </w:p>
        </w:tc>
      </w:tr>
      <w:tr>
        <w:trPr>
          <w:cantSplit/>
          <w:cantSplit/>
        </w:trPr>
        <w:tc>
          <w:tcPr>
            <w:tcW w:type="dxa" w:w="3312"/>
            <w:vAlign w:val="top"/>
          </w:tcPr>
          <w:p>
            <w:pPr>
              <w:spacing w:after="0" w:before="0"/>
            </w:pPr>
            <w:r>
              <w:rPr>
                <w:sz w:val="18"/>
              </w:rPr>
            </w:r>
            <w:r>
              <w:rPr>
                <w:b w:val="0"/>
                <w:sz w:val="18"/>
              </w:rPr>
              <w:t>empirically_verified</w:t>
            </w:r>
          </w:p>
        </w:tc>
        <w:tc>
          <w:tcPr>
            <w:tcW w:type="dxa" w:w="3312"/>
            <w:vAlign w:val="top"/>
          </w:tcPr>
          <w:p>
            <w:pPr>
              <w:spacing w:after="0" w:before="0"/>
            </w:pPr>
            <w:r>
              <w:rPr>
                <w:sz w:val="18"/>
              </w:rPr>
            </w:r>
            <w:r>
              <w:rPr>
                <w:b w:val="0"/>
                <w:sz w:val="18"/>
              </w:rPr>
              <w:t>The fact is confirmed through golden tokenization, logits, logprob, or state-equivalence tests.</w:t>
            </w:r>
          </w:p>
        </w:tc>
        <w:tc>
          <w:tcPr>
            <w:tcW w:type="dxa" w:w="3312"/>
            <w:vAlign w:val="top"/>
          </w:tcPr>
          <w:p>
            <w:pPr>
              <w:spacing w:after="0" w:before="0"/>
            </w:pPr>
            <w:r>
              <w:rPr>
                <w:sz w:val="18"/>
              </w:rPr>
            </w:r>
            <w:r>
              <w:rPr>
                <w:b w:val="0"/>
                <w:sz w:val="18"/>
              </w:rPr>
              <w:t>Use as certified behavior for the current implementation/backend.</w:t>
            </w:r>
          </w:p>
        </w:tc>
      </w:tr>
      <w:tr>
        <w:trPr>
          <w:cantSplit/>
          <w:cantSplit/>
        </w:trPr>
        <w:tc>
          <w:tcPr>
            <w:tcW w:type="dxa" w:w="3312"/>
            <w:vAlign w:val="top"/>
          </w:tcPr>
          <w:p>
            <w:pPr>
              <w:spacing w:after="0" w:before="0"/>
            </w:pPr>
            <w:r>
              <w:rPr>
                <w:sz w:val="18"/>
              </w:rPr>
            </w:r>
            <w:r>
              <w:rPr>
                <w:b w:val="0"/>
                <w:sz w:val="18"/>
              </w:rPr>
              <w:t>missing</w:t>
            </w:r>
          </w:p>
        </w:tc>
        <w:tc>
          <w:tcPr>
            <w:tcW w:type="dxa" w:w="3312"/>
            <w:vAlign w:val="top"/>
          </w:tcPr>
          <w:p>
            <w:pPr>
              <w:spacing w:after="0" w:before="0"/>
            </w:pPr>
            <w:r>
              <w:rPr>
                <w:sz w:val="18"/>
              </w:rPr>
            </w:r>
            <w:r>
              <w:rPr>
                <w:b w:val="0"/>
                <w:sz w:val="18"/>
              </w:rPr>
              <w:t>The fact is required but not observable or supplied.</w:t>
            </w:r>
          </w:p>
        </w:tc>
        <w:tc>
          <w:tcPr>
            <w:tcW w:type="dxa" w:w="3312"/>
            <w:vAlign w:val="top"/>
          </w:tcPr>
          <w:p>
            <w:pPr>
              <w:spacing w:after="0" w:before="0"/>
            </w:pPr>
            <w:r>
              <w:rPr>
                <w:sz w:val="18"/>
              </w:rPr>
            </w:r>
            <w:r>
              <w:rPr>
                <w:b w:val="0"/>
                <w:sz w:val="18"/>
              </w:rPr>
              <w:t>Fail the gate if required for the phase; otherwise warn and record uncertainty.</w:t>
            </w:r>
          </w:p>
        </w:tc>
      </w:tr>
    </w:tbl>
    <w:p>
      <w:pPr>
        <w:pStyle w:val="Caption"/>
      </w:pPr>
      <w:r>
        <w:t>Table A.3. Fact classification used by the gatekeeper.</w:t>
      </w:r>
    </w:p>
    <w:p>
      <w:pPr>
        <w:pStyle w:val="Heading3"/>
      </w:pPr>
      <w:r>
        <w:t>A.3.5 Required RL-Start Handoff Package</w:t>
      </w:r>
    </w:p>
    <w:p>
      <w:r>
        <w:t>For serious multi-organization workflows, Group A should provide more than a checkpoint. The compiler should require a handoff package that includes model configuration, tokenizer artifacts, checkpoint tensors, checkpoint mapping, attention/runtime-state contracts, golden prompts, golden logits, and pretraining provenance notes.</w:t>
      </w:r>
    </w:p>
    <w:p>
      <w:pPr>
        <w:pStyle w:val="CodeBlock"/>
      </w:pPr>
      <w:r>
        <w:rPr>
          <w:rFonts w:ascii="Consolas" w:hAnsi="Consolas" w:eastAsia="Consolas"/>
          <w:sz w:val="17"/>
        </w:rPr>
        <w:t>base_model_package/</w:t>
        <w:br/>
        <w:t xml:space="preserve">  config.json</w:t>
        <w:br/>
        <w:t xml:space="preserve">  tokenizer.json</w:t>
        <w:br/>
        <w:t xml:space="preserve">  tokenizer_config.json</w:t>
        <w:br/>
        <w:t xml:space="preserve">  special_tokens_map.json</w:t>
        <w:br/>
        <w:t xml:space="preserve">  model.safetensors*</w:t>
        <w:br/>
        <w:t xml:space="preserve">  model.safetensors.index.json</w:t>
        <w:br/>
        <w:t xml:space="preserve">  model_contract.yaml</w:t>
        <w:br/>
        <w:t xml:space="preserve">  checkpoint_mapping.yaml</w:t>
        <w:br/>
        <w:t xml:space="preserve">  attention_contract.yaml</w:t>
        <w:br/>
        <w:t xml:space="preserve">  tokenizer_contract.yaml</w:t>
        <w:br/>
        <w:t xml:space="preserve">  golden_prompts.jsonl</w:t>
        <w:br/>
        <w:t xml:space="preserve">  golden_logits/</w:t>
        <w:br/>
        <w:t xml:space="preserve">  provenance.md</w:t>
      </w:r>
    </w:p>
    <w:p>
      <w:r>
        <w:t>For linear attention, the package should also include a LinearAttentionStateContract declaring state shape, state dtype, initialization rule, update rule, gate rule if any, chunked prefill rule, recurrent decode rule, prefix-state reuse rule, and equivalence-test tolerances.</w:t>
      </w:r>
    </w:p>
    <w:p>
      <w:pPr>
        <w:pStyle w:val="Heading2"/>
      </w:pPr>
      <w:r>
        <w:t>A.4 Gate 2: Post-Trained Model Certification for Inference Deployment</w:t>
      </w:r>
    </w:p>
    <w:p>
      <w:r>
        <w:t>The same gatekeeping activity should be replicated after RL post-training. The post-trained model should not be deployed merely because the checkpoint loads. The inference gate must validate that the serving runtime reproduces the generation behavior that the RL rollout optimized, within an explicitly defined tolerance.</w:t>
      </w:r>
    </w:p>
    <w:p>
      <w:r>
        <w:t>The inference-start gate should import the post-trained checkpoint, RL rollout traces, tokenizer and chat-template artifacts, generation policy, attention/runtime-state contract, and deployment runtime configuration. It should then produce an inference certification report.</w:t>
      </w:r>
    </w:p>
    <w:p>
      <w:pPr>
        <w:pStyle w:val="Heading3"/>
      </w:pPr>
      <w:r>
        <w:t>A.4.1 Required Inputs to the Inference Gate</w:t>
      </w:r>
    </w:p>
    <w:p>
      <w:pPr>
        <w:pStyle w:val="ListBullet"/>
      </w:pPr>
      <w:r>
        <w:t>Post-trained checkpoint and configuration.</w:t>
      </w:r>
    </w:p>
    <w:p>
      <w:pPr>
        <w:pStyle w:val="ListBullet"/>
      </w:pPr>
      <w:r>
        <w:t>Tokenizer, chat template, special-token map, and generation configuration used during RL rollout.</w:t>
      </w:r>
    </w:p>
    <w:p>
      <w:pPr>
        <w:pStyle w:val="ListBullet"/>
      </w:pPr>
      <w:r>
        <w:t>RL rollout traces containing prompt tokens, generated tokens, old-policy logprobs, finish reason, reward input formatting, actor weight version, and sampling configuration hash.</w:t>
      </w:r>
    </w:p>
    <w:p>
      <w:pPr>
        <w:pStyle w:val="ListBullet"/>
      </w:pPr>
      <w:r>
        <w:t>Runtime deployment configuration: backend, dtype, quantization, tensor-parallel degree, maximum context length, cache/state policy, and hardware target.</w:t>
      </w:r>
    </w:p>
    <w:p>
      <w:pPr>
        <w:pStyle w:val="ListBullet"/>
      </w:pPr>
      <w:r>
        <w:t>Golden logits, golden tokenization results, deterministic decode references, and long-context state tests.</w:t>
      </w:r>
    </w:p>
    <w:p>
      <w:pPr>
        <w:pStyle w:val="Heading3"/>
      </w:pPr>
      <w:r>
        <w:t>A.4.2 Inference Gate Check Sequence</w:t>
      </w:r>
    </w:p>
    <w:p>
      <w:pPr>
        <w:pStyle w:val="ListNumber"/>
      </w:pPr>
      <w:r>
        <w:t>Import the post-trained artifact and verify configuration consistency.</w:t>
      </w:r>
    </w:p>
    <w:p>
      <w:pPr>
        <w:pStyle w:val="ListNumber"/>
      </w:pPr>
      <w:r>
        <w:t>Verify checkpoint tensor names, shapes, dtypes, shard mapping, and optional quantization metadata.</w:t>
      </w:r>
    </w:p>
    <w:p>
      <w:pPr>
        <w:pStyle w:val="ListNumber"/>
      </w:pPr>
      <w:r>
        <w:t>Verify tokenizer, chat template, special tokens, BOS/EOS/PAD behavior, and stop policy.</w:t>
      </w:r>
    </w:p>
    <w:p>
      <w:pPr>
        <w:pStyle w:val="ListNumber"/>
      </w:pPr>
      <w:r>
        <w:t>Verify generation policy and classify deployment differences from rollout as must-match, allowed-to-differ, or deployment override.</w:t>
      </w:r>
    </w:p>
    <w:p>
      <w:pPr>
        <w:pStyle w:val="ListNumber"/>
      </w:pPr>
      <w:r>
        <w:t>Verify SGLang or target backend capability for the model architecture and runtime-state type.</w:t>
      </w:r>
    </w:p>
    <w:p>
      <w:pPr>
        <w:pStyle w:val="ListNumber"/>
      </w:pPr>
      <w:r>
        <w:t>Verify KV cache correctness for standard attention or recurrent-state correctness for linear attention.</w:t>
      </w:r>
    </w:p>
    <w:p>
      <w:pPr>
        <w:pStyle w:val="ListNumber"/>
      </w:pPr>
      <w:r>
        <w:t>Replay RL rollout traces and compare tokenization, logits, logprobs, finish reason, and loss-mask behavior.</w:t>
      </w:r>
    </w:p>
    <w:p>
      <w:pPr>
        <w:pStyle w:val="ListNumber"/>
      </w:pPr>
      <w:r>
        <w:t>Run deterministic greedy decode tests, golden logit tests, logprob replay tests, prefix reuse tests, and long-context stress tests.</w:t>
      </w:r>
    </w:p>
    <w:p>
      <w:pPr>
        <w:pStyle w:val="ListNumber"/>
      </w:pPr>
      <w:r>
        <w:t>Run quantization drift tests if deployment precision differs from RL rollout precision.</w:t>
      </w:r>
    </w:p>
    <w:p>
      <w:pPr>
        <w:pStyle w:val="ListNumber"/>
      </w:pPr>
      <w:r>
        <w:t>Emit a deployment certification report and block deployment if required checks fail.</w:t>
      </w:r>
    </w:p>
    <w:p>
      <w:pPr>
        <w:pStyle w:val="Heading3"/>
      </w:pPr>
      <w:r>
        <w:t>A.4.3 Runtime-State Certification</w:t>
      </w:r>
    </w:p>
    <w:p>
      <w:r>
        <w:t>For standard MHA, GQA, or MQA models, the inference gate should validate KVCacheState: K/V tensor shape, dtype, layout, block/page mapping, cache-position semantics, prefix reuse, sliding-window behavior, and cache quantization. The core tests are full recomputation versus prefill-plus-KV-cache decode, and no-prefix-reuse versus prefix-KV-cache reuse.</w:t>
      </w:r>
    </w:p>
    <w:p>
      <w:r>
        <w:t>For linear attention, the inference gate should validate LinearAttentionState: state shape, dtype, initialization, recurrent update, chunked prefill, recurrent decode, prefix-state restore, state transfer, and optional state quantization. The core tests are chunked prefill versus token-by-token recurrent decode, and full prefix recomputation versus prefix-state restore plus continuation.</w:t>
      </w:r>
    </w:p>
    <w:p>
      <w:pPr>
        <w:pStyle w:val="Heading2"/>
      </w:pPr>
      <w:r>
        <w:t>A.5 Shared Gatekeeper Components</w:t>
      </w:r>
    </w:p>
    <w:p>
      <w:r>
        <w:t>Both gates should reuse a common compiler infrastructure. The difference is not the framework but the active phase profile and contract set.</w:t>
      </w:r>
    </w:p>
    <w:p>
      <w:pPr>
        <w:pStyle w:val="ListBullet"/>
      </w:pPr>
      <w:r>
        <w:t>Artifact scanner: discovers configs, tokenizer files, checkpoint shards, manifests, and golden-test files.</w:t>
      </w:r>
    </w:p>
    <w:p>
      <w:pPr>
        <w:pStyle w:val="ListBullet"/>
      </w:pPr>
      <w:r>
        <w:t>Configuration importer: builds Model Semantic IR from declared model metadata.</w:t>
      </w:r>
    </w:p>
    <w:p>
      <w:pPr>
        <w:pStyle w:val="ListBullet"/>
      </w:pPr>
      <w:r>
        <w:t>Attention semantic verifier: builds Attention Semantic IR, validates attention type, position/mask semantics, runtime-state type, and conversion requirements.</w:t>
      </w:r>
    </w:p>
    <w:p>
      <w:pPr>
        <w:pStyle w:val="ListBullet"/>
      </w:pPr>
      <w:r>
        <w:t>Tokenizer importer: builds Tokenizer Contract IR and runs golden tokenization tests.</w:t>
      </w:r>
    </w:p>
    <w:p>
      <w:pPr>
        <w:pStyle w:val="ListBullet"/>
      </w:pPr>
      <w:r>
        <w:t>Checkpoint scanner: parses tensor names, shapes, dtypes, shard indexes, and weight-layout patterns.</w:t>
      </w:r>
    </w:p>
    <w:p>
      <w:pPr>
        <w:pStyle w:val="ListBullet"/>
      </w:pPr>
      <w:r>
        <w:t>Checkpoint mapping verifier: validates source-to-target tensor mapping across Megatron, PyTorch, Hugging Face, and SGLang formats.</w:t>
      </w:r>
    </w:p>
    <w:p>
      <w:pPr>
        <w:pStyle w:val="ListBullet"/>
      </w:pPr>
      <w:r>
        <w:t>Runtime-state verifier: validates KVCacheState or LinearAttentionState contracts.</w:t>
      </w:r>
    </w:p>
    <w:p>
      <w:pPr>
        <w:pStyle w:val="ListBullet"/>
      </w:pPr>
      <w:r>
        <w:t>Rollout trace importer: imports prompt tokens, generated tokens, logprobs, finish reason, and actor weight version.</w:t>
      </w:r>
    </w:p>
    <w:p>
      <w:pPr>
        <w:pStyle w:val="ListBullet"/>
      </w:pPr>
      <w:r>
        <w:t>Conformance-test generator: emits tokenization, logits, logprob, decode, cache/state, and long-context tests.</w:t>
      </w:r>
    </w:p>
    <w:p>
      <w:pPr>
        <w:pStyle w:val="ListBullet"/>
      </w:pPr>
      <w:r>
        <w:t>Diagnostic reporter: emits stable error codes and structured certification reports.</w:t>
      </w:r>
    </w:p>
    <w:p>
      <w:pPr>
        <w:pStyle w:val="ListBullet"/>
      </w:pPr>
      <w:r>
        <w:t>CI/CD integration: blocks RL startup or deployment when a required contract fails.</w:t>
      </w:r>
    </w:p>
    <w:p>
      <w:pPr>
        <w:pStyle w:val="Heading2"/>
      </w:pPr>
      <w:r>
        <w:t>A.6 Diagnostic Model</w:t>
      </w:r>
    </w:p>
    <w:p>
      <w:r>
        <w:t>The compiler should report stable diagnostic codes rather than relying only on framework exceptions. Existing frameworks may raise ValueError, RuntimeError, CUDA errors, NCCL errors, or may fail silently through quality drift. The compiler gatekeeper should normalize these into actionable compatibility diagnostics.</w:t>
      </w:r>
    </w:p>
    <w:tbl>
      <w:tblPr>
        <w:tblStyle w:val="TableGrid"/>
        <w:tblW w:type="auto" w:w="0"/>
        <w:jc w:val="center"/>
        <w:tblLook w:firstColumn="1" w:firstRow="1" w:lastColumn="0" w:lastRow="0" w:noHBand="0" w:noVBand="1" w:val="04A0"/>
      </w:tblPr>
      <w:tblGrid>
        <w:gridCol w:w="3312"/>
        <w:gridCol w:w="3312"/>
        <w:gridCol w:w="3312"/>
      </w:tblGrid>
      <w:tr>
        <w:trPr>
          <w:cantSplit/>
          <w:tblHeader/>
          <w:cantSplit/>
          <w:tblHeader w:val="true"/>
        </w:trPr>
        <w:tc>
          <w:tcPr>
            <w:tcW w:type="dxa" w:w="3312"/>
            <w:shd w:fill="D9EAF7"/>
            <w:vAlign w:val="top"/>
          </w:tcPr>
          <w:p>
            <w:pPr>
              <w:spacing w:after="0" w:before="0"/>
            </w:pPr>
            <w:r>
              <w:rPr>
                <w:sz w:val="18"/>
              </w:rPr>
            </w:r>
            <w:r>
              <w:rPr>
                <w:b/>
                <w:sz w:val="18"/>
              </w:rPr>
              <w:t>Code Family</w:t>
            </w:r>
          </w:p>
        </w:tc>
        <w:tc>
          <w:tcPr>
            <w:tcW w:type="dxa" w:w="3312"/>
            <w:shd w:fill="D9EAF7"/>
            <w:vAlign w:val="top"/>
          </w:tcPr>
          <w:p>
            <w:pPr>
              <w:spacing w:after="0" w:before="0"/>
            </w:pPr>
            <w:r>
              <w:rPr>
                <w:sz w:val="18"/>
              </w:rPr>
            </w:r>
            <w:r>
              <w:rPr>
                <w:b/>
                <w:sz w:val="18"/>
              </w:rPr>
              <w:t>Meaning</w:t>
            </w:r>
          </w:p>
        </w:tc>
        <w:tc>
          <w:tcPr>
            <w:tcW w:type="dxa" w:w="3312"/>
            <w:shd w:fill="D9EAF7"/>
            <w:vAlign w:val="top"/>
          </w:tcPr>
          <w:p>
            <w:pPr>
              <w:spacing w:after="0" w:before="0"/>
            </w:pPr>
            <w:r>
              <w:rPr>
                <w:sz w:val="18"/>
              </w:rPr>
            </w:r>
            <w:r>
              <w:rPr>
                <w:b/>
                <w:sz w:val="18"/>
              </w:rPr>
              <w:t>Example Failure</w:t>
            </w:r>
          </w:p>
        </w:tc>
      </w:tr>
      <w:tr>
        <w:trPr>
          <w:cantSplit/>
          <w:cantSplit/>
        </w:trPr>
        <w:tc>
          <w:tcPr>
            <w:tcW w:type="dxa" w:w="3312"/>
            <w:vAlign w:val="top"/>
          </w:tcPr>
          <w:p>
            <w:pPr>
              <w:spacing w:after="0" w:before="0"/>
            </w:pPr>
            <w:r>
              <w:rPr>
                <w:sz w:val="18"/>
              </w:rPr>
            </w:r>
            <w:r>
              <w:rPr>
                <w:b w:val="0"/>
                <w:sz w:val="18"/>
              </w:rPr>
              <w:t>CART-*</w:t>
            </w:r>
          </w:p>
        </w:tc>
        <w:tc>
          <w:tcPr>
            <w:tcW w:type="dxa" w:w="3312"/>
            <w:vAlign w:val="top"/>
          </w:tcPr>
          <w:p>
            <w:pPr>
              <w:spacing w:after="0" w:before="0"/>
            </w:pPr>
            <w:r>
              <w:rPr>
                <w:sz w:val="18"/>
              </w:rPr>
            </w:r>
            <w:r>
              <w:rPr>
                <w:b w:val="0"/>
                <w:sz w:val="18"/>
              </w:rPr>
              <w:t>Artifact/package errors</w:t>
            </w:r>
          </w:p>
        </w:tc>
        <w:tc>
          <w:tcPr>
            <w:tcW w:type="dxa" w:w="3312"/>
            <w:vAlign w:val="top"/>
          </w:tcPr>
          <w:p>
            <w:pPr>
              <w:spacing w:after="0" w:before="0"/>
            </w:pPr>
            <w:r>
              <w:rPr>
                <w:sz w:val="18"/>
              </w:rPr>
            </w:r>
            <w:r>
              <w:rPr>
                <w:b w:val="0"/>
                <w:sz w:val="18"/>
              </w:rPr>
              <w:t>Missing checkpoint mapping, missing rollout trace, hash mismatch.</w:t>
            </w:r>
          </w:p>
        </w:tc>
      </w:tr>
      <w:tr>
        <w:trPr>
          <w:cantSplit/>
          <w:cantSplit/>
        </w:trPr>
        <w:tc>
          <w:tcPr>
            <w:tcW w:type="dxa" w:w="3312"/>
            <w:vAlign w:val="top"/>
          </w:tcPr>
          <w:p>
            <w:pPr>
              <w:spacing w:after="0" w:before="0"/>
            </w:pPr>
            <w:r>
              <w:rPr>
                <w:sz w:val="18"/>
              </w:rPr>
            </w:r>
            <w:r>
              <w:rPr>
                <w:b w:val="0"/>
                <w:sz w:val="18"/>
              </w:rPr>
              <w:t>CARCH-*</w:t>
            </w:r>
          </w:p>
        </w:tc>
        <w:tc>
          <w:tcPr>
            <w:tcW w:type="dxa" w:w="3312"/>
            <w:vAlign w:val="top"/>
          </w:tcPr>
          <w:p>
            <w:pPr>
              <w:spacing w:after="0" w:before="0"/>
            </w:pPr>
            <w:r>
              <w:rPr>
                <w:sz w:val="18"/>
              </w:rPr>
            </w:r>
            <w:r>
              <w:rPr>
                <w:b w:val="0"/>
                <w:sz w:val="18"/>
              </w:rPr>
              <w:t>Architecture/config errors</w:t>
            </w:r>
          </w:p>
        </w:tc>
        <w:tc>
          <w:tcPr>
            <w:tcW w:type="dxa" w:w="3312"/>
            <w:vAlign w:val="top"/>
          </w:tcPr>
          <w:p>
            <w:pPr>
              <w:spacing w:after="0" w:before="0"/>
            </w:pPr>
            <w:r>
              <w:rPr>
                <w:sz w:val="18"/>
              </w:rPr>
            </w:r>
            <w:r>
              <w:rPr>
                <w:b w:val="0"/>
                <w:sz w:val="18"/>
              </w:rPr>
              <w:t>Unsupported architecture, attention pattern mismatch, position encoding mismatch.</w:t>
            </w:r>
          </w:p>
        </w:tc>
      </w:tr>
      <w:tr>
        <w:trPr>
          <w:cantSplit/>
          <w:cantSplit/>
        </w:trPr>
        <w:tc>
          <w:tcPr>
            <w:tcW w:type="dxa" w:w="3312"/>
            <w:vAlign w:val="top"/>
          </w:tcPr>
          <w:p>
            <w:pPr>
              <w:spacing w:after="0" w:before="0"/>
            </w:pPr>
            <w:r>
              <w:rPr>
                <w:sz w:val="18"/>
              </w:rPr>
            </w:r>
            <w:r>
              <w:rPr>
                <w:b w:val="0"/>
                <w:sz w:val="18"/>
              </w:rPr>
              <w:t>CCKPT-*</w:t>
            </w:r>
          </w:p>
        </w:tc>
        <w:tc>
          <w:tcPr>
            <w:tcW w:type="dxa" w:w="3312"/>
            <w:vAlign w:val="top"/>
          </w:tcPr>
          <w:p>
            <w:pPr>
              <w:spacing w:after="0" w:before="0"/>
            </w:pPr>
            <w:r>
              <w:rPr>
                <w:sz w:val="18"/>
              </w:rPr>
            </w:r>
            <w:r>
              <w:rPr>
                <w:b w:val="0"/>
                <w:sz w:val="18"/>
              </w:rPr>
              <w:t>Checkpoint/tensor errors</w:t>
            </w:r>
          </w:p>
        </w:tc>
        <w:tc>
          <w:tcPr>
            <w:tcW w:type="dxa" w:w="3312"/>
            <w:vAlign w:val="top"/>
          </w:tcPr>
          <w:p>
            <w:pPr>
              <w:spacing w:after="0" w:before="0"/>
            </w:pPr>
            <w:r>
              <w:rPr>
                <w:sz w:val="18"/>
              </w:rPr>
            </w:r>
            <w:r>
              <w:rPr>
                <w:b w:val="0"/>
                <w:sz w:val="18"/>
              </w:rPr>
              <w:t>Missing tensor, tensor shape mismatch, shard mismatch, quantization metadata mismatch.</w:t>
            </w:r>
          </w:p>
        </w:tc>
      </w:tr>
      <w:tr>
        <w:trPr>
          <w:cantSplit/>
          <w:cantSplit/>
        </w:trPr>
        <w:tc>
          <w:tcPr>
            <w:tcW w:type="dxa" w:w="3312"/>
            <w:vAlign w:val="top"/>
          </w:tcPr>
          <w:p>
            <w:pPr>
              <w:spacing w:after="0" w:before="0"/>
            </w:pPr>
            <w:r>
              <w:rPr>
                <w:sz w:val="18"/>
              </w:rPr>
            </w:r>
            <w:r>
              <w:rPr>
                <w:b w:val="0"/>
                <w:sz w:val="18"/>
              </w:rPr>
              <w:t>CTOK-*</w:t>
            </w:r>
          </w:p>
        </w:tc>
        <w:tc>
          <w:tcPr>
            <w:tcW w:type="dxa" w:w="3312"/>
            <w:vAlign w:val="top"/>
          </w:tcPr>
          <w:p>
            <w:pPr>
              <w:spacing w:after="0" w:before="0"/>
            </w:pPr>
            <w:r>
              <w:rPr>
                <w:sz w:val="18"/>
              </w:rPr>
            </w:r>
            <w:r>
              <w:rPr>
                <w:b w:val="0"/>
                <w:sz w:val="18"/>
              </w:rPr>
              <w:t>Tokenizer/template errors</w:t>
            </w:r>
          </w:p>
        </w:tc>
        <w:tc>
          <w:tcPr>
            <w:tcW w:type="dxa" w:w="3312"/>
            <w:vAlign w:val="top"/>
          </w:tcPr>
          <w:p>
            <w:pPr>
              <w:spacing w:after="0" w:before="0"/>
            </w:pPr>
            <w:r>
              <w:rPr>
                <w:sz w:val="18"/>
              </w:rPr>
            </w:r>
            <w:r>
              <w:rPr>
                <w:b w:val="0"/>
                <w:sz w:val="18"/>
              </w:rPr>
              <w:t>Tokenizer hash mismatch, chat template mismatch, special-token mismatch.</w:t>
            </w:r>
          </w:p>
        </w:tc>
      </w:tr>
      <w:tr>
        <w:trPr>
          <w:cantSplit/>
          <w:cantSplit/>
        </w:trPr>
        <w:tc>
          <w:tcPr>
            <w:tcW w:type="dxa" w:w="3312"/>
            <w:vAlign w:val="top"/>
          </w:tcPr>
          <w:p>
            <w:pPr>
              <w:spacing w:after="0" w:before="0"/>
            </w:pPr>
            <w:r>
              <w:rPr>
                <w:sz w:val="18"/>
              </w:rPr>
            </w:r>
            <w:r>
              <w:rPr>
                <w:b w:val="0"/>
                <w:sz w:val="18"/>
              </w:rPr>
              <w:t>CSGL-*</w:t>
            </w:r>
          </w:p>
        </w:tc>
        <w:tc>
          <w:tcPr>
            <w:tcW w:type="dxa" w:w="3312"/>
            <w:vAlign w:val="top"/>
          </w:tcPr>
          <w:p>
            <w:pPr>
              <w:spacing w:after="0" w:before="0"/>
            </w:pPr>
            <w:r>
              <w:rPr>
                <w:sz w:val="18"/>
              </w:rPr>
            </w:r>
            <w:r>
              <w:rPr>
                <w:b w:val="0"/>
                <w:sz w:val="18"/>
              </w:rPr>
              <w:t>Backend/runtime capability errors</w:t>
            </w:r>
          </w:p>
        </w:tc>
        <w:tc>
          <w:tcPr>
            <w:tcW w:type="dxa" w:w="3312"/>
            <w:vAlign w:val="top"/>
          </w:tcPr>
          <w:p>
            <w:pPr>
              <w:spacing w:after="0" w:before="0"/>
            </w:pPr>
            <w:r>
              <w:rPr>
                <w:sz w:val="18"/>
              </w:rPr>
            </w:r>
            <w:r>
              <w:rPr>
                <w:b w:val="0"/>
                <w:sz w:val="18"/>
              </w:rPr>
              <w:t>Unsupported SGLang model class, unsupported attention backend, backend auto-selection not allowed.</w:t>
            </w:r>
          </w:p>
        </w:tc>
      </w:tr>
      <w:tr>
        <w:trPr>
          <w:cantSplit/>
          <w:cantSplit/>
        </w:trPr>
        <w:tc>
          <w:tcPr>
            <w:tcW w:type="dxa" w:w="3312"/>
            <w:vAlign w:val="top"/>
          </w:tcPr>
          <w:p>
            <w:pPr>
              <w:spacing w:after="0" w:before="0"/>
            </w:pPr>
            <w:r>
              <w:rPr>
                <w:sz w:val="18"/>
              </w:rPr>
            </w:r>
            <w:r>
              <w:rPr>
                <w:b w:val="0"/>
                <w:sz w:val="18"/>
              </w:rPr>
              <w:t>CKV-*</w:t>
            </w:r>
          </w:p>
        </w:tc>
        <w:tc>
          <w:tcPr>
            <w:tcW w:type="dxa" w:w="3312"/>
            <w:vAlign w:val="top"/>
          </w:tcPr>
          <w:p>
            <w:pPr>
              <w:spacing w:after="0" w:before="0"/>
            </w:pPr>
            <w:r>
              <w:rPr>
                <w:sz w:val="18"/>
              </w:rPr>
            </w:r>
            <w:r>
              <w:rPr>
                <w:b w:val="0"/>
                <w:sz w:val="18"/>
              </w:rPr>
              <w:t>KV cache errors</w:t>
            </w:r>
          </w:p>
        </w:tc>
        <w:tc>
          <w:tcPr>
            <w:tcW w:type="dxa" w:w="3312"/>
            <w:vAlign w:val="top"/>
          </w:tcPr>
          <w:p>
            <w:pPr>
              <w:spacing w:after="0" w:before="0"/>
            </w:pPr>
            <w:r>
              <w:rPr>
                <w:sz w:val="18"/>
              </w:rPr>
            </w:r>
            <w:r>
              <w:rPr>
                <w:b w:val="0"/>
                <w:sz w:val="18"/>
              </w:rPr>
              <w:t>Block-table mismatch, cache-position error, prefix KV reuse mismatch.</w:t>
            </w:r>
          </w:p>
        </w:tc>
      </w:tr>
      <w:tr>
        <w:trPr>
          <w:cantSplit/>
          <w:cantSplit/>
        </w:trPr>
        <w:tc>
          <w:tcPr>
            <w:tcW w:type="dxa" w:w="3312"/>
            <w:vAlign w:val="top"/>
          </w:tcPr>
          <w:p>
            <w:pPr>
              <w:spacing w:after="0" w:before="0"/>
            </w:pPr>
            <w:r>
              <w:rPr>
                <w:sz w:val="18"/>
              </w:rPr>
            </w:r>
            <w:r>
              <w:rPr>
                <w:b w:val="0"/>
                <w:sz w:val="18"/>
              </w:rPr>
              <w:t>CLATT-*</w:t>
            </w:r>
          </w:p>
        </w:tc>
        <w:tc>
          <w:tcPr>
            <w:tcW w:type="dxa" w:w="3312"/>
            <w:vAlign w:val="top"/>
          </w:tcPr>
          <w:p>
            <w:pPr>
              <w:spacing w:after="0" w:before="0"/>
            </w:pPr>
            <w:r>
              <w:rPr>
                <w:sz w:val="18"/>
              </w:rPr>
            </w:r>
            <w:r>
              <w:rPr>
                <w:b w:val="0"/>
                <w:sz w:val="18"/>
              </w:rPr>
              <w:t>Linear-attention state errors</w:t>
            </w:r>
          </w:p>
        </w:tc>
        <w:tc>
          <w:tcPr>
            <w:tcW w:type="dxa" w:w="3312"/>
            <w:vAlign w:val="top"/>
          </w:tcPr>
          <w:p>
            <w:pPr>
              <w:spacing w:after="0" w:before="0"/>
            </w:pPr>
            <w:r>
              <w:rPr>
                <w:sz w:val="18"/>
              </w:rPr>
            </w:r>
            <w:r>
              <w:rPr>
                <w:b w:val="0"/>
                <w:sz w:val="18"/>
              </w:rPr>
              <w:t>State update missing, chunked-vs-recurrent mismatch, prefix-state reuse mismatch.</w:t>
            </w:r>
          </w:p>
        </w:tc>
      </w:tr>
      <w:tr>
        <w:trPr>
          <w:cantSplit/>
          <w:cantSplit/>
        </w:trPr>
        <w:tc>
          <w:tcPr>
            <w:tcW w:type="dxa" w:w="3312"/>
            <w:vAlign w:val="top"/>
          </w:tcPr>
          <w:p>
            <w:pPr>
              <w:spacing w:after="0" w:before="0"/>
            </w:pPr>
            <w:r>
              <w:rPr>
                <w:sz w:val="18"/>
              </w:rPr>
            </w:r>
            <w:r>
              <w:rPr>
                <w:b w:val="0"/>
                <w:sz w:val="18"/>
              </w:rPr>
              <w:t>CCONF-*</w:t>
            </w:r>
          </w:p>
        </w:tc>
        <w:tc>
          <w:tcPr>
            <w:tcW w:type="dxa" w:w="3312"/>
            <w:vAlign w:val="top"/>
          </w:tcPr>
          <w:p>
            <w:pPr>
              <w:spacing w:after="0" w:before="0"/>
            </w:pPr>
            <w:r>
              <w:rPr>
                <w:sz w:val="18"/>
              </w:rPr>
            </w:r>
            <w:r>
              <w:rPr>
                <w:b w:val="0"/>
                <w:sz w:val="18"/>
              </w:rPr>
              <w:t>Conformance errors</w:t>
            </w:r>
          </w:p>
        </w:tc>
        <w:tc>
          <w:tcPr>
            <w:tcW w:type="dxa" w:w="3312"/>
            <w:vAlign w:val="top"/>
          </w:tcPr>
          <w:p>
            <w:pPr>
              <w:spacing w:after="0" w:before="0"/>
            </w:pPr>
            <w:r>
              <w:rPr>
                <w:sz w:val="18"/>
              </w:rPr>
            </w:r>
            <w:r>
              <w:rPr>
                <w:b w:val="0"/>
                <w:sz w:val="18"/>
              </w:rPr>
              <w:t>Golden-logit mismatch, greedy decode mismatch, logprob replay mismatch, finish-reason mismatch.</w:t>
            </w:r>
          </w:p>
        </w:tc>
      </w:tr>
      <w:tr>
        <w:trPr>
          <w:cantSplit/>
          <w:cantSplit/>
        </w:trPr>
        <w:tc>
          <w:tcPr>
            <w:tcW w:type="dxa" w:w="3312"/>
            <w:vAlign w:val="top"/>
          </w:tcPr>
          <w:p>
            <w:pPr>
              <w:spacing w:after="0" w:before="0"/>
            </w:pPr>
            <w:r>
              <w:rPr>
                <w:sz w:val="18"/>
              </w:rPr>
            </w:r>
            <w:r>
              <w:rPr>
                <w:b w:val="0"/>
                <w:sz w:val="18"/>
              </w:rPr>
              <w:t>CRUN-*</w:t>
            </w:r>
          </w:p>
        </w:tc>
        <w:tc>
          <w:tcPr>
            <w:tcW w:type="dxa" w:w="3312"/>
            <w:vAlign w:val="top"/>
          </w:tcPr>
          <w:p>
            <w:pPr>
              <w:spacing w:after="0" w:before="0"/>
            </w:pPr>
            <w:r>
              <w:rPr>
                <w:sz w:val="18"/>
              </w:rPr>
            </w:r>
            <w:r>
              <w:rPr>
                <w:b w:val="0"/>
                <w:sz w:val="18"/>
              </w:rPr>
              <w:t>Runtime/stress errors</w:t>
            </w:r>
          </w:p>
        </w:tc>
        <w:tc>
          <w:tcPr>
            <w:tcW w:type="dxa" w:w="3312"/>
            <w:vAlign w:val="top"/>
          </w:tcPr>
          <w:p>
            <w:pPr>
              <w:spacing w:after="0" w:before="0"/>
            </w:pPr>
            <w:r>
              <w:rPr>
                <w:sz w:val="18"/>
              </w:rPr>
            </w:r>
            <w:r>
              <w:rPr>
                <w:b w:val="0"/>
                <w:sz w:val="18"/>
              </w:rPr>
              <w:t>Max context exceeded, OOM, numerical instability, backend capability mismatch.</w:t>
            </w:r>
          </w:p>
        </w:tc>
      </w:tr>
      <w:tr>
        <w:trPr>
          <w:cantSplit/>
          <w:cantSplit/>
        </w:trPr>
        <w:tc>
          <w:tcPr>
            <w:tcW w:type="dxa" w:w="3312"/>
          </w:tcPr>
          <w:p>
            <w:r>
              <w:t>CATTN-*</w:t>
            </w:r>
          </w:p>
        </w:tc>
        <w:tc>
          <w:tcPr>
            <w:tcW w:type="dxa" w:w="3312"/>
          </w:tcPr>
          <w:p>
            <w:r>
              <w:t>Attention semantic compatibility errors</w:t>
            </w:r>
          </w:p>
        </w:tc>
        <w:tc>
          <w:tcPr>
            <w:tcW w:type="dxa" w:w="3312"/>
          </w:tcPr>
          <w:p>
            <w:r>
              <w:t>AttentionSemanticMismatch, MissingAttentionConversionContract, RolloutInferenceAttentionMismatch</w:t>
            </w:r>
          </w:p>
        </w:tc>
      </w:tr>
    </w:tbl>
    <w:p>
      <w:pPr>
        <w:pStyle w:val="Caption"/>
      </w:pPr>
      <w:r>
        <w:t>Table A.4. Diagnostic code families for the compiler gatekeeper.</w:t>
      </w:r>
    </w:p>
    <w:p>
      <w:pPr>
        <w:pStyle w:val="Heading2"/>
      </w:pPr>
      <w:r>
        <w:t>A.7 Certification Artifacts</w:t>
      </w:r>
    </w:p>
    <w:p>
      <w:r>
        <w:t>Each gate should produce a machine-readable certification report and a human-readable summary. The report should identify the model artifact hashes, tokenizer hash, checkpoint hash, architecture version, runtime backend, attention/runtime-state contract, generation policy, test set, tolerances, and pass/fail diagnostics.</w:t>
      </w:r>
    </w:p>
    <w:p>
      <w:pPr>
        <w:pStyle w:val="CodeBlock"/>
      </w:pPr>
      <w:r>
        <w:rPr>
          <w:rFonts w:ascii="Consolas" w:hAnsi="Consolas" w:eastAsia="Consolas"/>
          <w:sz w:val="17"/>
        </w:rPr>
        <w:t>{</w:t>
        <w:br/>
        <w:t xml:space="preserve">  "status": "FAIL",</w:t>
        <w:br/>
        <w:t xml:space="preserve">  "gate": "inference_deployment",</w:t>
        <w:br/>
        <w:t xml:space="preserve">  "error_code": "CLATT-004",</w:t>
        <w:br/>
        <w:t xml:space="preserve">  "error_name": "ChunkedVsRecurrentMismatch",</w:t>
        <w:br/>
        <w:t xml:space="preserve">  "details": {</w:t>
        <w:br/>
        <w:t xml:space="preserve">    "layer": 17,</w:t>
        <w:br/>
        <w:t xml:space="preserve">    "prompt_id": "golden_042",</w:t>
        <w:br/>
        <w:t xml:space="preserve">    "max_abs_logit_diff": 0.087,</w:t>
        <w:br/>
        <w:t xml:space="preserve">    "allowed_tolerance": 0.005,</w:t>
        <w:br/>
        <w:t xml:space="preserve">    "backend": "sglang",</w:t>
        <w:br/>
        <w:t xml:space="preserve">    "dtype": "bf16"</w:t>
        <w:br/>
        <w:t xml:space="preserve">  }</w:t>
        <w:br/>
        <w:t>}</w:t>
      </w:r>
    </w:p>
    <w:p>
      <w:pPr>
        <w:pStyle w:val="Heading2"/>
      </w:pPr>
      <w:r>
        <w:t>A.8 Architectural Rule</w:t>
      </w:r>
    </w:p>
    <w:p>
      <w:r>
        <w:t>The gatekeeper construction should follow this rule:</w:t>
      </w:r>
    </w:p>
    <w:p>
      <w:r>
        <w:t>Every phase transition requires a compiler gate. The gate imports artifacts, builds the relevant contract IRs, verifies declared and derived facts, requires manifests for non-observable semantics, runs golden conformance tests, and emits stable diagnostics. A model may load successfully and still fail certification if it does not satisfy the semantic contract of the next phase.</w:t>
      </w:r>
    </w:p>
    <w:p>
      <w:pPr>
        <w:pStyle w:val="Heading2"/>
      </w:pPr>
      <w:r>
        <w:t>A.9 Attention Semantic Gatekeeper Extension</w:t>
      </w:r>
    </w:p>
    <w:p>
      <w:pPr/>
      <w:r>
        <w:t>Both the RL-start gate and the inference-deployment gate must import and verify the AttentionSemanticContract. The contract may be partially declared in model configuration, partially inferred from checkpoint tensor structure, and partially required through explicit manifests. The compiler should never infer a non-observable attention-state update or conversion rule silently.</w:t>
      </w:r>
    </w:p>
    <w:p>
      <w:pPr>
        <w:pStyle w:val="CodeBlock"/>
      </w:pPr>
      <w:r>
        <w:rPr>
          <w:rFonts w:ascii="Consolas" w:hAnsi="Consolas" w:eastAsia="Consolas"/>
          <w:sz w:val="17"/>
        </w:rPr>
        <w:t>Attention gate required inputs:</w:t>
        <w:br/>
        <w:t xml:space="preserve">  - declared attention type and variant</w:t>
        <w:br/>
        <w:t xml:space="preserve">  - Q/K/V projection tensor mapping</w:t>
        <w:br/>
        <w:t xml:space="preserve">  - head count, KV-head count, and head dimension</w:t>
        <w:br/>
        <w:t xml:space="preserve">  - position-encoding and mask semantics</w:t>
        <w:br/>
        <w:t xml:space="preserve">  - runtime-state type: KV, linear recurrent state, or compressed/latent state</w:t>
        <w:br/>
        <w:t xml:space="preserve">  - prefill and decode rules</w:t>
        <w:br/>
        <w:t xml:space="preserve">  - prefix-reuse rule</w:t>
        <w:br/>
        <w:t xml:space="preserve">  - conversion contract when source and target attention differ</w:t>
      </w:r>
    </w:p>
    <w:p>
      <w:pPr/>
      <w:r>
        <w:t>For the pretrained-to-RL gate, the compiler verifies that the imported pretrained checkpoint can enter RL without attention-semantic drift. For the post-trained-to-inference gate, the compiler verifies that the inference backend reproduces the same attention semantics used during RL rollout and logprob collection.</w:t>
      </w:r>
    </w:p>
    <w:p>
      <w:pPr>
        <w:pStyle w:val="CodeBlock"/>
      </w:pPr>
      <w:r>
        <w:rPr>
          <w:rFonts w:ascii="Consolas" w:hAnsi="Consolas" w:eastAsia="Consolas"/>
          <w:sz w:val="17"/>
        </w:rPr>
        <w:t>Required attention conformance tests:</w:t>
        <w:br/>
        <w:t xml:space="preserve">  - golden-logit comparison under the declared attention implementation</w:t>
        <w:br/>
        <w:t xml:space="preserve">  - prefill-versus-decode equivalence</w:t>
        <w:br/>
        <w:t xml:space="preserve">  - full recomputation versus cache/state reuse</w:t>
        <w:br/>
        <w:t xml:space="preserve">  - chunked versus recurrent equivalence for linear attention</w:t>
        <w:br/>
        <w:t xml:space="preserve">  - rollout trace replay and logprob reproduction</w:t>
        <w:br/>
        <w:t xml:space="preserve">  - long-context regression test</w:t>
        <w:br/>
        <w:t xml:space="preserve">  - conversion validation when attention type changes</w:t>
      </w:r>
    </w:p>
    <w:p>
      <w:pPr/>
      <w:r>
        <w:t>If a model is pretrained with MHA/GQA/MQA and RL post-training requests linear attention, the gatekeeper should fail by default. RL may proceed only from a certified converted checkpoint with a passing AttentionConversionContract. This makes attention conversion an explicit model-development phase rather than a hidden backend optimization.</w:t>
      </w:r>
    </w:p>
    <w:p>
      <w:pPr>
        <w:pStyle w:val="Heading2"/>
      </w:pPr>
      <w:r>
        <w:t>A.10 MoE Gatekeeper Extension</w:t>
      </w:r>
    </w:p>
    <w:p>
      <w:pPr/>
      <w:r>
        <w:t>When the pretrained or post-trained model uses MoE, both gates must import and verify the MoE contract. The pretrained-import gate must confirm that the model artifact supplies enough information to reconstruct router behavior, expert identity, expert tensor layout, expert-parallel sharding, and load-balancing policy. The inference-certification gate must prove that the serving runtime preserves the same routing semantics and expert outputs used during RL rollout.</w:t>
      </w:r>
    </w:p>
    <w:p>
      <w:pPr>
        <w:pStyle w:val="CodeBlock"/>
      </w:pPr>
      <w:r>
        <w:rPr>
          <w:rFonts w:ascii="Consolas" w:hAnsi="Consolas" w:eastAsia="Consolas"/>
          <w:sz w:val="17"/>
        </w:rPr>
        <w:t>Additional MoE metadata to import or require:</w:t>
        <w:br/>
        <w:t xml:space="preserve">  - num_experts and experts_per_token</w:t>
        <w:br/>
        <w:t xml:space="preserve">  - router type, dtype, scoring rule, and normalization rule</w:t>
        <w:br/>
        <w:t xml:space="preserve">  - expert ID mapping and expert tensor names</w:t>
        <w:br/>
        <w:t xml:space="preserve">  - shared expert and routed expert configuration</w:t>
        <w:br/>
        <w:t xml:space="preserve">  - expert MLP type and activation function</w:t>
        <w:br/>
        <w:t xml:space="preserve">  - expert-parallel size and rank-to-expert placement</w:t>
        <w:br/>
        <w:t xml:space="preserve">  - dispatch and combine algorithm</w:t>
        <w:br/>
        <w:t xml:space="preserve">  - capacity factor, token-drop policy, padding policy, and load-balancing policy</w:t>
        <w:br/>
        <w:t xml:space="preserve">  - grouped-GEMM and all-to-all communication requirements</w:t>
        <w:br/>
        <w:t xml:space="preserve">  - expert quantization metadata</w:t>
        <w:br/>
        <w:t xml:space="preserve">  - route-replay golden traces</w:t>
      </w:r>
    </w:p>
    <w:p>
      <w:pPr/>
      <w:r>
        <w:t>The compiler should block RL startup or inference deployment if the MoE contract is missing or inconsistent. Structural checks catch missing experts, shape mismatches, dtype mismatches, and shard mismatches. Conformance checks catch route drift, expert ID permutation, dispatch/combine bugs, quantization-induced route changes, and rollout-vs-inference logprob mismatch.</w:t>
      </w:r>
    </w:p>
    <w:p>
      <w:pPr/>
      <w:r>
        <w:t>Recommended MoE certification outputs include an expert mapping report, router-top-k replay report, dispatch/combine round-trip report, expert-parallel placement report, quantized-router drift report, and rollout-vs-inference MoE logprob report.</w:t>
      </w:r>
    </w:p>
    <w:p>
      <w:pPr>
        <w:pStyle w:val="Heading2"/>
      </w:pPr>
      <w:r>
        <w:t>A.11 Summary</w:t>
      </w:r>
    </w:p>
    <w:p>
      <w:r>
        <w:t>The pretrained checkpoint is not a complete domain contract. The compiler can extract configuration metadata, tokenizer metadata, checkpoint tensor metadata, generation defaults, and many structural facts. It cannot fully extract pretraining data provenance, custom attention semantics, linear-attention state rules, chat-template intent, reward-policy assumptions, or safety requirements. These must be supplied through manifests, verified with golden tests, or treated as missing-contract failures.</w:t>
      </w:r>
    </w:p>
    <w:p>
      <w:r>
        <w:t>The same gatekeeping activity should be replicated for inference. After RL post-training, the compiler must certify that the deployment runtime reproduces the rollout behavior that RL optimized. For standard attention, this means KV-cache conformance. For linear attention, this means recurrent-state conformance. In both cases, the compiler-centered gatekeeper turns phase transitions into explicit, testable, diagnosable contracts.</w:t>
      </w:r>
    </w:p>
    <w:p>
      <w:pPr>
        <w:pStyle w:val="Heading1"/>
        <w:pageBreakBefore/>
      </w:pPr>
      <w:r>
        <w:t>Appendix B. Compiler-to-SGLang Coverage and Integration Boundary Proposal</w:t>
      </w:r>
    </w:p>
    <w:p>
      <w:pPr>
        <w:pStyle w:val="Heading2"/>
      </w:pPr>
      <w:r>
        <w:t>B.1 Purpose and Scope</w:t>
      </w:r>
    </w:p>
    <w:p>
      <w:r>
        <w:t>This appendix defines the proposed boundary between the Domain-Specific Compiler IR and Expert System Architecture and SGLang. The conclusion is intentionally conservative: the compiler should initially act as a semantic control plane, certification gatekeeper, and deployment-plan generator around SGLang rather than attempting to replace SGLang's production runtime. SGLang remains the optimized serving data plane.</w:t>
      </w:r>
    </w:p>
    <w:p>
      <w:r>
        <w:t>The design value is therefore not that the compiler immediately becomes a faster inference engine. The value is that it makes SGLang-based deployment safer, more portable, and more certifiable across separated ownership boundaries such as pre-training, RL post-training, and inference serving.</w:t>
      </w:r>
    </w:p>
    <w:p>
      <w:pPr>
        <w:pStyle w:val="Heading2"/>
      </w:pPr>
      <w:r>
        <w:t>B.2 Architectural Position</w:t>
      </w:r>
    </w:p>
    <w:p>
      <w:pPr>
        <w:pStyle w:val="CodeBlock"/>
      </w:pPr>
      <w:r>
        <w:rPr>
          <w:rFonts w:ascii="Consolas" w:hAnsi="Consolas" w:eastAsia="Consolas"/>
          <w:sz w:val="17"/>
        </w:rPr>
        <w:t>AI Compiler / Expert System</w:t>
      </w:r>
    </w:p>
    <w:p>
      <w:pPr>
        <w:pStyle w:val="CodeBlock"/>
      </w:pPr>
      <w:r>
        <w:rPr>
          <w:rFonts w:ascii="Consolas" w:hAnsi="Consolas" w:eastAsia="Consolas"/>
          <w:sz w:val="17"/>
        </w:rPr>
        <w:t xml:space="preserve">  = semantic control plane</w:t>
      </w:r>
    </w:p>
    <w:p>
      <w:pPr>
        <w:pStyle w:val="CodeBlock"/>
      </w:pPr>
      <w:r>
        <w:rPr>
          <w:rFonts w:ascii="Consolas" w:hAnsi="Consolas" w:eastAsia="Consolas"/>
          <w:sz w:val="17"/>
        </w:rPr>
        <w:t xml:space="preserve">  = model/runtime contract importer</w:t>
      </w:r>
    </w:p>
    <w:p>
      <w:pPr>
        <w:pStyle w:val="CodeBlock"/>
      </w:pPr>
      <w:r>
        <w:rPr>
          <w:rFonts w:ascii="Consolas" w:hAnsi="Consolas" w:eastAsia="Consolas"/>
          <w:sz w:val="17"/>
        </w:rPr>
        <w:t xml:space="preserve">  = gatekeeper and certification engine</w:t>
      </w:r>
    </w:p>
    <w:p>
      <w:pPr>
        <w:pStyle w:val="CodeBlock"/>
      </w:pPr>
      <w:r>
        <w:rPr>
          <w:rFonts w:ascii="Consolas" w:hAnsi="Consolas" w:eastAsia="Consolas"/>
          <w:sz w:val="17"/>
        </w:rPr>
        <w:t xml:space="preserve">  = deployment-plan generator</w:t>
      </w:r>
    </w:p>
    <w:p>
      <w:pPr>
        <w:pStyle w:val="CodeBlock"/>
      </w:pPr>
      <w:r>
        <w:rPr>
          <w:rFonts w:ascii="Consolas" w:hAnsi="Consolas" w:eastAsia="Consolas"/>
          <w:sz w:val="17"/>
        </w:rPr>
        <w:t xml:space="preserve">  = runtime-guard generator</w:t>
      </w:r>
    </w:p>
    <w:p>
      <w:pPr>
        <w:pStyle w:val="CodeBlock"/>
      </w:pPr>
    </w:p>
    <w:p>
      <w:pPr>
        <w:pStyle w:val="CodeBlock"/>
      </w:pPr>
      <w:r>
        <w:rPr>
          <w:rFonts w:ascii="Consolas" w:hAnsi="Consolas" w:eastAsia="Consolas"/>
          <w:sz w:val="17"/>
        </w:rPr>
        <w:t>SGLang</w:t>
      </w:r>
    </w:p>
    <w:p>
      <w:pPr>
        <w:pStyle w:val="CodeBlock"/>
      </w:pPr>
      <w:r>
        <w:rPr>
          <w:rFonts w:ascii="Consolas" w:hAnsi="Consolas" w:eastAsia="Consolas"/>
          <w:sz w:val="17"/>
        </w:rPr>
        <w:t xml:space="preserve">  = high-performance serving runtime</w:t>
      </w:r>
    </w:p>
    <w:p>
      <w:pPr>
        <w:pStyle w:val="CodeBlock"/>
      </w:pPr>
      <w:r>
        <w:rPr>
          <w:rFonts w:ascii="Consolas" w:hAnsi="Consolas" w:eastAsia="Consolas"/>
          <w:sz w:val="17"/>
        </w:rPr>
        <w:t xml:space="preserve">  = online scheduler and continuous batching engine</w:t>
      </w:r>
    </w:p>
    <w:p>
      <w:pPr>
        <w:pStyle w:val="CodeBlock"/>
      </w:pPr>
      <w:r>
        <w:rPr>
          <w:rFonts w:ascii="Consolas" w:hAnsi="Consolas" w:eastAsia="Consolas"/>
          <w:sz w:val="17"/>
        </w:rPr>
        <w:t xml:space="preserve">  = KV-cache and RadixAttention implementation</w:t>
      </w:r>
    </w:p>
    <w:p>
      <w:pPr>
        <w:pStyle w:val="CodeBlock"/>
      </w:pPr>
      <w:r>
        <w:rPr>
          <w:rFonts w:ascii="Consolas" w:hAnsi="Consolas" w:eastAsia="Consolas"/>
          <w:sz w:val="17"/>
        </w:rPr>
        <w:t xml:space="preserve">  = kernel/backend execution system</w:t>
      </w:r>
    </w:p>
    <w:p>
      <w:pPr>
        <w:pStyle w:val="CodeBlock"/>
      </w:pPr>
      <w:r>
        <w:rPr>
          <w:rFonts w:ascii="Consolas" w:hAnsi="Consolas" w:eastAsia="Consolas"/>
          <w:sz w:val="17"/>
        </w:rPr>
        <w:t xml:space="preserve">  = distributed serving data plane</w:t>
      </w:r>
    </w:p>
    <w:p>
      <w:r>
        <w:t>SGLang is described as a system with a frontend language and runtime for efficient execution of structured language-model programs. Its runtime includes optimizations such as RadixAttention for KV-cache reuse and compressed finite-state machines for structured decoding. The current SGLang documentation also presents it as a high-performance serving framework for language and multimodal models, with advanced serving features including structured outputs, LoRA serving, speculative decoding, quantization, and distributed serving. [6], [17], [18]</w:t>
      </w:r>
    </w:p>
    <w:p>
      <w:pPr>
        <w:pStyle w:val="Heading2"/>
      </w:pPr>
      <w:r>
        <w:t>B.3 What the Compiler Can Cover Well</w:t>
      </w:r>
    </w:p>
    <w:p>
      <w:r>
        <w:t>The compiler can cover the semantic envelope around SGLang. This includes the parts of the system that determine whether a model artifact, post-training output, runtime-state policy, and serving configuration are semantically compatible.</w:t>
      </w:r>
    </w:p>
    <w:p>
      <w:pPr>
        <w:pStyle w:val="CodeBlock"/>
      </w:pPr>
      <w:r>
        <w:rPr>
          <w:rFonts w:ascii="Consolas" w:hAnsi="Consolas" w:eastAsia="Consolas"/>
          <w:sz w:val="17"/>
        </w:rPr>
        <w:t>Compiler-owned IR and contracts:</w:t>
      </w:r>
    </w:p>
    <w:p>
      <w:pPr>
        <w:pStyle w:val="CodeBlock"/>
      </w:pPr>
      <w:r>
        <w:rPr>
          <w:rFonts w:ascii="Consolas" w:hAnsi="Consolas" w:eastAsia="Consolas"/>
          <w:sz w:val="17"/>
        </w:rPr>
        <w:t xml:space="preserve">  ModelSemanticIR</w:t>
      </w:r>
    </w:p>
    <w:p>
      <w:pPr>
        <w:pStyle w:val="CodeBlock"/>
      </w:pPr>
      <w:r>
        <w:rPr>
          <w:rFonts w:ascii="Consolas" w:hAnsi="Consolas" w:eastAsia="Consolas"/>
          <w:sz w:val="17"/>
        </w:rPr>
        <w:t xml:space="preserve">  TensorContractIR</w:t>
      </w:r>
    </w:p>
    <w:p>
      <w:pPr>
        <w:pStyle w:val="CodeBlock"/>
      </w:pPr>
      <w:r>
        <w:rPr>
          <w:rFonts w:ascii="Consolas" w:hAnsi="Consolas" w:eastAsia="Consolas"/>
          <w:sz w:val="17"/>
        </w:rPr>
        <w:t xml:space="preserve">  TokenizerContractIR</w:t>
      </w:r>
    </w:p>
    <w:p>
      <w:pPr>
        <w:pStyle w:val="CodeBlock"/>
      </w:pPr>
      <w:r>
        <w:rPr>
          <w:rFonts w:ascii="Consolas" w:hAnsi="Consolas" w:eastAsia="Consolas"/>
          <w:sz w:val="17"/>
        </w:rPr>
        <w:t xml:space="preserve">  CheckpointMappingIR</w:t>
      </w:r>
    </w:p>
    <w:p>
      <w:pPr>
        <w:pStyle w:val="CodeBlock"/>
      </w:pPr>
      <w:r>
        <w:rPr>
          <w:rFonts w:ascii="Consolas" w:hAnsi="Consolas" w:eastAsia="Consolas"/>
          <w:sz w:val="17"/>
        </w:rPr>
        <w:t xml:space="preserve">  RuntimeStateIR</w:t>
      </w:r>
    </w:p>
    <w:p>
      <w:pPr>
        <w:pStyle w:val="CodeBlock"/>
      </w:pPr>
      <w:r>
        <w:rPr>
          <w:rFonts w:ascii="Consolas" w:hAnsi="Consolas" w:eastAsia="Consolas"/>
          <w:sz w:val="17"/>
        </w:rPr>
        <w:t xml:space="preserve">  KVCacheStateContract</w:t>
      </w:r>
    </w:p>
    <w:p>
      <w:pPr>
        <w:pStyle w:val="CodeBlock"/>
      </w:pPr>
      <w:r>
        <w:rPr>
          <w:rFonts w:ascii="Consolas" w:hAnsi="Consolas" w:eastAsia="Consolas"/>
          <w:sz w:val="17"/>
        </w:rPr>
        <w:t xml:space="preserve">  LinearAttentionStateContract</w:t>
      </w:r>
    </w:p>
    <w:p>
      <w:pPr>
        <w:pStyle w:val="CodeBlock"/>
      </w:pPr>
      <w:r>
        <w:rPr>
          <w:rFonts w:ascii="Consolas" w:hAnsi="Consolas" w:eastAsia="Consolas"/>
          <w:sz w:val="17"/>
        </w:rPr>
        <w:t xml:space="preserve">  MoEContractIR</w:t>
      </w:r>
    </w:p>
    <w:p>
      <w:pPr>
        <w:pStyle w:val="CodeBlock"/>
      </w:pPr>
      <w:r>
        <w:rPr>
          <w:rFonts w:ascii="Consolas" w:hAnsi="Consolas" w:eastAsia="Consolas"/>
          <w:sz w:val="17"/>
        </w:rPr>
        <w:t xml:space="preserve">  GenerationContractIR</w:t>
      </w:r>
    </w:p>
    <w:p>
      <w:pPr>
        <w:pStyle w:val="CodeBlock"/>
      </w:pPr>
      <w:r>
        <w:rPr>
          <w:rFonts w:ascii="Consolas" w:hAnsi="Consolas" w:eastAsia="Consolas"/>
          <w:sz w:val="17"/>
        </w:rPr>
        <w:t xml:space="preserve">  RolloutInferenceContract</w:t>
      </w:r>
    </w:p>
    <w:p>
      <w:pPr>
        <w:pStyle w:val="CodeBlock"/>
      </w:pPr>
      <w:r>
        <w:rPr>
          <w:rFonts w:ascii="Consolas" w:hAnsi="Consolas" w:eastAsia="Consolas"/>
          <w:sz w:val="17"/>
        </w:rPr>
        <w:t xml:space="preserve">  GatekeeperDiagnosticIR</w:t>
      </w:r>
    </w:p>
    <w:p>
      <w:r>
        <w:t>This lets the compiler answer a question SGLang does not fully formalize as a compiler-level contract: should this model/runtime combination be trusted to enter this execution phase?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rPr>
          <w:cantSplit/>
          <w:tblHeader/>
          <w:cantSplit/>
          <w:tblHeader w:val="true"/>
        </w:trPr>
        <w:tc>
          <w:tcPr>
            <w:tcW w:type="dxa" w:w="3024"/>
            <w:vAlign w:val="top"/>
            <w:shd w:fill="D9EAF7"/>
          </w:tcPr>
          <w:p>
            <w:r/>
            <w:r>
              <w:rPr>
                <w:b/>
                <w:sz w:val="18"/>
              </w:rPr>
              <w:t>Compiler responsibility</w:t>
            </w:r>
          </w:p>
        </w:tc>
        <w:tc>
          <w:tcPr>
            <w:tcW w:type="dxa" w:w="6768"/>
            <w:vAlign w:val="top"/>
            <w:shd w:fill="D9EAF7"/>
          </w:tcPr>
          <w:p>
            <w:r/>
            <w:r>
              <w:rPr>
                <w:b/>
                <w:sz w:val="18"/>
              </w:rPr>
              <w:t>Meaning for SGLang deployment</w:t>
            </w:r>
          </w:p>
        </w:tc>
      </w:tr>
      <w:tr>
        <w:trPr>
          <w:cantSplit/>
          <w:cantSplit/>
        </w:trPr>
        <w:tc>
          <w:tcPr>
            <w:tcW w:type="dxa" w:w="3024"/>
            <w:vAlign w:val="top"/>
          </w:tcPr>
          <w:p>
            <w:r/>
            <w:r>
              <w:rPr>
                <w:b w:val="0"/>
                <w:sz w:val="16"/>
              </w:rPr>
              <w:t>Model ABI extraction</w:t>
            </w:r>
          </w:p>
        </w:tc>
        <w:tc>
          <w:tcPr>
            <w:tcW w:type="dxa" w:w="6768"/>
            <w:vAlign w:val="top"/>
          </w:tcPr>
          <w:p>
            <w:r/>
            <w:r>
              <w:rPr>
                <w:b w:val="0"/>
                <w:sz w:val="16"/>
              </w:rPr>
              <w:t>Import architecture, tensor shapes, dtypes, tokenizer, generation config, checkpoint map, attention type, MoE structure, and runtime-state requirements.</w:t>
            </w:r>
          </w:p>
        </w:tc>
      </w:tr>
      <w:tr>
        <w:trPr>
          <w:cantSplit/>
          <w:cantSplit/>
        </w:trPr>
        <w:tc>
          <w:tcPr>
            <w:tcW w:type="dxa" w:w="3024"/>
            <w:vAlign w:val="top"/>
          </w:tcPr>
          <w:p>
            <w:r/>
            <w:r>
              <w:rPr>
                <w:b w:val="0"/>
                <w:sz w:val="16"/>
              </w:rPr>
              <w:t>Gatekeeper certification</w:t>
            </w:r>
          </w:p>
        </w:tc>
        <w:tc>
          <w:tcPr>
            <w:tcW w:type="dxa" w:w="6768"/>
            <w:vAlign w:val="top"/>
          </w:tcPr>
          <w:p>
            <w:r/>
            <w:r>
              <w:rPr>
                <w:b w:val="0"/>
                <w:sz w:val="16"/>
              </w:rPr>
              <w:t>Reject deployment when required contracts are missing or when golden tests fail.</w:t>
            </w:r>
          </w:p>
        </w:tc>
      </w:tr>
      <w:tr>
        <w:trPr>
          <w:cantSplit/>
          <w:cantSplit/>
        </w:trPr>
        <w:tc>
          <w:tcPr>
            <w:tcW w:type="dxa" w:w="3024"/>
            <w:vAlign w:val="top"/>
          </w:tcPr>
          <w:p>
            <w:r/>
            <w:r>
              <w:rPr>
                <w:b w:val="0"/>
                <w:sz w:val="16"/>
              </w:rPr>
              <w:t>Runtime-state verification</w:t>
            </w:r>
          </w:p>
        </w:tc>
        <w:tc>
          <w:tcPr>
            <w:tcW w:type="dxa" w:w="6768"/>
            <w:vAlign w:val="top"/>
          </w:tcPr>
          <w:p>
            <w:r/>
            <w:r>
              <w:rPr>
                <w:b w:val="0"/>
                <w:sz w:val="16"/>
              </w:rPr>
              <w:t>Verify KV-cache, linear-attention state, prefix reuse, and state-transfer contracts.</w:t>
            </w:r>
          </w:p>
        </w:tc>
      </w:tr>
      <w:tr>
        <w:trPr>
          <w:cantSplit/>
          <w:cantSplit/>
        </w:trPr>
        <w:tc>
          <w:tcPr>
            <w:tcW w:type="dxa" w:w="3024"/>
            <w:vAlign w:val="top"/>
          </w:tcPr>
          <w:p>
            <w:r/>
            <w:r>
              <w:rPr>
                <w:b w:val="0"/>
                <w:sz w:val="16"/>
              </w:rPr>
              <w:t>MoE verification</w:t>
            </w:r>
          </w:p>
        </w:tc>
        <w:tc>
          <w:tcPr>
            <w:tcW w:type="dxa" w:w="6768"/>
            <w:vAlign w:val="top"/>
          </w:tcPr>
          <w:p>
            <w:r/>
            <w:r>
              <w:rPr>
                <w:b w:val="0"/>
                <w:sz w:val="16"/>
              </w:rPr>
              <w:t>Verify router, expert identity, expert placement, dispatch/combine, capacity, and route replay.</w:t>
            </w:r>
          </w:p>
        </w:tc>
      </w:tr>
      <w:tr>
        <w:trPr>
          <w:cantSplit/>
          <w:cantSplit/>
        </w:trPr>
        <w:tc>
          <w:tcPr>
            <w:tcW w:type="dxa" w:w="3024"/>
            <w:vAlign w:val="top"/>
          </w:tcPr>
          <w:p>
            <w:r/>
            <w:r>
              <w:rPr>
                <w:b w:val="0"/>
                <w:sz w:val="16"/>
              </w:rPr>
              <w:t>Rollout-to-inference replay</w:t>
            </w:r>
          </w:p>
        </w:tc>
        <w:tc>
          <w:tcPr>
            <w:tcW w:type="dxa" w:w="6768"/>
            <w:vAlign w:val="top"/>
          </w:tcPr>
          <w:p>
            <w:r/>
            <w:r>
              <w:rPr>
                <w:b w:val="0"/>
                <w:sz w:val="16"/>
              </w:rPr>
              <w:t>Compare Group B RL rollout behavior against Group C inference behavior.</w:t>
            </w:r>
          </w:p>
        </w:tc>
      </w:tr>
      <w:tr>
        <w:trPr>
          <w:cantSplit/>
          <w:cantSplit/>
        </w:trPr>
        <w:tc>
          <w:tcPr>
            <w:tcW w:type="dxa" w:w="3024"/>
            <w:vAlign w:val="top"/>
          </w:tcPr>
          <w:p>
            <w:r/>
            <w:r>
              <w:rPr>
                <w:b w:val="0"/>
                <w:sz w:val="16"/>
              </w:rPr>
              <w:t>Deployment-plan generation</w:t>
            </w:r>
          </w:p>
        </w:tc>
        <w:tc>
          <w:tcPr>
            <w:tcW w:type="dxa" w:w="6768"/>
            <w:vAlign w:val="top"/>
          </w:tcPr>
          <w:p>
            <w:r/>
            <w:r>
              <w:rPr>
                <w:b w:val="0"/>
                <w:sz w:val="16"/>
              </w:rPr>
              <w:t>Emit SGLang launch config, runtime guards, test plans, and diagnostic expectations.</w:t>
            </w:r>
          </w:p>
        </w:tc>
      </w:tr>
    </w:tbl>
    <w:p>
      <w:pPr>
        <w:pStyle w:val="Heading2"/>
      </w:pPr>
      <w:r>
        <w:t>B.4 What the Compiler Does Not Yet Cover</w:t>
      </w:r>
    </w:p>
    <w:p>
      <w:r>
        <w:t>The compiler does not automatically replace SGLang's data plane. A full replacement would require implementing a complete online inference server, scheduler, KV memory manager, radix-tree prefix cache, distributed execution layer, kernel library, and production operations layer.</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12"/>
        <w:gridCol w:w="3312"/>
        <w:gridCol w:w="3312"/>
      </w:tblGrid>
      <w:tr>
        <w:trPr>
          <w:cantSplit/>
          <w:tblHeader/>
          <w:cantSplit/>
          <w:tblHeader w:val="true"/>
        </w:trPr>
        <w:tc>
          <w:tcPr>
            <w:tcW w:type="dxa" w:w="2448"/>
            <w:vAlign w:val="top"/>
            <w:shd w:fill="D9EAF7"/>
          </w:tcPr>
          <w:p>
            <w:r/>
            <w:r>
              <w:rPr>
                <w:b/>
                <w:sz w:val="18"/>
              </w:rPr>
              <w:t>SGLang capability</w:t>
            </w:r>
          </w:p>
        </w:tc>
        <w:tc>
          <w:tcPr>
            <w:tcW w:type="dxa" w:w="1872"/>
            <w:vAlign w:val="top"/>
            <w:shd w:fill="D9EAF7"/>
          </w:tcPr>
          <w:p>
            <w:r/>
            <w:r>
              <w:rPr>
                <w:b/>
                <w:sz w:val="18"/>
              </w:rPr>
              <w:t>Can the compiler cover it now?</w:t>
            </w:r>
          </w:p>
        </w:tc>
        <w:tc>
          <w:tcPr>
            <w:tcW w:type="dxa" w:w="5472"/>
            <w:vAlign w:val="top"/>
            <w:shd w:fill="D9EAF7"/>
          </w:tcPr>
          <w:p>
            <w:r/>
            <w:r>
              <w:rPr>
                <w:b/>
                <w:sz w:val="18"/>
              </w:rPr>
              <w:t>What remains missing</w:t>
            </w:r>
          </w:p>
        </w:tc>
      </w:tr>
      <w:tr>
        <w:trPr>
          <w:cantSplit/>
          <w:cantSplit/>
        </w:trPr>
        <w:tc>
          <w:tcPr>
            <w:tcW w:type="dxa" w:w="2448"/>
            <w:vAlign w:val="top"/>
          </w:tcPr>
          <w:p>
            <w:r/>
            <w:r>
              <w:rPr>
                <w:b w:val="0"/>
                <w:sz w:val="16"/>
              </w:rPr>
              <w:t>Model artifact import</w:t>
            </w:r>
          </w:p>
        </w:tc>
        <w:tc>
          <w:tcPr>
            <w:tcW w:type="dxa" w:w="1872"/>
            <w:vAlign w:val="top"/>
          </w:tcPr>
          <w:p>
            <w:r/>
            <w:r>
              <w:rPr>
                <w:b w:val="0"/>
                <w:sz w:val="16"/>
              </w:rPr>
              <w:t>Mostly yes</w:t>
            </w:r>
          </w:p>
        </w:tc>
        <w:tc>
          <w:tcPr>
            <w:tcW w:type="dxa" w:w="5472"/>
            <w:vAlign w:val="top"/>
          </w:tcPr>
          <w:p>
            <w:r/>
            <w:r>
              <w:rPr>
                <w:b w:val="0"/>
                <w:sz w:val="16"/>
              </w:rPr>
              <w:t>Complete loaders and name-mapping databases for every supported SGLang model family.</w:t>
            </w:r>
          </w:p>
        </w:tc>
      </w:tr>
      <w:tr>
        <w:trPr>
          <w:cantSplit/>
          <w:cantSplit/>
        </w:trPr>
        <w:tc>
          <w:tcPr>
            <w:tcW w:type="dxa" w:w="2448"/>
            <w:vAlign w:val="top"/>
          </w:tcPr>
          <w:p>
            <w:r/>
            <w:r>
              <w:rPr>
                <w:b w:val="0"/>
                <w:sz w:val="16"/>
              </w:rPr>
              <w:t>Tokenizer/chat-template validation</w:t>
            </w:r>
          </w:p>
        </w:tc>
        <w:tc>
          <w:tcPr>
            <w:tcW w:type="dxa" w:w="1872"/>
            <w:vAlign w:val="top"/>
          </w:tcPr>
          <w:p>
            <w:r/>
            <w:r>
              <w:rPr>
                <w:b w:val="0"/>
                <w:sz w:val="16"/>
              </w:rPr>
              <w:t>Yes</w:t>
            </w:r>
          </w:p>
        </w:tc>
        <w:tc>
          <w:tcPr>
            <w:tcW w:type="dxa" w:w="5472"/>
            <w:vAlign w:val="top"/>
          </w:tcPr>
          <w:p>
            <w:r/>
            <w:r>
              <w:rPr>
                <w:b w:val="0"/>
                <w:sz w:val="16"/>
              </w:rPr>
              <w:t>Golden-test discipline and required manifests across owners.</w:t>
            </w:r>
          </w:p>
        </w:tc>
      </w:tr>
      <w:tr>
        <w:trPr>
          <w:cantSplit/>
          <w:cantSplit/>
        </w:trPr>
        <w:tc>
          <w:tcPr>
            <w:tcW w:type="dxa" w:w="2448"/>
            <w:vAlign w:val="top"/>
          </w:tcPr>
          <w:p>
            <w:r/>
            <w:r>
              <w:rPr>
                <w:b w:val="0"/>
                <w:sz w:val="16"/>
              </w:rPr>
              <w:t>Checkpoint shape/type validation</w:t>
            </w:r>
          </w:p>
        </w:tc>
        <w:tc>
          <w:tcPr>
            <w:tcW w:type="dxa" w:w="1872"/>
            <w:vAlign w:val="top"/>
          </w:tcPr>
          <w:p>
            <w:r/>
            <w:r>
              <w:rPr>
                <w:b w:val="0"/>
                <w:sz w:val="16"/>
              </w:rPr>
              <w:t>Yes</w:t>
            </w:r>
          </w:p>
        </w:tc>
        <w:tc>
          <w:tcPr>
            <w:tcW w:type="dxa" w:w="5472"/>
            <w:vAlign w:val="top"/>
          </w:tcPr>
          <w:p>
            <w:r/>
            <w:r>
              <w:rPr>
                <w:b w:val="0"/>
                <w:sz w:val="16"/>
              </w:rPr>
              <w:t>Complete checkpoint mapping and conversion validation.</w:t>
            </w:r>
          </w:p>
        </w:tc>
      </w:tr>
      <w:tr>
        <w:trPr>
          <w:cantSplit/>
          <w:cantSplit/>
        </w:trPr>
        <w:tc>
          <w:tcPr>
            <w:tcW w:type="dxa" w:w="2448"/>
            <w:vAlign w:val="top"/>
          </w:tcPr>
          <w:p>
            <w:r/>
            <w:r>
              <w:rPr>
                <w:b w:val="0"/>
                <w:sz w:val="16"/>
              </w:rPr>
              <w:t>KV-cache semantic contract</w:t>
            </w:r>
          </w:p>
        </w:tc>
        <w:tc>
          <w:tcPr>
            <w:tcW w:type="dxa" w:w="1872"/>
            <w:vAlign w:val="top"/>
          </w:tcPr>
          <w:p>
            <w:r/>
            <w:r>
              <w:rPr>
                <w:b w:val="0"/>
                <w:sz w:val="16"/>
              </w:rPr>
              <w:t>Yes</w:t>
            </w:r>
          </w:p>
        </w:tc>
        <w:tc>
          <w:tcPr>
            <w:tcW w:type="dxa" w:w="5472"/>
            <w:vAlign w:val="top"/>
          </w:tcPr>
          <w:p>
            <w:r/>
            <w:r>
              <w:rPr>
                <w:b w:val="0"/>
                <w:sz w:val="16"/>
              </w:rPr>
              <w:t>Runtime adapter into SGLang memory pools and prefix-cache metadata.</w:t>
            </w:r>
          </w:p>
        </w:tc>
      </w:tr>
      <w:tr>
        <w:trPr>
          <w:cantSplit/>
          <w:cantSplit/>
        </w:trPr>
        <w:tc>
          <w:tcPr>
            <w:tcW w:type="dxa" w:w="2448"/>
            <w:vAlign w:val="top"/>
          </w:tcPr>
          <w:p>
            <w:r/>
            <w:r>
              <w:rPr>
                <w:b w:val="0"/>
                <w:sz w:val="16"/>
              </w:rPr>
              <w:t>Linear-attention state contract</w:t>
            </w:r>
          </w:p>
        </w:tc>
        <w:tc>
          <w:tcPr>
            <w:tcW w:type="dxa" w:w="1872"/>
            <w:vAlign w:val="top"/>
          </w:tcPr>
          <w:p>
            <w:r/>
            <w:r>
              <w:rPr>
                <w:b w:val="0"/>
                <w:sz w:val="16"/>
              </w:rPr>
              <w:t>Yes, if declared</w:t>
            </w:r>
          </w:p>
        </w:tc>
        <w:tc>
          <w:tcPr>
            <w:tcW w:type="dxa" w:w="5472"/>
            <w:vAlign w:val="top"/>
          </w:tcPr>
          <w:p>
            <w:r/>
            <w:r>
              <w:rPr>
                <w:b w:val="0"/>
                <w:sz w:val="16"/>
              </w:rPr>
              <w:t>Actual backend implementation if the serving runtime does not support the model-specific state.</w:t>
            </w:r>
          </w:p>
        </w:tc>
      </w:tr>
      <w:tr>
        <w:trPr>
          <w:cantSplit/>
          <w:cantSplit/>
        </w:trPr>
        <w:tc>
          <w:tcPr>
            <w:tcW w:type="dxa" w:w="2448"/>
            <w:vAlign w:val="top"/>
          </w:tcPr>
          <w:p>
            <w:r/>
            <w:r>
              <w:rPr>
                <w:b w:val="0"/>
                <w:sz w:val="16"/>
              </w:rPr>
              <w:t>MoE route/expert contract</w:t>
            </w:r>
          </w:p>
        </w:tc>
        <w:tc>
          <w:tcPr>
            <w:tcW w:type="dxa" w:w="1872"/>
            <w:vAlign w:val="top"/>
          </w:tcPr>
          <w:p>
            <w:r/>
            <w:r>
              <w:rPr>
                <w:b w:val="0"/>
                <w:sz w:val="16"/>
              </w:rPr>
              <w:t>Yes</w:t>
            </w:r>
          </w:p>
        </w:tc>
        <w:tc>
          <w:tcPr>
            <w:tcW w:type="dxa" w:w="5472"/>
            <w:vAlign w:val="top"/>
          </w:tcPr>
          <w:p>
            <w:r/>
            <w:r>
              <w:rPr>
                <w:b w:val="0"/>
                <w:sz w:val="16"/>
              </w:rPr>
              <w:t>Route-replay instrumentation and expert-placement adapter.</w:t>
            </w:r>
          </w:p>
        </w:tc>
      </w:tr>
      <w:tr>
        <w:trPr>
          <w:cantSplit/>
          <w:cantSplit/>
        </w:trPr>
        <w:tc>
          <w:tcPr>
            <w:tcW w:type="dxa" w:w="2448"/>
            <w:vAlign w:val="top"/>
          </w:tcPr>
          <w:p>
            <w:r/>
            <w:r>
              <w:rPr>
                <w:b w:val="0"/>
                <w:sz w:val="16"/>
              </w:rPr>
              <w:t>Online scheduler</w:t>
            </w:r>
          </w:p>
        </w:tc>
        <w:tc>
          <w:tcPr>
            <w:tcW w:type="dxa" w:w="1872"/>
            <w:vAlign w:val="top"/>
          </w:tcPr>
          <w:p>
            <w:r/>
            <w:r>
              <w:rPr>
                <w:b w:val="0"/>
                <w:sz w:val="16"/>
              </w:rPr>
              <w:t>No</w:t>
            </w:r>
          </w:p>
        </w:tc>
        <w:tc>
          <w:tcPr>
            <w:tcW w:type="dxa" w:w="5472"/>
            <w:vAlign w:val="top"/>
          </w:tcPr>
          <w:p>
            <w:r/>
            <w:r>
              <w:rPr>
                <w:b w:val="0"/>
                <w:sz w:val="16"/>
              </w:rPr>
              <w:t>Request queue, continuous batching, admission control, prefill/decode scheduling, and lifecycle management.</w:t>
            </w:r>
          </w:p>
        </w:tc>
      </w:tr>
      <w:tr>
        <w:trPr>
          <w:cantSplit/>
          <w:cantSplit/>
        </w:trPr>
        <w:tc>
          <w:tcPr>
            <w:tcW w:type="dxa" w:w="2448"/>
            <w:vAlign w:val="top"/>
          </w:tcPr>
          <w:p>
            <w:r/>
            <w:r>
              <w:rPr>
                <w:b w:val="0"/>
                <w:sz w:val="16"/>
              </w:rPr>
              <w:t>RadixAttention implementation</w:t>
            </w:r>
          </w:p>
        </w:tc>
        <w:tc>
          <w:tcPr>
            <w:tcW w:type="dxa" w:w="1872"/>
            <w:vAlign w:val="top"/>
          </w:tcPr>
          <w:p>
            <w:r/>
            <w:r>
              <w:rPr>
                <w:b w:val="0"/>
                <w:sz w:val="16"/>
              </w:rPr>
              <w:t>No</w:t>
            </w:r>
          </w:p>
        </w:tc>
        <w:tc>
          <w:tcPr>
            <w:tcW w:type="dxa" w:w="5472"/>
            <w:vAlign w:val="top"/>
          </w:tcPr>
          <w:p>
            <w:r/>
            <w:r>
              <w:rPr>
                <w:b w:val="0"/>
                <w:sz w:val="16"/>
              </w:rPr>
              <w:t>Radix tree, prefix match, insertion, reference count, eviction, page alignment, and memory pressure handling.</w:t>
            </w:r>
          </w:p>
        </w:tc>
      </w:tr>
      <w:tr>
        <w:trPr>
          <w:cantSplit/>
          <w:cantSplit/>
        </w:trPr>
        <w:tc>
          <w:tcPr>
            <w:tcW w:type="dxa" w:w="2448"/>
            <w:vAlign w:val="top"/>
          </w:tcPr>
          <w:p>
            <w:r/>
            <w:r>
              <w:rPr>
                <w:b w:val="0"/>
                <w:sz w:val="16"/>
              </w:rPr>
              <w:t>Attention/MoE kernels</w:t>
            </w:r>
          </w:p>
        </w:tc>
        <w:tc>
          <w:tcPr>
            <w:tcW w:type="dxa" w:w="1872"/>
            <w:vAlign w:val="top"/>
          </w:tcPr>
          <w:p>
            <w:r/>
            <w:r>
              <w:rPr>
                <w:b w:val="0"/>
                <w:sz w:val="16"/>
              </w:rPr>
              <w:t>No</w:t>
            </w:r>
          </w:p>
        </w:tc>
        <w:tc>
          <w:tcPr>
            <w:tcW w:type="dxa" w:w="5472"/>
            <w:vAlign w:val="top"/>
          </w:tcPr>
          <w:p>
            <w:r/>
            <w:r>
              <w:rPr>
                <w:b w:val="0"/>
                <w:sz w:val="16"/>
              </w:rPr>
              <w:t>Paged attention, FlashAttention/MLA, fused MLP, GroupGEMM, quantized GEMM, sampling kernels, and CUDA Graph integration.</w:t>
            </w:r>
          </w:p>
        </w:tc>
      </w:tr>
      <w:tr>
        <w:trPr>
          <w:cantSplit/>
          <w:cantSplit/>
        </w:trPr>
        <w:tc>
          <w:tcPr>
            <w:tcW w:type="dxa" w:w="2448"/>
            <w:vAlign w:val="top"/>
          </w:tcPr>
          <w:p>
            <w:r/>
            <w:r>
              <w:rPr>
                <w:b w:val="0"/>
                <w:sz w:val="16"/>
              </w:rPr>
              <w:t>Distributed serving runtime</w:t>
            </w:r>
          </w:p>
        </w:tc>
        <w:tc>
          <w:tcPr>
            <w:tcW w:type="dxa" w:w="1872"/>
            <w:vAlign w:val="top"/>
          </w:tcPr>
          <w:p>
            <w:r/>
            <w:r>
              <w:rPr>
                <w:b w:val="0"/>
                <w:sz w:val="16"/>
              </w:rPr>
              <w:t>No</w:t>
            </w:r>
          </w:p>
        </w:tc>
        <w:tc>
          <w:tcPr>
            <w:tcW w:type="dxa" w:w="5472"/>
            <w:vAlign w:val="top"/>
          </w:tcPr>
          <w:p>
            <w:r/>
            <w:r>
              <w:rPr>
                <w:b w:val="0"/>
                <w:sz w:val="16"/>
              </w:rPr>
              <w:t>TP/PP/DP/EP orchestration, collectives, all-to-all dispatch, multi-node launch, and failure handling.</w:t>
            </w:r>
          </w:p>
        </w:tc>
      </w:tr>
      <w:tr>
        <w:trPr>
          <w:cantSplit/>
          <w:cantSplit/>
        </w:trPr>
        <w:tc>
          <w:tcPr>
            <w:tcW w:type="dxa" w:w="2448"/>
            <w:vAlign w:val="top"/>
          </w:tcPr>
          <w:p>
            <w:r/>
            <w:r>
              <w:rPr>
                <w:b w:val="0"/>
                <w:sz w:val="16"/>
              </w:rPr>
              <w:t>Advanced serving features</w:t>
            </w:r>
          </w:p>
        </w:tc>
        <w:tc>
          <w:tcPr>
            <w:tcW w:type="dxa" w:w="1872"/>
            <w:vAlign w:val="top"/>
          </w:tcPr>
          <w:p>
            <w:r/>
            <w:r>
              <w:rPr>
                <w:b w:val="0"/>
                <w:sz w:val="16"/>
              </w:rPr>
              <w:t>Partly as contracts</w:t>
            </w:r>
          </w:p>
        </w:tc>
        <w:tc>
          <w:tcPr>
            <w:tcW w:type="dxa" w:w="5472"/>
            <w:vAlign w:val="top"/>
          </w:tcPr>
          <w:p>
            <w:r/>
            <w:r>
              <w:rPr>
                <w:b w:val="0"/>
                <w:sz w:val="16"/>
              </w:rPr>
              <w:t>Structured-output FSM engine, speculative decoding engine, Multi-LoRA batching runtime, tool calling, streaming API, and multimodal preprocessing.</w:t>
            </w:r>
          </w:p>
        </w:tc>
      </w:tr>
      <w:tr>
        <w:trPr>
          <w:cantSplit/>
          <w:cantSplit/>
        </w:trPr>
        <w:tc>
          <w:tcPr>
            <w:tcW w:type="dxa" w:w="2448"/>
            <w:vAlign w:val="top"/>
          </w:tcPr>
          <w:p>
            <w:r/>
            <w:r>
              <w:rPr>
                <w:b w:val="0"/>
                <w:sz w:val="16"/>
              </w:rPr>
              <w:t>Operations and observability</w:t>
            </w:r>
          </w:p>
        </w:tc>
        <w:tc>
          <w:tcPr>
            <w:tcW w:type="dxa" w:w="1872"/>
            <w:vAlign w:val="top"/>
          </w:tcPr>
          <w:p>
            <w:r/>
            <w:r>
              <w:rPr>
                <w:b w:val="0"/>
                <w:sz w:val="16"/>
              </w:rPr>
              <w:t>No</w:t>
            </w:r>
          </w:p>
        </w:tc>
        <w:tc>
          <w:tcPr>
            <w:tcW w:type="dxa" w:w="5472"/>
            <w:vAlign w:val="top"/>
          </w:tcPr>
          <w:p>
            <w:r/>
            <w:r>
              <w:rPr>
                <w:b w:val="0"/>
                <w:sz w:val="16"/>
              </w:rPr>
              <w:t>Metrics, tracing, dashboards, server lifecycle, deployment recipes, and rolling upgrade support.</w:t>
            </w:r>
          </w:p>
        </w:tc>
      </w:tr>
    </w:tbl>
    <w:p>
      <w:pPr>
        <w:pStyle w:val="Heading2"/>
      </w:pPr>
      <w:r>
        <w:t>B.5 Control Plane and Data Plane Boundary</w:t>
      </w:r>
    </w:p>
    <w:p>
      <w:r>
        <w:t>The clean design boundary is to separate the semantic control plane from the runtime data plane.</w:t>
      </w:r>
    </w:p>
    <w:p>
      <w:pPr>
        <w:pStyle w:val="CodeBlock"/>
      </w:pPr>
      <w:r>
        <w:rPr>
          <w:rFonts w:ascii="Consolas" w:hAnsi="Consolas" w:eastAsia="Consolas"/>
          <w:sz w:val="17"/>
        </w:rPr>
        <w:t>Compiler / Expert System asks:</w:t>
      </w:r>
    </w:p>
    <w:p>
      <w:pPr>
        <w:pStyle w:val="CodeBlock"/>
      </w:pPr>
      <w:r>
        <w:rPr>
          <w:rFonts w:ascii="Consolas" w:hAnsi="Consolas" w:eastAsia="Consolas"/>
          <w:sz w:val="17"/>
        </w:rPr>
        <w:t xml:space="preserve">  What model is this?</w:t>
      </w:r>
    </w:p>
    <w:p>
      <w:pPr>
        <w:pStyle w:val="CodeBlock"/>
      </w:pPr>
      <w:r>
        <w:rPr>
          <w:rFonts w:ascii="Consolas" w:hAnsi="Consolas" w:eastAsia="Consolas"/>
          <w:sz w:val="17"/>
        </w:rPr>
        <w:t xml:space="preserve">  What contracts must hold?</w:t>
      </w:r>
    </w:p>
    <w:p>
      <w:pPr>
        <w:pStyle w:val="CodeBlock"/>
      </w:pPr>
      <w:r>
        <w:rPr>
          <w:rFonts w:ascii="Consolas" w:hAnsi="Consolas" w:eastAsia="Consolas"/>
          <w:sz w:val="17"/>
        </w:rPr>
        <w:t xml:space="preserve">  Which runtime is legal?</w:t>
      </w:r>
    </w:p>
    <w:p>
      <w:pPr>
        <w:pStyle w:val="CodeBlock"/>
      </w:pPr>
      <w:r>
        <w:rPr>
          <w:rFonts w:ascii="Consolas" w:hAnsi="Consolas" w:eastAsia="Consolas"/>
          <w:sz w:val="17"/>
        </w:rPr>
        <w:t xml:space="preserve">  Which cache, state, attention, and MoE semantics are required?</w:t>
      </w:r>
    </w:p>
    <w:p>
      <w:pPr>
        <w:pStyle w:val="CodeBlock"/>
      </w:pPr>
      <w:r>
        <w:rPr>
          <w:rFonts w:ascii="Consolas" w:hAnsi="Consolas" w:eastAsia="Consolas"/>
          <w:sz w:val="17"/>
        </w:rPr>
        <w:t xml:space="preserve">  Which SGLang flags are safe?</w:t>
      </w:r>
    </w:p>
    <w:p>
      <w:pPr>
        <w:pStyle w:val="CodeBlock"/>
      </w:pPr>
      <w:r>
        <w:rPr>
          <w:rFonts w:ascii="Consolas" w:hAnsi="Consolas" w:eastAsia="Consolas"/>
          <w:sz w:val="17"/>
        </w:rPr>
        <w:t xml:space="preserve">  Which conformance tests must pass?</w:t>
      </w:r>
    </w:p>
    <w:p>
      <w:pPr>
        <w:pStyle w:val="CodeBlock"/>
      </w:pPr>
      <w:r>
        <w:rPr>
          <w:rFonts w:ascii="Consolas" w:hAnsi="Consolas" w:eastAsia="Consolas"/>
          <w:sz w:val="17"/>
        </w:rPr>
        <w:t xml:space="preserve">  Should deployment be certified or rejected?</w:t>
      </w:r>
    </w:p>
    <w:p>
      <w:pPr>
        <w:pStyle w:val="CodeBlock"/>
      </w:pPr>
    </w:p>
    <w:p>
      <w:pPr>
        <w:pStyle w:val="CodeBlock"/>
      </w:pPr>
      <w:r>
        <w:rPr>
          <w:rFonts w:ascii="Consolas" w:hAnsi="Consolas" w:eastAsia="Consolas"/>
          <w:sz w:val="17"/>
        </w:rPr>
        <w:t>SGLang Runtime answers:</w:t>
      </w:r>
    </w:p>
    <w:p>
      <w:pPr>
        <w:pStyle w:val="CodeBlock"/>
      </w:pPr>
      <w:r>
        <w:rPr>
          <w:rFonts w:ascii="Consolas" w:hAnsi="Consolas" w:eastAsia="Consolas"/>
          <w:sz w:val="17"/>
        </w:rPr>
        <w:t xml:space="preserve">  How are requests admitted?</w:t>
      </w:r>
    </w:p>
    <w:p>
      <w:pPr>
        <w:pStyle w:val="CodeBlock"/>
      </w:pPr>
      <w:r>
        <w:rPr>
          <w:rFonts w:ascii="Consolas" w:hAnsi="Consolas" w:eastAsia="Consolas"/>
          <w:sz w:val="17"/>
        </w:rPr>
        <w:t xml:space="preserve">  How are batches formed?</w:t>
      </w:r>
    </w:p>
    <w:p>
      <w:pPr>
        <w:pStyle w:val="CodeBlock"/>
      </w:pPr>
      <w:r>
        <w:rPr>
          <w:rFonts w:ascii="Consolas" w:hAnsi="Consolas" w:eastAsia="Consolas"/>
          <w:sz w:val="17"/>
        </w:rPr>
        <w:t xml:space="preserve">  How is KV memory allocated?</w:t>
      </w:r>
    </w:p>
    <w:p>
      <w:pPr>
        <w:pStyle w:val="CodeBlock"/>
      </w:pPr>
      <w:r>
        <w:rPr>
          <w:rFonts w:ascii="Consolas" w:hAnsi="Consolas" w:eastAsia="Consolas"/>
          <w:sz w:val="17"/>
        </w:rPr>
        <w:t xml:space="preserve">  How does RadixAttention reuse prefixes?</w:t>
      </w:r>
    </w:p>
    <w:p>
      <w:pPr>
        <w:pStyle w:val="CodeBlock"/>
      </w:pPr>
      <w:r>
        <w:rPr>
          <w:rFonts w:ascii="Consolas" w:hAnsi="Consolas" w:eastAsia="Consolas"/>
          <w:sz w:val="17"/>
        </w:rPr>
        <w:t xml:space="preserve">  Which kernels run?</w:t>
      </w:r>
    </w:p>
    <w:p>
      <w:pPr>
        <w:pStyle w:val="CodeBlock"/>
      </w:pPr>
      <w:r>
        <w:rPr>
          <w:rFonts w:ascii="Consolas" w:hAnsi="Consolas" w:eastAsia="Consolas"/>
          <w:sz w:val="17"/>
        </w:rPr>
        <w:t xml:space="preserve">  How are tokens sampled?</w:t>
      </w:r>
    </w:p>
    <w:p>
      <w:pPr>
        <w:pStyle w:val="CodeBlock"/>
      </w:pPr>
      <w:r>
        <w:rPr>
          <w:rFonts w:ascii="Consolas" w:hAnsi="Consolas" w:eastAsia="Consolas"/>
          <w:sz w:val="17"/>
        </w:rPr>
        <w:t xml:space="preserve">  How are experts dispatched?</w:t>
      </w:r>
    </w:p>
    <w:p>
      <w:pPr>
        <w:pStyle w:val="CodeBlock"/>
      </w:pPr>
      <w:r>
        <w:rPr>
          <w:rFonts w:ascii="Consolas" w:hAnsi="Consolas" w:eastAsia="Consolas"/>
          <w:sz w:val="17"/>
        </w:rPr>
        <w:t xml:space="preserve">  How is latency optimized?</w:t>
      </w:r>
    </w:p>
    <w:p>
      <w:r>
        <w:t>This boundary allows the compiler to become a certifying orchestration layer while preserving SGLang's high-performance execution stack.</w:t>
      </w:r>
    </w:p>
    <w:p>
      <w:pPr>
        <w:pStyle w:val="Heading2"/>
      </w:pPr>
      <w:r>
        <w:t>B.6 Integration Architecture</w:t>
      </w:r>
    </w:p>
    <w:p>
      <w:pPr>
        <w:pStyle w:val="CodeBlock"/>
      </w:pPr>
      <w:r>
        <w:rPr>
          <w:rFonts w:ascii="Consolas" w:hAnsi="Consolas" w:eastAsia="Consolas"/>
          <w:sz w:val="17"/>
        </w:rPr>
        <w:t>Model artifacts</w:t>
      </w:r>
    </w:p>
    <w:p>
      <w:pPr>
        <w:pStyle w:val="CodeBlock"/>
      </w:pPr>
      <w:r>
        <w:rPr>
          <w:rFonts w:ascii="Consolas" w:hAnsi="Consolas" w:eastAsia="Consolas"/>
          <w:sz w:val="17"/>
        </w:rPr>
        <w:t xml:space="preserve">  -&gt; AI Compiler Importer</w:t>
      </w:r>
    </w:p>
    <w:p>
      <w:pPr>
        <w:pStyle w:val="CodeBlock"/>
      </w:pPr>
      <w:r>
        <w:rPr>
          <w:rFonts w:ascii="Consolas" w:hAnsi="Consolas" w:eastAsia="Consolas"/>
          <w:sz w:val="17"/>
        </w:rPr>
        <w:t xml:space="preserve">  -&gt; ModelSemanticIR + RuntimeStateIR + MoEContractIR</w:t>
      </w:r>
    </w:p>
    <w:p>
      <w:pPr>
        <w:pStyle w:val="CodeBlock"/>
      </w:pPr>
      <w:r>
        <w:rPr>
          <w:rFonts w:ascii="Consolas" w:hAnsi="Consolas" w:eastAsia="Consolas"/>
          <w:sz w:val="17"/>
        </w:rPr>
        <w:t xml:space="preserve">  -&gt; Gatekeeper Certification</w:t>
      </w:r>
    </w:p>
    <w:p>
      <w:pPr>
        <w:pStyle w:val="CodeBlock"/>
      </w:pPr>
      <w:r>
        <w:rPr>
          <w:rFonts w:ascii="Consolas" w:hAnsi="Consolas" w:eastAsia="Consolas"/>
          <w:sz w:val="17"/>
        </w:rPr>
        <w:t xml:space="preserve">  -&gt; SGLang Deployment Plan</w:t>
      </w:r>
    </w:p>
    <w:p>
      <w:pPr>
        <w:pStyle w:val="CodeBlock"/>
      </w:pPr>
      <w:r>
        <w:rPr>
          <w:rFonts w:ascii="Consolas" w:hAnsi="Consolas" w:eastAsia="Consolas"/>
          <w:sz w:val="17"/>
        </w:rPr>
        <w:t xml:space="preserve">  -&gt; Generated SGLang config + runtime guards + conformance tests</w:t>
      </w:r>
    </w:p>
    <w:p>
      <w:pPr>
        <w:pStyle w:val="CodeBlock"/>
      </w:pPr>
      <w:r>
        <w:rPr>
          <w:rFonts w:ascii="Consolas" w:hAnsi="Consolas" w:eastAsia="Consolas"/>
          <w:sz w:val="17"/>
        </w:rPr>
        <w:t xml:space="preserve">  -&gt; SGLang Runtime</w:t>
      </w:r>
    </w:p>
    <w:p>
      <w:pPr>
        <w:pStyle w:val="CodeBlock"/>
      </w:pPr>
      <w:r>
        <w:rPr>
          <w:rFonts w:ascii="Consolas" w:hAnsi="Consolas" w:eastAsia="Consolas"/>
          <w:sz w:val="17"/>
        </w:rPr>
        <w:t xml:space="preserve">  -&gt; Runtime telemetry and certification feedback</w:t>
      </w:r>
    </w:p>
    <w:p>
      <w:r>
        <w:t>The compiler should emit a certified launch package rather than merely allowing an operator to pass flags manually.</w:t>
      </w:r>
    </w:p>
    <w:p>
      <w:pPr>
        <w:pStyle w:val="CodeBlock"/>
      </w:pPr>
      <w:r>
        <w:rPr>
          <w:rFonts w:ascii="Consolas" w:hAnsi="Consolas" w:eastAsia="Consolas"/>
          <w:sz w:val="17"/>
        </w:rPr>
        <w:t>compiler output package:</w:t>
      </w:r>
    </w:p>
    <w:p>
      <w:pPr>
        <w:pStyle w:val="CodeBlock"/>
      </w:pPr>
      <w:r>
        <w:rPr>
          <w:rFonts w:ascii="Consolas" w:hAnsi="Consolas" w:eastAsia="Consolas"/>
          <w:sz w:val="17"/>
        </w:rPr>
        <w:t xml:space="preserve">  sglang_launch_config.yaml</w:t>
      </w:r>
    </w:p>
    <w:p>
      <w:pPr>
        <w:pStyle w:val="CodeBlock"/>
      </w:pPr>
      <w:r>
        <w:rPr>
          <w:rFonts w:ascii="Consolas" w:hAnsi="Consolas" w:eastAsia="Consolas"/>
          <w:sz w:val="17"/>
        </w:rPr>
        <w:t xml:space="preserve">  model_contract.json</w:t>
      </w:r>
    </w:p>
    <w:p>
      <w:pPr>
        <w:pStyle w:val="CodeBlock"/>
      </w:pPr>
      <w:r>
        <w:rPr>
          <w:rFonts w:ascii="Consolas" w:hAnsi="Consolas" w:eastAsia="Consolas"/>
          <w:sz w:val="17"/>
        </w:rPr>
        <w:t xml:space="preserve">  tokenizer_contract.json</w:t>
      </w:r>
    </w:p>
    <w:p>
      <w:pPr>
        <w:pStyle w:val="CodeBlock"/>
      </w:pPr>
      <w:r>
        <w:rPr>
          <w:rFonts w:ascii="Consolas" w:hAnsi="Consolas" w:eastAsia="Consolas"/>
          <w:sz w:val="17"/>
        </w:rPr>
        <w:t xml:space="preserve">  runtime_state_contract.json</w:t>
      </w:r>
    </w:p>
    <w:p>
      <w:pPr>
        <w:pStyle w:val="CodeBlock"/>
      </w:pPr>
      <w:r>
        <w:rPr>
          <w:rFonts w:ascii="Consolas" w:hAnsi="Consolas" w:eastAsia="Consolas"/>
          <w:sz w:val="17"/>
        </w:rPr>
        <w:t xml:space="preserve">  moe_contract.json</w:t>
      </w:r>
    </w:p>
    <w:p>
      <w:pPr>
        <w:pStyle w:val="CodeBlock"/>
      </w:pPr>
      <w:r>
        <w:rPr>
          <w:rFonts w:ascii="Consolas" w:hAnsi="Consolas" w:eastAsia="Consolas"/>
          <w:sz w:val="17"/>
        </w:rPr>
        <w:t xml:space="preserve">  checkpoint_mapping_report.json</w:t>
      </w:r>
    </w:p>
    <w:p>
      <w:pPr>
        <w:pStyle w:val="CodeBlock"/>
      </w:pPr>
      <w:r>
        <w:rPr>
          <w:rFonts w:ascii="Consolas" w:hAnsi="Consolas" w:eastAsia="Consolas"/>
          <w:sz w:val="17"/>
        </w:rPr>
        <w:t xml:space="preserve">  certification_report.json</w:t>
      </w:r>
    </w:p>
    <w:p>
      <w:pPr>
        <w:pStyle w:val="CodeBlock"/>
      </w:pPr>
      <w:r>
        <w:rPr>
          <w:rFonts w:ascii="Consolas" w:hAnsi="Consolas" w:eastAsia="Consolas"/>
          <w:sz w:val="17"/>
        </w:rPr>
        <w:t xml:space="preserve">  golden_tests/</w:t>
      </w:r>
    </w:p>
    <w:p>
      <w:pPr>
        <w:pStyle w:val="CodeBlock"/>
      </w:pPr>
      <w:r>
        <w:rPr>
          <w:rFonts w:ascii="Consolas" w:hAnsi="Consolas" w:eastAsia="Consolas"/>
          <w:sz w:val="17"/>
        </w:rPr>
        <w:t xml:space="preserve">  runtime_guard_config.json</w:t>
      </w:r>
    </w:p>
    <w:p>
      <w:pPr>
        <w:pStyle w:val="CodeBlock"/>
      </w:pPr>
      <w:r>
        <w:rPr>
          <w:rFonts w:ascii="Consolas" w:hAnsi="Consolas" w:eastAsia="Consolas"/>
          <w:sz w:val="17"/>
        </w:rPr>
        <w:t xml:space="preserve">  deployment_readiness.md</w:t>
      </w:r>
    </w:p>
    <w:p>
      <w:pPr>
        <w:pStyle w:val="Heading2"/>
      </w:pPr>
      <w:r>
        <w:t>B.7 Required SGLang Adapter Layer</w:t>
      </w:r>
    </w:p>
    <w:p>
      <w:r>
        <w:t>To make the boundary executable, the compiler needs an SGLang adapter layer. This adapter should map compiler-level contracts into SGLang runtime configuration and extract enough SGLang runtime metadata for certification and diagnostics.</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rPr>
          <w:cantSplit/>
          <w:tblHeader/>
          <w:cantSplit/>
          <w:tblHeader w:val="true"/>
        </w:trPr>
        <w:tc>
          <w:tcPr>
            <w:tcW w:type="dxa" w:w="3312"/>
            <w:vAlign w:val="top"/>
            <w:shd w:fill="D9EAF7"/>
          </w:tcPr>
          <w:p>
            <w:r/>
            <w:r>
              <w:rPr>
                <w:b/>
                <w:sz w:val="18"/>
              </w:rPr>
              <w:t>Adapter function</w:t>
            </w:r>
          </w:p>
        </w:tc>
        <w:tc>
          <w:tcPr>
            <w:tcW w:type="dxa" w:w="6480"/>
            <w:vAlign w:val="top"/>
            <w:shd w:fill="D9EAF7"/>
          </w:tcPr>
          <w:p>
            <w:r/>
            <w:r>
              <w:rPr>
                <w:b/>
                <w:sz w:val="18"/>
              </w:rPr>
              <w:t>Purpose</w:t>
            </w:r>
          </w:p>
        </w:tc>
      </w:tr>
      <w:tr>
        <w:trPr>
          <w:cantSplit/>
          <w:cantSplit/>
        </w:trPr>
        <w:tc>
          <w:tcPr>
            <w:tcW w:type="dxa" w:w="3312"/>
            <w:vAlign w:val="top"/>
          </w:tcPr>
          <w:p>
            <w:r/>
            <w:r>
              <w:rPr>
                <w:b w:val="0"/>
                <w:sz w:val="16"/>
              </w:rPr>
              <w:t>discover_backend_capabilities()</w:t>
            </w:r>
          </w:p>
        </w:tc>
        <w:tc>
          <w:tcPr>
            <w:tcW w:type="dxa" w:w="6480"/>
            <w:vAlign w:val="top"/>
          </w:tcPr>
          <w:p>
            <w:r/>
            <w:r>
              <w:rPr>
                <w:b w:val="0"/>
                <w:sz w:val="16"/>
              </w:rPr>
              <w:t>Detect supported model classes, attention backends, quantization modes, parallelism modes, max context, and kernel constraints.</w:t>
            </w:r>
          </w:p>
        </w:tc>
      </w:tr>
      <w:tr>
        <w:trPr>
          <w:cantSplit/>
          <w:cantSplit/>
        </w:trPr>
        <w:tc>
          <w:tcPr>
            <w:tcW w:type="dxa" w:w="3312"/>
            <w:vAlign w:val="top"/>
          </w:tcPr>
          <w:p>
            <w:r/>
            <w:r>
              <w:rPr>
                <w:b w:val="0"/>
                <w:sz w:val="16"/>
              </w:rPr>
              <w:t>map_model_contract_to_sglang_config()</w:t>
            </w:r>
          </w:p>
        </w:tc>
        <w:tc>
          <w:tcPr>
            <w:tcW w:type="dxa" w:w="6480"/>
            <w:vAlign w:val="top"/>
          </w:tcPr>
          <w:p>
            <w:r/>
            <w:r>
              <w:rPr>
                <w:b w:val="0"/>
                <w:sz w:val="16"/>
              </w:rPr>
              <w:t>Translate ModelSemanticIR and RuntimeStateIR into launch arguments and runtime configuration.</w:t>
            </w:r>
          </w:p>
        </w:tc>
      </w:tr>
      <w:tr>
        <w:trPr>
          <w:cantSplit/>
          <w:cantSplit/>
        </w:trPr>
        <w:tc>
          <w:tcPr>
            <w:tcW w:type="dxa" w:w="3312"/>
            <w:vAlign w:val="top"/>
          </w:tcPr>
          <w:p>
            <w:r/>
            <w:r>
              <w:rPr>
                <w:b w:val="0"/>
                <w:sz w:val="16"/>
              </w:rPr>
              <w:t>validate_checkpoint_mapping()</w:t>
            </w:r>
          </w:p>
        </w:tc>
        <w:tc>
          <w:tcPr>
            <w:tcW w:type="dxa" w:w="6480"/>
            <w:vAlign w:val="top"/>
          </w:tcPr>
          <w:p>
            <w:r/>
            <w:r>
              <w:rPr>
                <w:b w:val="0"/>
                <w:sz w:val="16"/>
              </w:rPr>
              <w:t>Ensure checkpoint tensor names, shapes, sharding, MoE experts, and LoRA adapters map correctly to SGLang model code.</w:t>
            </w:r>
          </w:p>
        </w:tc>
      </w:tr>
      <w:tr>
        <w:trPr>
          <w:cantSplit/>
          <w:cantSplit/>
        </w:trPr>
        <w:tc>
          <w:tcPr>
            <w:tcW w:type="dxa" w:w="3312"/>
            <w:vAlign w:val="top"/>
          </w:tcPr>
          <w:p>
            <w:r/>
            <w:r>
              <w:rPr>
                <w:b w:val="0"/>
                <w:sz w:val="16"/>
              </w:rPr>
              <w:t>instrument_runtime_state()</w:t>
            </w:r>
          </w:p>
        </w:tc>
        <w:tc>
          <w:tcPr>
            <w:tcW w:type="dxa" w:w="6480"/>
            <w:vAlign w:val="top"/>
          </w:tcPr>
          <w:p>
            <w:r/>
            <w:r>
              <w:rPr>
                <w:b w:val="0"/>
                <w:sz w:val="16"/>
              </w:rPr>
              <w:t>Expose KV-cache or linear-attention state metadata for certification tests.</w:t>
            </w:r>
          </w:p>
        </w:tc>
      </w:tr>
      <w:tr>
        <w:trPr>
          <w:cantSplit/>
          <w:cantSplit/>
        </w:trPr>
        <w:tc>
          <w:tcPr>
            <w:tcW w:type="dxa" w:w="3312"/>
            <w:vAlign w:val="top"/>
          </w:tcPr>
          <w:p>
            <w:r/>
            <w:r>
              <w:rPr>
                <w:b w:val="0"/>
                <w:sz w:val="16"/>
              </w:rPr>
              <w:t>instrument_moe_routes()</w:t>
            </w:r>
          </w:p>
        </w:tc>
        <w:tc>
          <w:tcPr>
            <w:tcW w:type="dxa" w:w="6480"/>
            <w:vAlign w:val="top"/>
          </w:tcPr>
          <w:p>
            <w:r/>
            <w:r>
              <w:rPr>
                <w:b w:val="0"/>
                <w:sz w:val="16"/>
              </w:rPr>
              <w:t>Capture router top-k expert IDs, expert weights, dispatch indices, and combine behavior for route replay.</w:t>
            </w:r>
          </w:p>
        </w:tc>
      </w:tr>
      <w:tr>
        <w:trPr>
          <w:cantSplit/>
          <w:cantSplit/>
        </w:trPr>
        <w:tc>
          <w:tcPr>
            <w:tcW w:type="dxa" w:w="3312"/>
            <w:vAlign w:val="top"/>
          </w:tcPr>
          <w:p>
            <w:r/>
            <w:r>
              <w:rPr>
                <w:b w:val="0"/>
                <w:sz w:val="16"/>
              </w:rPr>
              <w:t>run_golden_tests()</w:t>
            </w:r>
          </w:p>
        </w:tc>
        <w:tc>
          <w:tcPr>
            <w:tcW w:type="dxa" w:w="6480"/>
            <w:vAlign w:val="top"/>
          </w:tcPr>
          <w:p>
            <w:r/>
            <w:r>
              <w:rPr>
                <w:b w:val="0"/>
                <w:sz w:val="16"/>
              </w:rPr>
              <w:t>Execute tokenization, logits, greedy decode, logprob, cache, state, and MoE tests through the SGLang runtime.</w:t>
            </w:r>
          </w:p>
        </w:tc>
      </w:tr>
      <w:tr>
        <w:trPr>
          <w:cantSplit/>
          <w:cantSplit/>
        </w:trPr>
        <w:tc>
          <w:tcPr>
            <w:tcW w:type="dxa" w:w="3312"/>
            <w:vAlign w:val="top"/>
          </w:tcPr>
          <w:p>
            <w:r/>
            <w:r>
              <w:rPr>
                <w:b w:val="0"/>
                <w:sz w:val="16"/>
              </w:rPr>
              <w:t>collect_runtime_diagnostics()</w:t>
            </w:r>
          </w:p>
        </w:tc>
        <w:tc>
          <w:tcPr>
            <w:tcW w:type="dxa" w:w="6480"/>
            <w:vAlign w:val="top"/>
          </w:tcPr>
          <w:p>
            <w:r/>
            <w:r>
              <w:rPr>
                <w:b w:val="0"/>
                <w:sz w:val="16"/>
              </w:rPr>
              <w:t>Map SGLang errors and telemetry into compiler diagnostic families such as CSGL, CKV, CLATT, CMOE, and CCONF.</w:t>
            </w:r>
          </w:p>
        </w:tc>
      </w:tr>
    </w:tbl>
    <w:p>
      <w:pPr>
        <w:pStyle w:val="Heading2"/>
      </w:pPr>
      <w:r>
        <w:t>B.8 SGLang Runtime Features That Should Remain Runtime-Owned</w:t>
      </w:r>
    </w:p>
    <w:p>
      <w:r>
        <w:t>The following areas should remain runtime-owned unless the project explicitly decides to build a full serving engine.</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968"/>
        <w:gridCol w:w="4968"/>
      </w:tblGrid>
      <w:tr>
        <w:trPr>
          <w:cantSplit/>
          <w:tblHeader/>
          <w:cantSplit/>
          <w:tblHeader w:val="true"/>
        </w:trPr>
        <w:tc>
          <w:tcPr>
            <w:tcW w:type="dxa" w:w="2880"/>
            <w:vAlign w:val="top"/>
            <w:shd w:fill="D9EAF7"/>
          </w:tcPr>
          <w:p>
            <w:r/>
            <w:r>
              <w:rPr>
                <w:b/>
                <w:sz w:val="18"/>
              </w:rPr>
              <w:t>Runtime-owned area</w:t>
            </w:r>
          </w:p>
        </w:tc>
        <w:tc>
          <w:tcPr>
            <w:tcW w:type="dxa" w:w="6912"/>
            <w:vAlign w:val="top"/>
            <w:shd w:fill="D9EAF7"/>
          </w:tcPr>
          <w:p>
            <w:r/>
            <w:r>
              <w:rPr>
                <w:b/>
                <w:sz w:val="18"/>
              </w:rPr>
              <w:t>Reason</w:t>
            </w:r>
          </w:p>
        </w:tc>
      </w:tr>
      <w:tr>
        <w:trPr>
          <w:cantSplit/>
          <w:cantSplit/>
        </w:trPr>
        <w:tc>
          <w:tcPr>
            <w:tcW w:type="dxa" w:w="2880"/>
            <w:vAlign w:val="top"/>
          </w:tcPr>
          <w:p>
            <w:r/>
            <w:r>
              <w:rPr>
                <w:b w:val="0"/>
                <w:sz w:val="16"/>
              </w:rPr>
              <w:t>Scheduler and continuous batching</w:t>
            </w:r>
          </w:p>
        </w:tc>
        <w:tc>
          <w:tcPr>
            <w:tcW w:type="dxa" w:w="6912"/>
            <w:vAlign w:val="top"/>
          </w:tcPr>
          <w:p>
            <w:r/>
            <w:r>
              <w:rPr>
                <w:b w:val="0"/>
                <w:sz w:val="16"/>
              </w:rPr>
              <w:t>This is online request management with latency, throughput, fairness, and memory-pressure tradeoffs. SGLang documentation identifies continuous batching as a core scheduling technique that allows requests to dynamically enter and exit batches. [19]</w:t>
            </w:r>
          </w:p>
        </w:tc>
      </w:tr>
      <w:tr>
        <w:trPr>
          <w:cantSplit/>
          <w:cantSplit/>
        </w:trPr>
        <w:tc>
          <w:tcPr>
            <w:tcW w:type="dxa" w:w="2880"/>
            <w:vAlign w:val="top"/>
          </w:tcPr>
          <w:p>
            <w:r/>
            <w:r>
              <w:rPr>
                <w:b w:val="0"/>
                <w:sz w:val="16"/>
              </w:rPr>
              <w:t>RadixAttention and KV memory manager</w:t>
            </w:r>
          </w:p>
        </w:tc>
        <w:tc>
          <w:tcPr>
            <w:tcW w:type="dxa" w:w="6912"/>
            <w:vAlign w:val="top"/>
          </w:tcPr>
          <w:p>
            <w:r/>
            <w:r>
              <w:rPr>
                <w:b w:val="0"/>
                <w:sz w:val="16"/>
              </w:rPr>
              <w:t>This is a production cache-management system, not just a tensor abstraction. SGLang's RadixAttention documentation describes prefix matching, insertion, reference counts, eviction, and page alignment. [20]</w:t>
            </w:r>
          </w:p>
        </w:tc>
      </w:tr>
      <w:tr>
        <w:trPr>
          <w:cantSplit/>
          <w:cantSplit/>
        </w:trPr>
        <w:tc>
          <w:tcPr>
            <w:tcW w:type="dxa" w:w="2880"/>
            <w:vAlign w:val="top"/>
          </w:tcPr>
          <w:p>
            <w:r/>
            <w:r>
              <w:rPr>
                <w:b w:val="0"/>
                <w:sz w:val="16"/>
              </w:rPr>
              <w:t>Kernel backend</w:t>
            </w:r>
          </w:p>
        </w:tc>
        <w:tc>
          <w:tcPr>
            <w:tcW w:type="dxa" w:w="6912"/>
            <w:vAlign w:val="top"/>
          </w:tcPr>
          <w:p>
            <w:r/>
            <w:r>
              <w:rPr>
                <w:b w:val="0"/>
                <w:sz w:val="16"/>
              </w:rPr>
              <w:t>Hardware-specific kernels and CUDA Graph capture are performance-critical and change rapidly.</w:t>
            </w:r>
          </w:p>
        </w:tc>
      </w:tr>
      <w:tr>
        <w:trPr>
          <w:cantSplit/>
          <w:cantSplit/>
        </w:trPr>
        <w:tc>
          <w:tcPr>
            <w:tcW w:type="dxa" w:w="2880"/>
            <w:vAlign w:val="top"/>
          </w:tcPr>
          <w:p>
            <w:r/>
            <w:r>
              <w:rPr>
                <w:b w:val="0"/>
                <w:sz w:val="16"/>
              </w:rPr>
              <w:t>Distributed serving</w:t>
            </w:r>
          </w:p>
        </w:tc>
        <w:tc>
          <w:tcPr>
            <w:tcW w:type="dxa" w:w="6912"/>
            <w:vAlign w:val="top"/>
          </w:tcPr>
          <w:p>
            <w:r/>
            <w:r>
              <w:rPr>
                <w:b w:val="0"/>
                <w:sz w:val="16"/>
              </w:rPr>
              <w:t>TP, PP, DP, and EP are runtime orchestration problems involving process groups, collectives, rank placement, and failures.</w:t>
            </w:r>
          </w:p>
        </w:tc>
      </w:tr>
      <w:tr>
        <w:trPr>
          <w:cantSplit/>
          <w:cantSplit/>
        </w:trPr>
        <w:tc>
          <w:tcPr>
            <w:tcW w:type="dxa" w:w="2880"/>
            <w:vAlign w:val="top"/>
          </w:tcPr>
          <w:p>
            <w:r/>
            <w:r>
              <w:rPr>
                <w:b w:val="0"/>
                <w:sz w:val="16"/>
              </w:rPr>
              <w:t>MoE data-plane execution</w:t>
            </w:r>
          </w:p>
        </w:tc>
        <w:tc>
          <w:tcPr>
            <w:tcW w:type="dxa" w:w="6912"/>
            <w:vAlign w:val="top"/>
          </w:tcPr>
          <w:p>
            <w:r/>
            <w:r>
              <w:rPr>
                <w:b w:val="0"/>
                <w:sz w:val="16"/>
              </w:rPr>
              <w:t>The compiler should certify expert identity and routing semantics, but SGLang should execute token dispatch, all-to-all communication, expert batching, and GroupGEMM.</w:t>
            </w:r>
          </w:p>
        </w:tc>
      </w:tr>
      <w:tr>
        <w:trPr>
          <w:cantSplit/>
          <w:cantSplit/>
        </w:trPr>
        <w:tc>
          <w:tcPr>
            <w:tcW w:type="dxa" w:w="2880"/>
            <w:vAlign w:val="top"/>
          </w:tcPr>
          <w:p>
            <w:r/>
            <w:r>
              <w:rPr>
                <w:b w:val="0"/>
                <w:sz w:val="16"/>
              </w:rPr>
              <w:t>Structured output decoding</w:t>
            </w:r>
          </w:p>
        </w:tc>
        <w:tc>
          <w:tcPr>
            <w:tcW w:type="dxa" w:w="6912"/>
            <w:vAlign w:val="top"/>
          </w:tcPr>
          <w:p>
            <w:r/>
            <w:r>
              <w:rPr>
                <w:b w:val="0"/>
                <w:sz w:val="16"/>
              </w:rPr>
              <w:t>The compiler can certify schema and grammar contracts, while SGLang executes the decoding engine. SGLang supports JSON schema, regular expressions, and EBNF constraints for structured outputs. [21]</w:t>
            </w:r>
          </w:p>
        </w:tc>
      </w:tr>
      <w:tr>
        <w:trPr>
          <w:cantSplit/>
          <w:cantSplit/>
        </w:trPr>
        <w:tc>
          <w:tcPr>
            <w:tcW w:type="dxa" w:w="2880"/>
            <w:vAlign w:val="top"/>
          </w:tcPr>
          <w:p>
            <w:r/>
            <w:r>
              <w:rPr>
                <w:b w:val="0"/>
                <w:sz w:val="16"/>
              </w:rPr>
              <w:t>LoRA and adapter batching</w:t>
            </w:r>
          </w:p>
        </w:tc>
        <w:tc>
          <w:tcPr>
            <w:tcW w:type="dxa" w:w="6912"/>
            <w:vAlign w:val="top"/>
          </w:tcPr>
          <w:p>
            <w:r/>
            <w:r>
              <w:rPr>
                <w:b w:val="0"/>
                <w:sz w:val="16"/>
              </w:rPr>
              <w:t>The compiler can verify adapter ABI and allowed composition, while SGLang manages adapter memory and batched adapter execution. SGLang provides Multi-LoRA serving controls such as maximum adapters per batch. [22]</w:t>
            </w:r>
          </w:p>
        </w:tc>
      </w:tr>
      <w:tr>
        <w:trPr>
          <w:cantSplit/>
          <w:cantSplit/>
        </w:trPr>
        <w:tc>
          <w:tcPr>
            <w:tcW w:type="dxa" w:w="2880"/>
            <w:vAlign w:val="top"/>
          </w:tcPr>
          <w:p>
            <w:r/>
            <w:r>
              <w:rPr>
                <w:b w:val="0"/>
                <w:sz w:val="16"/>
              </w:rPr>
              <w:t>Speculative decoding</w:t>
            </w:r>
          </w:p>
        </w:tc>
        <w:tc>
          <w:tcPr>
            <w:tcW w:type="dxa" w:w="6912"/>
            <w:vAlign w:val="top"/>
          </w:tcPr>
          <w:p>
            <w:r/>
            <w:r>
              <w:rPr>
                <w:b w:val="0"/>
                <w:sz w:val="16"/>
              </w:rPr>
              <w:t>The compiler can certify draft-target compatibility, while SGLang manages speculative scheduling and verification. SGLang documentation lists speculative decoding as an advanced feature. [23]</w:t>
            </w:r>
          </w:p>
        </w:tc>
      </w:tr>
      <w:tr>
        <w:trPr>
          <w:cantSplit/>
          <w:cantSplit/>
        </w:trPr>
        <w:tc>
          <w:tcPr>
            <w:tcW w:type="dxa" w:w="2880"/>
            <w:vAlign w:val="top"/>
          </w:tcPr>
          <w:p>
            <w:r/>
            <w:r>
              <w:rPr>
                <w:b w:val="0"/>
                <w:sz w:val="16"/>
              </w:rPr>
              <w:t>Operational serving API</w:t>
            </w:r>
          </w:p>
        </w:tc>
        <w:tc>
          <w:tcPr>
            <w:tcW w:type="dxa" w:w="6912"/>
            <w:vAlign w:val="top"/>
          </w:tcPr>
          <w:p>
            <w:r/>
            <w:r>
              <w:rPr>
                <w:b w:val="0"/>
                <w:sz w:val="16"/>
              </w:rPr>
              <w:t>OpenAI-compatible serving, streaming, request lifecycle, metrics, and deployment operations should remain in the serving layer.</w:t>
            </w:r>
          </w:p>
        </w:tc>
      </w:tr>
    </w:tbl>
    <w:p>
      <w:pPr>
        <w:pStyle w:val="Heading2"/>
      </w:pPr>
      <w:r>
        <w:t>B.9 What the Compiler Adds That SGLang Should Not Have to Own</w:t>
      </w:r>
    </w:p>
    <w:p>
      <w:r>
        <w:t>The compiler should avoid duplicating SGLang's runtime, but SGLang should also not be expected to own cross-phase semantic certification. That responsibility belongs to the compiler expert system.</w:t>
      </w:r>
    </w:p>
    <w:p>
      <w:pPr>
        <w:pStyle w:val="ListBullet"/>
      </w:pPr>
      <w:r>
        <w:t>Pretrained-model import gate for RL readiness.</w:t>
      </w:r>
    </w:p>
    <w:p>
      <w:pPr>
        <w:pStyle w:val="ListBullet"/>
      </w:pPr>
      <w:r>
        <w:t>Post-trained-model import gate for inference readiness.</w:t>
      </w:r>
    </w:p>
    <w:p>
      <w:pPr>
        <w:pStyle w:val="ListBullet"/>
      </w:pPr>
      <w:r>
        <w:t>Explicit missing-contract reporting.</w:t>
      </w:r>
    </w:p>
    <w:p>
      <w:pPr>
        <w:pStyle w:val="ListBullet"/>
      </w:pPr>
      <w:r>
        <w:t>Tokenizer, chat-template, and generation-policy certification.</w:t>
      </w:r>
    </w:p>
    <w:p>
      <w:pPr>
        <w:pStyle w:val="ListBullet"/>
      </w:pPr>
      <w:r>
        <w:t>Checkpoint mapping and artifact provenance verification.</w:t>
      </w:r>
    </w:p>
    <w:p>
      <w:pPr>
        <w:pStyle w:val="ListBullet"/>
      </w:pPr>
      <w:r>
        <w:t>KV-cache and linear-attention state equivalence testing.</w:t>
      </w:r>
    </w:p>
    <w:p>
      <w:pPr>
        <w:pStyle w:val="ListBullet"/>
      </w:pPr>
      <w:r>
        <w:t>MoE route, expert identity, dispatch/combine, and expert-placement certification.</w:t>
      </w:r>
    </w:p>
    <w:p>
      <w:pPr>
        <w:pStyle w:val="ListBullet"/>
      </w:pPr>
      <w:r>
        <w:t>Rollout-vs-inference replay using golden prompts, logits, logprobs, and route traces.</w:t>
      </w:r>
    </w:p>
    <w:p>
      <w:pPr>
        <w:pStyle w:val="ListBullet"/>
      </w:pPr>
      <w:r>
        <w:t>Runtime configuration validation before launching SGLang.</w:t>
      </w:r>
    </w:p>
    <w:p>
      <w:pPr>
        <w:pStyle w:val="ListBullet"/>
      </w:pPr>
      <w:r>
        <w:t>Diagnostic code families for organizational handoff and CI/CD gates.</w:t>
      </w:r>
    </w:p>
    <w:p>
      <w:pPr>
        <w:pStyle w:val="Heading2"/>
      </w:pPr>
      <w:r>
        <w:t>B.10 Development Roadmap</w:t>
      </w:r>
    </w:p>
    <w:tbl>
      <w:tblPr>
        <w:tblStyle w:val="TableGrid"/>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312"/>
        <w:gridCol w:w="3312"/>
        <w:gridCol w:w="3312"/>
      </w:tblGrid>
      <w:tr>
        <w:trPr>
          <w:cantSplit/>
          <w:tblHeader/>
          <w:cantSplit/>
          <w:tblHeader w:val="true"/>
        </w:trPr>
        <w:tc>
          <w:tcPr>
            <w:tcW w:type="dxa" w:w="1440"/>
            <w:vAlign w:val="top"/>
            <w:shd w:fill="D9EAF7"/>
          </w:tcPr>
          <w:p>
            <w:r/>
            <w:r>
              <w:rPr>
                <w:b/>
                <w:sz w:val="18"/>
              </w:rPr>
              <w:t>Stage</w:t>
            </w:r>
          </w:p>
        </w:tc>
        <w:tc>
          <w:tcPr>
            <w:tcW w:type="dxa" w:w="4608"/>
            <w:vAlign w:val="top"/>
            <w:shd w:fill="D9EAF7"/>
          </w:tcPr>
          <w:p>
            <w:r/>
            <w:r>
              <w:rPr>
                <w:b/>
                <w:sz w:val="18"/>
              </w:rPr>
              <w:t>Compiler capability</w:t>
            </w:r>
          </w:p>
        </w:tc>
        <w:tc>
          <w:tcPr>
            <w:tcW w:type="dxa" w:w="3744"/>
            <w:vAlign w:val="top"/>
            <w:shd w:fill="D9EAF7"/>
          </w:tcPr>
          <w:p>
            <w:r/>
            <w:r>
              <w:rPr>
                <w:b/>
                <w:sz w:val="18"/>
              </w:rPr>
              <w:t>SGLang relationship</w:t>
            </w:r>
          </w:p>
        </w:tc>
      </w:tr>
      <w:tr>
        <w:trPr>
          <w:cantSplit/>
          <w:cantSplit/>
        </w:trPr>
        <w:tc>
          <w:tcPr>
            <w:tcW w:type="dxa" w:w="1440"/>
            <w:vAlign w:val="top"/>
          </w:tcPr>
          <w:p>
            <w:r/>
            <w:r>
              <w:rPr>
                <w:b w:val="0"/>
                <w:sz w:val="16"/>
              </w:rPr>
              <w:t>Stage 1</w:t>
            </w:r>
          </w:p>
        </w:tc>
        <w:tc>
          <w:tcPr>
            <w:tcW w:type="dxa" w:w="4608"/>
            <w:vAlign w:val="top"/>
          </w:tcPr>
          <w:p>
            <w:r/>
            <w:r>
              <w:rPr>
                <w:b w:val="0"/>
                <w:sz w:val="16"/>
              </w:rPr>
              <w:t>Gatekeeper around SGLang: import artifacts, validate contracts, run golden tests.</w:t>
            </w:r>
          </w:p>
        </w:tc>
        <w:tc>
          <w:tcPr>
            <w:tcW w:type="dxa" w:w="3744"/>
            <w:vAlign w:val="top"/>
          </w:tcPr>
          <w:p>
            <w:r/>
            <w:r>
              <w:rPr>
                <w:b w:val="0"/>
                <w:sz w:val="16"/>
              </w:rPr>
              <w:t>SGLang remains unchanged execution backend.</w:t>
            </w:r>
          </w:p>
        </w:tc>
      </w:tr>
      <w:tr>
        <w:trPr>
          <w:cantSplit/>
          <w:cantSplit/>
        </w:trPr>
        <w:tc>
          <w:tcPr>
            <w:tcW w:type="dxa" w:w="1440"/>
            <w:vAlign w:val="top"/>
          </w:tcPr>
          <w:p>
            <w:r/>
            <w:r>
              <w:rPr>
                <w:b w:val="0"/>
                <w:sz w:val="16"/>
              </w:rPr>
              <w:t>Stage 2</w:t>
            </w:r>
          </w:p>
        </w:tc>
        <w:tc>
          <w:tcPr>
            <w:tcW w:type="dxa" w:w="4608"/>
            <w:vAlign w:val="top"/>
          </w:tcPr>
          <w:p>
            <w:r/>
            <w:r>
              <w:rPr>
                <w:b w:val="0"/>
                <w:sz w:val="16"/>
              </w:rPr>
              <w:t>Generate SGLang configs, conformance tests, and runtime guard configuration.</w:t>
            </w:r>
          </w:p>
        </w:tc>
        <w:tc>
          <w:tcPr>
            <w:tcW w:type="dxa" w:w="3744"/>
            <w:vAlign w:val="top"/>
          </w:tcPr>
          <w:p>
            <w:r/>
            <w:r>
              <w:rPr>
                <w:b w:val="0"/>
                <w:sz w:val="16"/>
              </w:rPr>
              <w:t>Compiler becomes deployment-control layer.</w:t>
            </w:r>
          </w:p>
        </w:tc>
      </w:tr>
      <w:tr>
        <w:trPr>
          <w:cantSplit/>
          <w:cantSplit/>
        </w:trPr>
        <w:tc>
          <w:tcPr>
            <w:tcW w:type="dxa" w:w="1440"/>
            <w:vAlign w:val="top"/>
          </w:tcPr>
          <w:p>
            <w:r/>
            <w:r>
              <w:rPr>
                <w:b w:val="0"/>
                <w:sz w:val="16"/>
              </w:rPr>
              <w:t>Stage 3</w:t>
            </w:r>
          </w:p>
        </w:tc>
        <w:tc>
          <w:tcPr>
            <w:tcW w:type="dxa" w:w="4608"/>
            <w:vAlign w:val="top"/>
          </w:tcPr>
          <w:p>
            <w:r/>
            <w:r>
              <w:rPr>
                <w:b w:val="0"/>
                <w:sz w:val="16"/>
              </w:rPr>
              <w:t>Generate scheduling, cache, and MoE policy recommendations from IR.</w:t>
            </w:r>
          </w:p>
        </w:tc>
        <w:tc>
          <w:tcPr>
            <w:tcW w:type="dxa" w:w="3744"/>
            <w:vAlign w:val="top"/>
          </w:tcPr>
          <w:p>
            <w:r/>
            <w:r>
              <w:rPr>
                <w:b w:val="0"/>
                <w:sz w:val="16"/>
              </w:rPr>
              <w:t>SGLang executes policies where supported.</w:t>
            </w:r>
          </w:p>
        </w:tc>
      </w:tr>
      <w:tr>
        <w:trPr>
          <w:cantSplit/>
          <w:cantSplit/>
        </w:trPr>
        <w:tc>
          <w:tcPr>
            <w:tcW w:type="dxa" w:w="1440"/>
            <w:vAlign w:val="top"/>
          </w:tcPr>
          <w:p>
            <w:r/>
            <w:r>
              <w:rPr>
                <w:b w:val="0"/>
                <w:sz w:val="16"/>
              </w:rPr>
              <w:t>Stage 4</w:t>
            </w:r>
          </w:p>
        </w:tc>
        <w:tc>
          <w:tcPr>
            <w:tcW w:type="dxa" w:w="4608"/>
            <w:vAlign w:val="top"/>
          </w:tcPr>
          <w:p>
            <w:r/>
            <w:r>
              <w:rPr>
                <w:b w:val="0"/>
                <w:sz w:val="16"/>
              </w:rPr>
              <w:t>Own a runtime-state manager abstraction above SGLang, vLLM, and TensorRT-LLM.</w:t>
            </w:r>
          </w:p>
        </w:tc>
        <w:tc>
          <w:tcPr>
            <w:tcW w:type="dxa" w:w="3744"/>
            <w:vAlign w:val="top"/>
          </w:tcPr>
          <w:p>
            <w:r/>
            <w:r>
              <w:rPr>
                <w:b w:val="0"/>
                <w:sz w:val="16"/>
              </w:rPr>
              <w:t>Compiler becomes multi-runtime portability layer.</w:t>
            </w:r>
          </w:p>
        </w:tc>
      </w:tr>
      <w:tr>
        <w:trPr>
          <w:cantSplit/>
          <w:cantSplit/>
        </w:trPr>
        <w:tc>
          <w:tcPr>
            <w:tcW w:type="dxa" w:w="1440"/>
            <w:vAlign w:val="top"/>
          </w:tcPr>
          <w:p>
            <w:r/>
            <w:r>
              <w:rPr>
                <w:b w:val="0"/>
                <w:sz w:val="16"/>
              </w:rPr>
              <w:t>Stage 5</w:t>
            </w:r>
          </w:p>
        </w:tc>
        <w:tc>
          <w:tcPr>
            <w:tcW w:type="dxa" w:w="4608"/>
            <w:vAlign w:val="top"/>
          </w:tcPr>
          <w:p>
            <w:r/>
            <w:r>
              <w:rPr>
                <w:b w:val="0"/>
                <w:sz w:val="16"/>
              </w:rPr>
              <w:t>Generate/select kernels and runtime plans based on hardware and model IR.</w:t>
            </w:r>
          </w:p>
        </w:tc>
        <w:tc>
          <w:tcPr>
            <w:tcW w:type="dxa" w:w="3744"/>
            <w:vAlign w:val="top"/>
          </w:tcPr>
          <w:p>
            <w:r/>
            <w:r>
              <w:rPr>
                <w:b w:val="0"/>
                <w:sz w:val="16"/>
              </w:rPr>
              <w:t>Compiler starts owning optimization decisions.</w:t>
            </w:r>
          </w:p>
        </w:tc>
      </w:tr>
      <w:tr>
        <w:trPr>
          <w:cantSplit/>
          <w:cantSplit/>
        </w:trPr>
        <w:tc>
          <w:tcPr>
            <w:tcW w:type="dxa" w:w="1440"/>
            <w:vAlign w:val="top"/>
          </w:tcPr>
          <w:p>
            <w:r/>
            <w:r>
              <w:rPr>
                <w:b w:val="0"/>
                <w:sz w:val="16"/>
              </w:rPr>
              <w:t>Stage 6</w:t>
            </w:r>
          </w:p>
        </w:tc>
        <w:tc>
          <w:tcPr>
            <w:tcW w:type="dxa" w:w="4608"/>
            <w:vAlign w:val="top"/>
          </w:tcPr>
          <w:p>
            <w:r/>
            <w:r>
              <w:rPr>
                <w:b w:val="0"/>
                <w:sz w:val="16"/>
              </w:rPr>
              <w:t>Implement a full serving runtime.</w:t>
            </w:r>
          </w:p>
        </w:tc>
        <w:tc>
          <w:tcPr>
            <w:tcW w:type="dxa" w:w="3744"/>
            <w:vAlign w:val="top"/>
          </w:tcPr>
          <w:p>
            <w:r/>
            <w:r>
              <w:rPr>
                <w:b w:val="0"/>
                <w:sz w:val="16"/>
              </w:rPr>
              <w:t>Only if the project deliberately chooses to compete with SGLang.</w:t>
            </w:r>
          </w:p>
        </w:tc>
      </w:tr>
    </w:tbl>
    <w:p>
      <w:pPr>
        <w:pStyle w:val="Heading2"/>
      </w:pPr>
      <w:r>
        <w:t>B.11 Design Rule</w:t>
      </w:r>
    </w:p>
    <w:p>
      <w:r>
        <w:t>The proposed AI compiler should not initially claim to replace SGLang. It should claim to extend SGLang with a semantic compiler control plane and gatekeeper layer.</w:t>
      </w:r>
    </w:p>
    <w:p>
      <w:pPr>
        <w:pStyle w:val="CodeBlock"/>
      </w:pPr>
      <w:r>
        <w:rPr>
          <w:rFonts w:ascii="Consolas" w:hAnsi="Consolas" w:eastAsia="Consolas"/>
          <w:sz w:val="17"/>
        </w:rPr>
        <w:t>SGLang launch success is not sufficient.</w:t>
      </w:r>
    </w:p>
    <w:p>
      <w:pPr>
        <w:pStyle w:val="CodeBlock"/>
      </w:pPr>
      <w:r>
        <w:rPr>
          <w:rFonts w:ascii="Consolas" w:hAnsi="Consolas" w:eastAsia="Consolas"/>
          <w:sz w:val="17"/>
        </w:rPr>
        <w:t>Compiler certification is the stronger condition.</w:t>
      </w:r>
    </w:p>
    <w:p>
      <w:pPr>
        <w:pStyle w:val="CodeBlock"/>
      </w:pPr>
    </w:p>
    <w:p>
      <w:pPr>
        <w:pStyle w:val="CodeBlock"/>
      </w:pPr>
      <w:r>
        <w:rPr>
          <w:rFonts w:ascii="Consolas" w:hAnsi="Consolas" w:eastAsia="Consolas"/>
          <w:sz w:val="17"/>
        </w:rPr>
        <w:t>Launch success means:</w:t>
      </w:r>
    </w:p>
    <w:p>
      <w:pPr>
        <w:pStyle w:val="CodeBlock"/>
      </w:pPr>
      <w:r>
        <w:rPr>
          <w:rFonts w:ascii="Consolas" w:hAnsi="Consolas" w:eastAsia="Consolas"/>
          <w:sz w:val="17"/>
        </w:rPr>
        <w:t xml:space="preserve">  the server can start.</w:t>
      </w:r>
    </w:p>
    <w:p>
      <w:pPr>
        <w:pStyle w:val="CodeBlock"/>
      </w:pPr>
    </w:p>
    <w:p>
      <w:pPr>
        <w:pStyle w:val="CodeBlock"/>
      </w:pPr>
      <w:r>
        <w:rPr>
          <w:rFonts w:ascii="Consolas" w:hAnsi="Consolas" w:eastAsia="Consolas"/>
          <w:sz w:val="17"/>
        </w:rPr>
        <w:t>Compiler certification means:</w:t>
      </w:r>
    </w:p>
    <w:p>
      <w:pPr>
        <w:pStyle w:val="CodeBlock"/>
      </w:pPr>
      <w:r>
        <w:rPr>
          <w:rFonts w:ascii="Consolas" w:hAnsi="Consolas" w:eastAsia="Consolas"/>
          <w:sz w:val="17"/>
        </w:rPr>
        <w:t xml:space="preserve">  the model, tokenizer, checkpoint, runtime state, MoE routing,</w:t>
      </w:r>
    </w:p>
    <w:p>
      <w:pPr>
        <w:pStyle w:val="CodeBlock"/>
      </w:pPr>
      <w:r>
        <w:rPr>
          <w:rFonts w:ascii="Consolas" w:hAnsi="Consolas" w:eastAsia="Consolas"/>
          <w:sz w:val="17"/>
        </w:rPr>
        <w:t xml:space="preserve">  generation policy, backend capability, and rollout-to-inference behavior</w:t>
      </w:r>
    </w:p>
    <w:p>
      <w:pPr>
        <w:pStyle w:val="CodeBlock"/>
      </w:pPr>
      <w:r>
        <w:rPr>
          <w:rFonts w:ascii="Consolas" w:hAnsi="Consolas" w:eastAsia="Consolas"/>
          <w:sz w:val="17"/>
        </w:rPr>
        <w:t xml:space="preserve">  are compatible with the declared domain contracts.</w:t>
      </w:r>
    </w:p>
    <w:p>
      <w:r>
        <w:t>This design preserves SGLang's strengths while giving the compiler a distinct architectural role: certifiable deployment across pre-training, RL post-training, and inference ownership boundaries.</w:t>
      </w:r>
    </w:p>
    <w:p>
      <w:pPr>
        <w:pStyle w:val="Heading1"/>
        <w:pageBreakBefore/>
      </w:pPr>
      <w:r>
        <w:t>Appendix C. Hardware Target Domain and Backend Construction Proposal</w:t>
      </w:r>
    </w:p>
    <w:p>
      <w:r>
        <w:rPr>
          <w:b/>
        </w:rPr>
        <w:t xml:space="preserve">Purpose. </w:t>
      </w:r>
      <w:r>
        <w:t>This appendix extends the Domain-Specific Compiler IR and Expert System Architecture from a semantic and gatekeeping control plane into the construction plan for a new tensor-processing-unit-like accelerator backend. It is intentionally written as an incremental appendix: the target description, runtime ABI, kernel list, and performance model can be refined as more hardware details become available.</w:t>
      </w:r>
    </w:p>
    <w:p>
      <w:pPr>
        <w:pStyle w:val="Heading2"/>
      </w:pPr>
      <w:r>
        <w:t>C.1 Design Position: Semantic Gatekeeping Is Necessary but Not Sufficient</w:t>
      </w:r>
    </w:p>
    <w:p>
      <w:r>
        <w:t>The current master design is strong at capturing Transformer semantics, runtime-state semantics, MoE routing semantics, model ABI compatibility, and phase-transition gatekeeping. That foundation is necessary for a new accelerator because it defines what must be preserved when the model is moved from pre-training to RL post-training to SGLang-compatible inference.</w:t>
      </w:r>
    </w:p>
    <w:p>
      <w:r>
        <w:t>However, a TPU-like target also requires a lower compiler and runtime layer that can implement those contracts efficiently on the new hardware. The additional layer must describe matrix-unit capabilities, tensor layouts, memory hierarchy, DMA movement, collective communication, runtime state management, kernel lowering, and performance/autotuning behavior. OpenXLA describes StableHLO as a portability layer between ML frameworks and ML compilers, and XLA as a compiler for optimizing ML models across hardware platforms including ML accelerators [25][27]. Google Cloud TPU documentation also illustrates that a TPU-like backend must be aware of hardware-specific matrix units, systolic-array dimensions, bfloat16 input behavior, and FP32 accumulation [26].</w:t>
      </w:r>
    </w:p>
    <w:p>
      <w:pPr>
        <w:spacing w:after="120"/>
        <w:ind w:left="360"/>
      </w:pPr>
      <w:r>
        <w:rPr>
          <w:rFonts w:ascii="Courier New" w:hAnsi="Courier New" w:eastAsia="Courier New"/>
          <w:color w:val="282828"/>
          <w:sz w:val="17"/>
        </w:rPr>
        <w:t>Domain-Specific Compiler IR and Expert System</w:t>
      </w:r>
      <w:r>
        <w:br/>
      </w:r>
      <w:r>
        <w:rPr>
          <w:rFonts w:ascii="Courier New" w:hAnsi="Courier New" w:eastAsia="Courier New"/>
          <w:color w:val="282828"/>
          <w:sz w:val="17"/>
        </w:rPr>
        <w:t xml:space="preserve">  ├── Semantic / Gatekeeper Layer          # already strong</w:t>
      </w:r>
      <w:r>
        <w:br/>
      </w:r>
      <w:r>
        <w:rPr>
          <w:rFonts w:ascii="Courier New" w:hAnsi="Courier New" w:eastAsia="Courier New"/>
          <w:color w:val="282828"/>
          <w:sz w:val="17"/>
        </w:rPr>
        <w:t xml:space="preserve">  ├── SGLang Compatibility Layer           # partially defined</w:t>
      </w:r>
      <w:r>
        <w:br/>
      </w:r>
      <w:r>
        <w:rPr>
          <w:rFonts w:ascii="Courier New" w:hAnsi="Courier New" w:eastAsia="Courier New"/>
          <w:color w:val="282828"/>
          <w:sz w:val="17"/>
        </w:rPr>
        <w:t xml:space="preserve">  └── Hardware Target Backend Layer        # added by this appendix</w:t>
      </w:r>
      <w:r>
        <w:br/>
      </w:r>
    </w:p>
    <w:tbl>
      <w:tblPr>
        <w:tblStyle w:val="TableGrid"/>
        <w:tblW w:type="auto" w:w="0"/>
        <w:jc w:val="center"/>
        <w:tblLook w:firstColumn="1" w:firstRow="1" w:lastColumn="0" w:lastRow="0" w:noHBand="0" w:noVBand="1" w:val="04A0"/>
      </w:tblPr>
      <w:tblGrid>
        <w:gridCol w:w="2880"/>
        <w:gridCol w:w="2880"/>
        <w:gridCol w:w="2880"/>
      </w:tblGrid>
      <w:tr>
        <w:trPr>
          <w:tblHeader w:val="true"/>
          <w:cantSplit/>
          <w:cantSplit/>
          <w:tblHeader w:val="true"/>
        </w:trPr>
        <w:tc>
          <w:tcPr>
            <w:tcW w:type="dxa" w:w="2736"/>
            <w:shd w:fill="E7E6E6"/>
            <w:vAlign w:val="center"/>
          </w:tcPr>
          <w:p>
            <w:r>
              <w:rPr>
                <w:b/>
              </w:rPr>
            </w:r>
            <w:r>
              <w:rPr>
                <w:b/>
              </w:rPr>
              <w:t>Current capability</w:t>
            </w:r>
          </w:p>
        </w:tc>
        <w:tc>
          <w:tcPr>
            <w:tcW w:type="dxa" w:w="2160"/>
            <w:shd w:fill="E7E6E6"/>
            <w:vAlign w:val="center"/>
          </w:tcPr>
          <w:p>
            <w:r>
              <w:rPr>
                <w:b/>
              </w:rPr>
            </w:r>
            <w:r>
              <w:rPr>
                <w:b/>
              </w:rPr>
              <w:t>Status</w:t>
            </w:r>
          </w:p>
        </w:tc>
        <w:tc>
          <w:tcPr>
            <w:tcW w:type="dxa" w:w="4464"/>
            <w:shd w:fill="E7E6E6"/>
            <w:vAlign w:val="center"/>
          </w:tcPr>
          <w:p>
            <w:r>
              <w:rPr>
                <w:b/>
              </w:rPr>
            </w:r>
            <w:r>
              <w:rPr>
                <w:b/>
              </w:rPr>
              <w:t>Required addition for TPU-like backend</w:t>
            </w:r>
          </w:p>
        </w:tc>
      </w:tr>
      <w:tr>
        <w:trPr>
          <w:cantSplit/>
          <w:cantSplit/>
        </w:trPr>
        <w:tc>
          <w:tcPr>
            <w:tcW w:type="dxa" w:w="2736"/>
            <w:vAlign w:val="top"/>
          </w:tcPr>
          <w:p>
            <w:r/>
            <w:r>
              <w:rPr>
                <w:b w:val="0"/>
              </w:rPr>
              <w:t>Transformer semantic ABI</w:t>
            </w:r>
          </w:p>
        </w:tc>
        <w:tc>
          <w:tcPr>
            <w:tcW w:type="dxa" w:w="2160"/>
            <w:vAlign w:val="top"/>
          </w:tcPr>
          <w:p>
            <w:r/>
            <w:r>
              <w:rPr>
                <w:b w:val="0"/>
              </w:rPr>
              <w:t>Solid</w:t>
            </w:r>
          </w:p>
        </w:tc>
        <w:tc>
          <w:tcPr>
            <w:tcW w:type="dxa" w:w="4464"/>
            <w:vAlign w:val="top"/>
          </w:tcPr>
          <w:p>
            <w:r/>
            <w:r>
              <w:rPr>
                <w:b w:val="0"/>
              </w:rPr>
              <w:t>Lowering must preserve the semantic ABI on the target.</w:t>
            </w:r>
          </w:p>
        </w:tc>
      </w:tr>
      <w:tr>
        <w:trPr>
          <w:cantSplit/>
          <w:cantSplit/>
        </w:trPr>
        <w:tc>
          <w:tcPr>
            <w:tcW w:type="dxa" w:w="2736"/>
            <w:vAlign w:val="top"/>
          </w:tcPr>
          <w:p>
            <w:r/>
            <w:r>
              <w:rPr>
                <w:b w:val="0"/>
              </w:rPr>
              <w:t>KV cache / linear-attention state contracts</w:t>
            </w:r>
          </w:p>
        </w:tc>
        <w:tc>
          <w:tcPr>
            <w:tcW w:type="dxa" w:w="2160"/>
            <w:vAlign w:val="top"/>
          </w:tcPr>
          <w:p>
            <w:r/>
            <w:r>
              <w:rPr>
                <w:b w:val="0"/>
              </w:rPr>
              <w:t>Solid semantically</w:t>
            </w:r>
          </w:p>
        </w:tc>
        <w:tc>
          <w:tcPr>
            <w:tcW w:type="dxa" w:w="4464"/>
            <w:vAlign w:val="top"/>
          </w:tcPr>
          <w:p>
            <w:r/>
            <w:r>
              <w:rPr>
                <w:b w:val="0"/>
              </w:rPr>
              <w:t>Physical state allocator, memory layout, transfer, and state-update kernels are required.</w:t>
            </w:r>
          </w:p>
        </w:tc>
      </w:tr>
      <w:tr>
        <w:trPr>
          <w:cantSplit/>
          <w:cantSplit/>
        </w:trPr>
        <w:tc>
          <w:tcPr>
            <w:tcW w:type="dxa" w:w="2736"/>
            <w:vAlign w:val="top"/>
          </w:tcPr>
          <w:p>
            <w:r/>
            <w:r>
              <w:rPr>
                <w:b w:val="0"/>
              </w:rPr>
              <w:t>MoE router/expert contracts</w:t>
            </w:r>
          </w:p>
        </w:tc>
        <w:tc>
          <w:tcPr>
            <w:tcW w:type="dxa" w:w="2160"/>
            <w:vAlign w:val="top"/>
          </w:tcPr>
          <w:p>
            <w:r/>
            <w:r>
              <w:rPr>
                <w:b w:val="0"/>
              </w:rPr>
              <w:t>Solid semantically</w:t>
            </w:r>
          </w:p>
        </w:tc>
        <w:tc>
          <w:tcPr>
            <w:tcW w:type="dxa" w:w="4464"/>
            <w:vAlign w:val="top"/>
          </w:tcPr>
          <w:p>
            <w:r/>
            <w:r>
              <w:rPr>
                <w:b w:val="0"/>
              </w:rPr>
              <w:t>Expert placement, dispatch/combine, all-to-all, expert-local GEMM, and load balancing are required.</w:t>
            </w:r>
          </w:p>
        </w:tc>
      </w:tr>
      <w:tr>
        <w:trPr>
          <w:cantSplit/>
          <w:cantSplit/>
        </w:trPr>
        <w:tc>
          <w:tcPr>
            <w:tcW w:type="dxa" w:w="2736"/>
            <w:vAlign w:val="top"/>
          </w:tcPr>
          <w:p>
            <w:r/>
            <w:r>
              <w:rPr>
                <w:b w:val="0"/>
              </w:rPr>
              <w:t>SGLang compatibility boundary</w:t>
            </w:r>
          </w:p>
        </w:tc>
        <w:tc>
          <w:tcPr>
            <w:tcW w:type="dxa" w:w="2160"/>
            <w:vAlign w:val="top"/>
          </w:tcPr>
          <w:p>
            <w:r/>
            <w:r>
              <w:rPr>
                <w:b w:val="0"/>
              </w:rPr>
              <w:t>Defined as control-plane/data-plane split</w:t>
            </w:r>
          </w:p>
        </w:tc>
        <w:tc>
          <w:tcPr>
            <w:tcW w:type="dxa" w:w="4464"/>
            <w:vAlign w:val="top"/>
          </w:tcPr>
          <w:p>
            <w:r/>
            <w:r>
              <w:rPr>
                <w:b w:val="0"/>
              </w:rPr>
              <w:t>A concrete target runtime adapter must expose SGLang-compatible prefill/decode/state APIs.</w:t>
            </w:r>
          </w:p>
        </w:tc>
      </w:tr>
      <w:tr>
        <w:trPr>
          <w:cantSplit/>
          <w:cantSplit/>
        </w:trPr>
        <w:tc>
          <w:tcPr>
            <w:tcW w:type="dxa" w:w="2736"/>
            <w:vAlign w:val="top"/>
          </w:tcPr>
          <w:p>
            <w:r/>
            <w:r>
              <w:rPr>
                <w:b w:val="0"/>
              </w:rPr>
              <w:t>Gatekeeper diagnostics</w:t>
            </w:r>
          </w:p>
        </w:tc>
        <w:tc>
          <w:tcPr>
            <w:tcW w:type="dxa" w:w="2160"/>
            <w:vAlign w:val="top"/>
          </w:tcPr>
          <w:p>
            <w:r/>
            <w:r>
              <w:rPr>
                <w:b w:val="0"/>
              </w:rPr>
              <w:t>Solid</w:t>
            </w:r>
          </w:p>
        </w:tc>
        <w:tc>
          <w:tcPr>
            <w:tcW w:type="dxa" w:w="4464"/>
            <w:vAlign w:val="top"/>
          </w:tcPr>
          <w:p>
            <w:r/>
            <w:r>
              <w:rPr>
                <w:b w:val="0"/>
              </w:rPr>
              <w:t>Hardware capability and backend certification diagnostics must be added.</w:t>
            </w:r>
          </w:p>
        </w:tc>
      </w:tr>
      <w:tr>
        <w:trPr>
          <w:cantSplit/>
          <w:cantSplit/>
        </w:trPr>
        <w:tc>
          <w:tcPr>
            <w:tcW w:type="dxa" w:w="2736"/>
            <w:vAlign w:val="top"/>
          </w:tcPr>
          <w:p>
            <w:r/>
            <w:r>
              <w:rPr>
                <w:b w:val="0"/>
              </w:rPr>
              <w:t>Performance optimization</w:t>
            </w:r>
          </w:p>
        </w:tc>
        <w:tc>
          <w:tcPr>
            <w:tcW w:type="dxa" w:w="2160"/>
            <w:vAlign w:val="top"/>
          </w:tcPr>
          <w:p>
            <w:r/>
            <w:r>
              <w:rPr>
                <w:b w:val="0"/>
              </w:rPr>
              <w:t>Not yet covered</w:t>
            </w:r>
          </w:p>
        </w:tc>
        <w:tc>
          <w:tcPr>
            <w:tcW w:type="dxa" w:w="4464"/>
            <w:vAlign w:val="top"/>
          </w:tcPr>
          <w:p>
            <w:r/>
            <w:r>
              <w:rPr>
                <w:b w:val="0"/>
              </w:rPr>
              <w:t>Cost model, autotuning, layout search, and profiling feedback are required.</w:t>
            </w:r>
          </w:p>
        </w:tc>
      </w:tr>
    </w:tbl>
    <w:p/>
    <w:p>
      <w:pPr>
        <w:pStyle w:val="Heading2"/>
      </w:pPr>
      <w:r>
        <w:t>C.2 Hardware Target Domain Placement</w:t>
      </w:r>
    </w:p>
    <w:p>
      <w:r>
        <w:t>The hardware target should be represented as a first-class domain under the compiler architecture. It should not be embedded inside the Transformer domain because the same target may eventually support non-Transformer tensor workloads. It should also not be embedded inside the SGLang compatibility domain because the target backend must serve both SGLang-compatible inference and possible future training, evaluation, and batch compilation paths.</w:t>
      </w:r>
    </w:p>
    <w:p>
      <w:pPr>
        <w:spacing w:after="120"/>
        <w:ind w:left="360"/>
      </w:pPr>
      <w:r>
        <w:rPr>
          <w:rFonts w:ascii="Courier New" w:hAnsi="Courier New" w:eastAsia="Courier New"/>
          <w:color w:val="282828"/>
          <w:sz w:val="17"/>
        </w:rPr>
        <w:t>ant::domain::hardware</w:t>
      </w:r>
      <w:r>
        <w:br/>
      </w:r>
      <w:r>
        <w:rPr>
          <w:rFonts w:ascii="Courier New" w:hAnsi="Courier New" w:eastAsia="Courier New"/>
          <w:color w:val="282828"/>
          <w:sz w:val="17"/>
        </w:rPr>
        <w:t xml:space="preserve">  └── tpu_like</w:t>
      </w:r>
      <w:r>
        <w:br/>
      </w:r>
      <w:r>
        <w:rPr>
          <w:rFonts w:ascii="Courier New" w:hAnsi="Courier New" w:eastAsia="Courier New"/>
          <w:color w:val="282828"/>
          <w:sz w:val="17"/>
        </w:rPr>
        <w:t xml:space="preserve">        ├── matrix_unit</w:t>
      </w:r>
      <w:r>
        <w:br/>
      </w:r>
      <w:r>
        <w:rPr>
          <w:rFonts w:ascii="Courier New" w:hAnsi="Courier New" w:eastAsia="Courier New"/>
          <w:color w:val="282828"/>
          <w:sz w:val="17"/>
        </w:rPr>
        <w:t xml:space="preserve">        ├── vector_scalar_unit</w:t>
      </w:r>
      <w:r>
        <w:br/>
      </w:r>
      <w:r>
        <w:rPr>
          <w:rFonts w:ascii="Courier New" w:hAnsi="Courier New" w:eastAsia="Courier New"/>
          <w:color w:val="282828"/>
          <w:sz w:val="17"/>
        </w:rPr>
        <w:t xml:space="preserve">        ├── memory</w:t>
      </w:r>
      <w:r>
        <w:br/>
      </w:r>
      <w:r>
        <w:rPr>
          <w:rFonts w:ascii="Courier New" w:hAnsi="Courier New" w:eastAsia="Courier New"/>
          <w:color w:val="282828"/>
          <w:sz w:val="17"/>
        </w:rPr>
        <w:t xml:space="preserve">        ├── dma</w:t>
      </w:r>
      <w:r>
        <w:br/>
      </w:r>
      <w:r>
        <w:rPr>
          <w:rFonts w:ascii="Courier New" w:hAnsi="Courier New" w:eastAsia="Courier New"/>
          <w:color w:val="282828"/>
          <w:sz w:val="17"/>
        </w:rPr>
        <w:t xml:space="preserve">        ├── collectives</w:t>
      </w:r>
      <w:r>
        <w:br/>
      </w:r>
      <w:r>
        <w:rPr>
          <w:rFonts w:ascii="Courier New" w:hAnsi="Courier New" w:eastAsia="Courier New"/>
          <w:color w:val="282828"/>
          <w:sz w:val="17"/>
        </w:rPr>
        <w:t xml:space="preserve">        ├── layout</w:t>
      </w:r>
      <w:r>
        <w:br/>
      </w:r>
      <w:r>
        <w:rPr>
          <w:rFonts w:ascii="Courier New" w:hAnsi="Courier New" w:eastAsia="Courier New"/>
          <w:color w:val="282828"/>
          <w:sz w:val="17"/>
        </w:rPr>
        <w:t xml:space="preserve">        ├── kernel_lowering</w:t>
      </w:r>
      <w:r>
        <w:br/>
      </w:r>
      <w:r>
        <w:rPr>
          <w:rFonts w:ascii="Courier New" w:hAnsi="Courier New" w:eastAsia="Courier New"/>
          <w:color w:val="282828"/>
          <w:sz w:val="17"/>
        </w:rPr>
        <w:t xml:space="preserve">        ├── runtime_abi</w:t>
      </w:r>
      <w:r>
        <w:br/>
      </w:r>
      <w:r>
        <w:rPr>
          <w:rFonts w:ascii="Courier New" w:hAnsi="Courier New" w:eastAsia="Courier New"/>
          <w:color w:val="282828"/>
          <w:sz w:val="17"/>
        </w:rPr>
        <w:t xml:space="preserve">        └── performance_model</w:t>
      </w:r>
      <w:r>
        <w:br/>
      </w:r>
    </w:p>
    <w:p>
      <w:r>
        <w:t>The Transformer domain describes what the model means. The hardware target domain describes what the device can do. The backend construction layer proves that the target can implement the Transformer, runtime-state, MoE, and SGLang compatibility contracts without semantic drift.</w:t>
      </w:r>
    </w:p>
    <w:p>
      <w:pPr>
        <w:pStyle w:val="Heading2"/>
      </w:pPr>
      <w:r>
        <w:t>C.3 Target Description Object</w:t>
      </w:r>
    </w:p>
    <w:p>
      <w:r>
        <w:t>The first implementation artifact should be a target description object. This object is the hardware equivalent of a model contract. It tells the compiler which operations, layouts, dtypes, memory spaces, and communication primitives are legal and efficient.</w:t>
      </w:r>
    </w:p>
    <w:p>
      <w:pPr>
        <w:spacing w:after="120"/>
        <w:ind w:left="360"/>
      </w:pPr>
      <w:r>
        <w:rPr>
          <w:rFonts w:ascii="Courier New" w:hAnsi="Courier New" w:eastAsia="Courier New"/>
          <w:color w:val="282828"/>
          <w:sz w:val="17"/>
        </w:rPr>
        <w:t>TPULikeTargetDescription {</w:t>
      </w:r>
      <w:r>
        <w:br/>
      </w:r>
      <w:r>
        <w:rPr>
          <w:rFonts w:ascii="Courier New" w:hAnsi="Courier New" w:eastAsia="Courier New"/>
          <w:color w:val="282828"/>
          <w:sz w:val="17"/>
        </w:rPr>
        <w:t xml:space="preserve">  target_name</w:t>
      </w:r>
      <w:r>
        <w:br/>
      </w:r>
      <w:r>
        <w:rPr>
          <w:rFonts w:ascii="Courier New" w:hAnsi="Courier New" w:eastAsia="Courier New"/>
          <w:color w:val="282828"/>
          <w:sz w:val="17"/>
        </w:rPr>
        <w:t xml:space="preserve">  chip_version</w:t>
      </w:r>
      <w:r>
        <w:br/>
      </w:r>
      <w:r>
        <w:rPr>
          <w:rFonts w:ascii="Courier New" w:hAnsi="Courier New" w:eastAsia="Courier New"/>
          <w:color w:val="282828"/>
          <w:sz w:val="17"/>
        </w:rPr>
        <w:t xml:space="preserve">  matrix_unit: shape, throughput, supported_dtypes, accumulation_dtype</w:t>
      </w:r>
      <w:r>
        <w:br/>
      </w:r>
      <w:r>
        <w:rPr>
          <w:rFonts w:ascii="Courier New" w:hAnsi="Courier New" w:eastAsia="Courier New"/>
          <w:color w:val="282828"/>
          <w:sz w:val="17"/>
        </w:rPr>
        <w:t xml:space="preserve">  vector_unit: supported_ops, vector_width</w:t>
      </w:r>
      <w:r>
        <w:br/>
      </w:r>
      <w:r>
        <w:rPr>
          <w:rFonts w:ascii="Courier New" w:hAnsi="Courier New" w:eastAsia="Courier New"/>
          <w:color w:val="282828"/>
          <w:sz w:val="17"/>
        </w:rPr>
        <w:t xml:space="preserve">  scalar_unit: control_ops, special_functions</w:t>
      </w:r>
      <w:r>
        <w:br/>
      </w:r>
      <w:r>
        <w:rPr>
          <w:rFonts w:ascii="Courier New" w:hAnsi="Courier New" w:eastAsia="Courier New"/>
          <w:color w:val="282828"/>
          <w:sz w:val="17"/>
        </w:rPr>
        <w:t xml:space="preserve">  memory: HBM_size, HBM_bandwidth, SRAM_size, bank_count, alignment</w:t>
      </w:r>
      <w:r>
        <w:br/>
      </w:r>
      <w:r>
        <w:rPr>
          <w:rFonts w:ascii="Courier New" w:hAnsi="Courier New" w:eastAsia="Courier New"/>
          <w:color w:val="282828"/>
          <w:sz w:val="17"/>
        </w:rPr>
        <w:t xml:space="preserve">  dma: async_copy_support, transfer_granularity, overlap_rules</w:t>
      </w:r>
      <w:r>
        <w:br/>
      </w:r>
      <w:r>
        <w:rPr>
          <w:rFonts w:ascii="Courier New" w:hAnsi="Courier New" w:eastAsia="Courier New"/>
          <w:color w:val="282828"/>
          <w:sz w:val="17"/>
        </w:rPr>
        <w:t xml:space="preserve">  collectives: all_reduce, all_gather, reduce_scatter, all_to_all</w:t>
      </w:r>
      <w:r>
        <w:br/>
      </w:r>
      <w:r>
        <w:rPr>
          <w:rFonts w:ascii="Courier New" w:hAnsi="Courier New" w:eastAsia="Courier New"/>
          <w:color w:val="282828"/>
          <w:sz w:val="17"/>
        </w:rPr>
        <w:t xml:space="preserve">  layouts: supported_tile_layouts, sharding_layouts, cache_layouts</w:t>
      </w:r>
      <w:r>
        <w:br/>
      </w:r>
      <w:r>
        <w:rPr>
          <w:rFonts w:ascii="Courier New" w:hAnsi="Courier New" w:eastAsia="Courier New"/>
          <w:color w:val="282828"/>
          <w:sz w:val="17"/>
        </w:rPr>
        <w:t xml:space="preserve">  runtime_state: kv_cache_support, linear_state_support, prefix_state_support</w:t>
      </w:r>
      <w:r>
        <w:br/>
      </w:r>
      <w:r>
        <w:rPr>
          <w:rFonts w:ascii="Courier New" w:hAnsi="Courier New" w:eastAsia="Courier New"/>
          <w:color w:val="282828"/>
          <w:sz w:val="17"/>
        </w:rPr>
        <w:t xml:space="preserve">  moe: expert_parallel_support, dispatch_support, group_gemm_support</w:t>
      </w:r>
      <w:r>
        <w:br/>
      </w:r>
      <w:r>
        <w:rPr>
          <w:rFonts w:ascii="Courier New" w:hAnsi="Courier New" w:eastAsia="Courier New"/>
          <w:color w:val="282828"/>
          <w:sz w:val="17"/>
        </w:rPr>
        <w:t xml:space="preserve">  compiler: stablehlo_support, native_kernel_support, compile_cache_support</w:t>
      </w:r>
      <w:r>
        <w:br/>
      </w:r>
      <w:r>
        <w:rPr>
          <w:rFonts w:ascii="Courier New" w:hAnsi="Courier New" w:eastAsia="Courier New"/>
          <w:color w:val="282828"/>
          <w:sz w:val="17"/>
        </w:rPr>
        <w:t>}</w:t>
      </w:r>
      <w:r>
        <w:br/>
      </w:r>
    </w:p>
    <w:tbl>
      <w:tblPr>
        <w:tblStyle w:val="TableGrid"/>
        <w:tblW w:type="auto" w:w="0"/>
        <w:jc w:val="center"/>
        <w:tblLook w:firstColumn="1" w:firstRow="1" w:lastColumn="0" w:lastRow="0" w:noHBand="0" w:noVBand="1" w:val="04A0"/>
      </w:tblPr>
      <w:tblGrid>
        <w:gridCol w:w="2880"/>
        <w:gridCol w:w="2880"/>
        <w:gridCol w:w="2880"/>
      </w:tblGrid>
      <w:tr>
        <w:trPr>
          <w:tblHeader w:val="true"/>
          <w:cantSplit/>
          <w:cantSplit/>
          <w:tblHeader w:val="true"/>
        </w:trPr>
        <w:tc>
          <w:tcPr>
            <w:tcW w:type="dxa" w:w="2448"/>
            <w:shd w:fill="E7E6E6"/>
            <w:vAlign w:val="center"/>
          </w:tcPr>
          <w:p>
            <w:r>
              <w:rPr>
                <w:b/>
              </w:rPr>
            </w:r>
            <w:r>
              <w:rPr>
                <w:b/>
              </w:rPr>
              <w:t>Target metadata area</w:t>
            </w:r>
          </w:p>
        </w:tc>
        <w:tc>
          <w:tcPr>
            <w:tcW w:type="dxa" w:w="3600"/>
            <w:shd w:fill="E7E6E6"/>
            <w:vAlign w:val="center"/>
          </w:tcPr>
          <w:p>
            <w:r>
              <w:rPr>
                <w:b/>
              </w:rPr>
            </w:r>
            <w:r>
              <w:rPr>
                <w:b/>
              </w:rPr>
              <w:t>Examples of required facts</w:t>
            </w:r>
          </w:p>
        </w:tc>
        <w:tc>
          <w:tcPr>
            <w:tcW w:type="dxa" w:w="3456"/>
            <w:shd w:fill="E7E6E6"/>
            <w:vAlign w:val="center"/>
          </w:tcPr>
          <w:p>
            <w:r>
              <w:rPr>
                <w:b/>
              </w:rPr>
            </w:r>
            <w:r>
              <w:rPr>
                <w:b/>
              </w:rPr>
              <w:t>Why the compiler needs it</w:t>
            </w:r>
          </w:p>
        </w:tc>
      </w:tr>
      <w:tr>
        <w:trPr>
          <w:cantSplit/>
          <w:cantSplit/>
        </w:trPr>
        <w:tc>
          <w:tcPr>
            <w:tcW w:type="dxa" w:w="2448"/>
            <w:vAlign w:val="top"/>
          </w:tcPr>
          <w:p>
            <w:r/>
            <w:r>
              <w:rPr>
                <w:b w:val="0"/>
              </w:rPr>
              <w:t>Matrix unit</w:t>
            </w:r>
          </w:p>
        </w:tc>
        <w:tc>
          <w:tcPr>
            <w:tcW w:type="dxa" w:w="3600"/>
            <w:vAlign w:val="top"/>
          </w:tcPr>
          <w:p>
            <w:r/>
            <w:r>
              <w:rPr>
                <w:b w:val="0"/>
              </w:rPr>
              <w:t>Array shape, tile sizes, input dtype, accumulation dtype, throughput</w:t>
            </w:r>
          </w:p>
        </w:tc>
        <w:tc>
          <w:tcPr>
            <w:tcW w:type="dxa" w:w="3456"/>
            <w:vAlign w:val="top"/>
          </w:tcPr>
          <w:p>
            <w:r/>
            <w:r>
              <w:rPr>
                <w:b w:val="0"/>
              </w:rPr>
              <w:t>To select legal GEMM tiles and fusion strategies.</w:t>
            </w:r>
          </w:p>
        </w:tc>
      </w:tr>
      <w:tr>
        <w:trPr>
          <w:cantSplit/>
          <w:cantSplit/>
        </w:trPr>
        <w:tc>
          <w:tcPr>
            <w:tcW w:type="dxa" w:w="2448"/>
            <w:vAlign w:val="top"/>
          </w:tcPr>
          <w:p>
            <w:r/>
            <w:r>
              <w:rPr>
                <w:b w:val="0"/>
              </w:rPr>
              <w:t>Memory hierarchy</w:t>
            </w:r>
          </w:p>
        </w:tc>
        <w:tc>
          <w:tcPr>
            <w:tcW w:type="dxa" w:w="3600"/>
            <w:vAlign w:val="top"/>
          </w:tcPr>
          <w:p>
            <w:r/>
            <w:r>
              <w:rPr>
                <w:b w:val="0"/>
              </w:rPr>
              <w:t>HBM capacity, SRAM capacity, bank layout, alignment, bandwidth</w:t>
            </w:r>
          </w:p>
        </w:tc>
        <w:tc>
          <w:tcPr>
            <w:tcW w:type="dxa" w:w="3456"/>
            <w:vAlign w:val="top"/>
          </w:tcPr>
          <w:p>
            <w:r/>
            <w:r>
              <w:rPr>
                <w:b w:val="0"/>
              </w:rPr>
              <w:t>To plan tensor layout, cache/state placement, and DMA movement.</w:t>
            </w:r>
          </w:p>
        </w:tc>
      </w:tr>
      <w:tr>
        <w:trPr>
          <w:cantSplit/>
          <w:cantSplit/>
        </w:trPr>
        <w:tc>
          <w:tcPr>
            <w:tcW w:type="dxa" w:w="2448"/>
            <w:vAlign w:val="top"/>
          </w:tcPr>
          <w:p>
            <w:r/>
            <w:r>
              <w:rPr>
                <w:b w:val="0"/>
              </w:rPr>
              <w:t>DMA and synchronization</w:t>
            </w:r>
          </w:p>
        </w:tc>
        <w:tc>
          <w:tcPr>
            <w:tcW w:type="dxa" w:w="3600"/>
            <w:vAlign w:val="top"/>
          </w:tcPr>
          <w:p>
            <w:r/>
            <w:r>
              <w:rPr>
                <w:b w:val="0"/>
              </w:rPr>
              <w:t>Async copy, overlap rules, barriers, double-buffering support</w:t>
            </w:r>
          </w:p>
        </w:tc>
        <w:tc>
          <w:tcPr>
            <w:tcW w:type="dxa" w:w="3456"/>
            <w:vAlign w:val="top"/>
          </w:tcPr>
          <w:p>
            <w:r/>
            <w:r>
              <w:rPr>
                <w:b w:val="0"/>
              </w:rPr>
              <w:t>To schedule data movement around matrix-unit execution.</w:t>
            </w:r>
          </w:p>
        </w:tc>
      </w:tr>
      <w:tr>
        <w:trPr>
          <w:cantSplit/>
          <w:cantSplit/>
        </w:trPr>
        <w:tc>
          <w:tcPr>
            <w:tcW w:type="dxa" w:w="2448"/>
            <w:vAlign w:val="top"/>
          </w:tcPr>
          <w:p>
            <w:r/>
            <w:r>
              <w:rPr>
                <w:b w:val="0"/>
              </w:rPr>
              <w:t>Collectives</w:t>
            </w:r>
          </w:p>
        </w:tc>
        <w:tc>
          <w:tcPr>
            <w:tcW w:type="dxa" w:w="3600"/>
            <w:vAlign w:val="top"/>
          </w:tcPr>
          <w:p>
            <w:r/>
            <w:r>
              <w:rPr>
                <w:b w:val="0"/>
              </w:rPr>
              <w:t>All-reduce, all-gather, reduce-scatter, all-to-all</w:t>
            </w:r>
          </w:p>
        </w:tc>
        <w:tc>
          <w:tcPr>
            <w:tcW w:type="dxa" w:w="3456"/>
            <w:vAlign w:val="top"/>
          </w:tcPr>
          <w:p>
            <w:r/>
            <w:r>
              <w:rPr>
                <w:b w:val="0"/>
              </w:rPr>
              <w:t>To support TP, DP, EP, MoE dispatch, and multi-chip inference.</w:t>
            </w:r>
          </w:p>
        </w:tc>
      </w:tr>
      <w:tr>
        <w:trPr>
          <w:cantSplit/>
          <w:cantSplit/>
        </w:trPr>
        <w:tc>
          <w:tcPr>
            <w:tcW w:type="dxa" w:w="2448"/>
            <w:vAlign w:val="top"/>
          </w:tcPr>
          <w:p>
            <w:r/>
            <w:r>
              <w:rPr>
                <w:b w:val="0"/>
              </w:rPr>
              <w:t>Runtime state support</w:t>
            </w:r>
          </w:p>
        </w:tc>
        <w:tc>
          <w:tcPr>
            <w:tcW w:type="dxa" w:w="3600"/>
            <w:vAlign w:val="top"/>
          </w:tcPr>
          <w:p>
            <w:r/>
            <w:r>
              <w:rPr>
                <w:b w:val="0"/>
              </w:rPr>
              <w:t>KV cache blocks, linear-attention state snapshots, prefix reuse</w:t>
            </w:r>
          </w:p>
        </w:tc>
        <w:tc>
          <w:tcPr>
            <w:tcW w:type="dxa" w:w="3456"/>
            <w:vAlign w:val="top"/>
          </w:tcPr>
          <w:p>
            <w:r/>
            <w:r>
              <w:rPr>
                <w:b w:val="0"/>
              </w:rPr>
              <w:t>To implement long-context inference and RL rollout behavior.</w:t>
            </w:r>
          </w:p>
        </w:tc>
      </w:tr>
      <w:tr>
        <w:trPr>
          <w:cantSplit/>
          <w:cantSplit/>
        </w:trPr>
        <w:tc>
          <w:tcPr>
            <w:tcW w:type="dxa" w:w="2448"/>
            <w:vAlign w:val="top"/>
          </w:tcPr>
          <w:p>
            <w:r/>
            <w:r>
              <w:rPr>
                <w:b w:val="0"/>
              </w:rPr>
              <w:t>MoE execution</w:t>
            </w:r>
          </w:p>
        </w:tc>
        <w:tc>
          <w:tcPr>
            <w:tcW w:type="dxa" w:w="3600"/>
            <w:vAlign w:val="top"/>
          </w:tcPr>
          <w:p>
            <w:r/>
            <w:r>
              <w:rPr>
                <w:b w:val="0"/>
              </w:rPr>
              <w:t>Expert placement, dispatch path, GroupGEMM availability, load-balance controls</w:t>
            </w:r>
          </w:p>
        </w:tc>
        <w:tc>
          <w:tcPr>
            <w:tcW w:type="dxa" w:w="3456"/>
            <w:vAlign w:val="top"/>
          </w:tcPr>
          <w:p>
            <w:r/>
            <w:r>
              <w:rPr>
                <w:b w:val="0"/>
              </w:rPr>
              <w:t>To preserve MoE routing semantics while delivering throughput.</w:t>
            </w:r>
          </w:p>
        </w:tc>
      </w:tr>
      <w:tr>
        <w:trPr>
          <w:cantSplit/>
          <w:cantSplit/>
        </w:trPr>
        <w:tc>
          <w:tcPr>
            <w:tcW w:type="dxa" w:w="2448"/>
            <w:vAlign w:val="top"/>
          </w:tcPr>
          <w:p>
            <w:r/>
            <w:r>
              <w:rPr>
                <w:b w:val="0"/>
              </w:rPr>
              <w:t>Compiler interface</w:t>
            </w:r>
          </w:p>
        </w:tc>
        <w:tc>
          <w:tcPr>
            <w:tcW w:type="dxa" w:w="3600"/>
            <w:vAlign w:val="top"/>
          </w:tcPr>
          <w:p>
            <w:r/>
            <w:r>
              <w:rPr>
                <w:b w:val="0"/>
              </w:rPr>
              <w:t>StableHLO/HLO support, native kernel ABI, compile cache</w:t>
            </w:r>
          </w:p>
        </w:tc>
        <w:tc>
          <w:tcPr>
            <w:tcW w:type="dxa" w:w="3456"/>
            <w:vAlign w:val="top"/>
          </w:tcPr>
          <w:p>
            <w:r/>
            <w:r>
              <w:rPr>
                <w:b w:val="0"/>
              </w:rPr>
              <w:t>To decide whether to lower through OpenXLA or a native backend.</w:t>
            </w:r>
          </w:p>
        </w:tc>
      </w:tr>
    </w:tbl>
    <w:p/>
    <w:p>
      <w:pPr>
        <w:pStyle w:val="Heading2"/>
      </w:pPr>
      <w:r>
        <w:t>C.4 Required IR Stack for a TPU-Like Backend</w:t>
      </w:r>
    </w:p>
    <w:p>
      <w:r>
        <w:t>The current Semantic IR should be extended with lower IR layers. The key distinction is that logical tensor shape is not enough. The backend must decide physical layout, tile mapping, sharding, memory placement, and kernel schedule.</w:t>
      </w:r>
    </w:p>
    <w:p>
      <w:pPr>
        <w:spacing w:after="120"/>
        <w:ind w:left="360"/>
      </w:pPr>
      <w:r>
        <w:rPr>
          <w:rFonts w:ascii="Courier New" w:hAnsi="Courier New" w:eastAsia="Courier New"/>
          <w:color w:val="282828"/>
          <w:sz w:val="17"/>
        </w:rPr>
        <w:t>TransformerSemanticIR</w:t>
      </w:r>
      <w:r>
        <w:br/>
      </w:r>
      <w:r>
        <w:rPr>
          <w:rFonts w:ascii="Courier New" w:hAnsi="Courier New" w:eastAsia="Courier New"/>
          <w:color w:val="282828"/>
          <w:sz w:val="17"/>
        </w:rPr>
        <w:t xml:space="preserve">  -&gt; TensorOperatorIR</w:t>
      </w:r>
      <w:r>
        <w:br/>
      </w:r>
      <w:r>
        <w:rPr>
          <w:rFonts w:ascii="Courier New" w:hAnsi="Courier New" w:eastAsia="Courier New"/>
          <w:color w:val="282828"/>
          <w:sz w:val="17"/>
        </w:rPr>
        <w:t xml:space="preserve">  -&gt; TargetLayoutIR</w:t>
      </w:r>
      <w:r>
        <w:br/>
      </w:r>
      <w:r>
        <w:rPr>
          <w:rFonts w:ascii="Courier New" w:hAnsi="Courier New" w:eastAsia="Courier New"/>
          <w:color w:val="282828"/>
          <w:sz w:val="17"/>
        </w:rPr>
        <w:t xml:space="preserve">  -&gt; TileAndMemoryIR</w:t>
      </w:r>
      <w:r>
        <w:br/>
      </w:r>
      <w:r>
        <w:rPr>
          <w:rFonts w:ascii="Courier New" w:hAnsi="Courier New" w:eastAsia="Courier New"/>
          <w:color w:val="282828"/>
          <w:sz w:val="17"/>
        </w:rPr>
        <w:t xml:space="preserve">  -&gt; KernelLoweringIR</w:t>
      </w:r>
      <w:r>
        <w:br/>
      </w:r>
      <w:r>
        <w:rPr>
          <w:rFonts w:ascii="Courier New" w:hAnsi="Courier New" w:eastAsia="Courier New"/>
          <w:color w:val="282828"/>
          <w:sz w:val="17"/>
        </w:rPr>
        <w:t xml:space="preserve">  -&gt; RuntimeABIPlan</w:t>
      </w:r>
      <w:r>
        <w:br/>
      </w:r>
      <w:r>
        <w:rPr>
          <w:rFonts w:ascii="Courier New" w:hAnsi="Courier New" w:eastAsia="Courier New"/>
          <w:color w:val="282828"/>
          <w:sz w:val="17"/>
        </w:rPr>
        <w:t xml:space="preserve">  -&gt; DeviceExecutable / StableHLO / Native Kernel Bundle</w:t>
      </w:r>
      <w:r>
        <w:br/>
      </w:r>
    </w:p>
    <w:tbl>
      <w:tblPr>
        <w:tblStyle w:val="TableGrid"/>
        <w:tblW w:type="auto" w:w="0"/>
        <w:jc w:val="center"/>
        <w:tblLook w:firstColumn="1" w:firstRow="1" w:lastColumn="0" w:lastRow="0" w:noHBand="0" w:noVBand="1" w:val="04A0"/>
      </w:tblPr>
      <w:tblGrid>
        <w:gridCol w:w="2880"/>
        <w:gridCol w:w="2880"/>
        <w:gridCol w:w="2880"/>
      </w:tblGrid>
      <w:tr>
        <w:trPr>
          <w:tblHeader w:val="true"/>
          <w:cantSplit/>
          <w:cantSplit/>
          <w:tblHeader w:val="true"/>
        </w:trPr>
        <w:tc>
          <w:tcPr>
            <w:tcW w:type="dxa" w:w="2304"/>
            <w:shd w:fill="E7E6E6"/>
            <w:vAlign w:val="center"/>
          </w:tcPr>
          <w:p>
            <w:r>
              <w:rPr>
                <w:b/>
              </w:rPr>
            </w:r>
            <w:r>
              <w:rPr>
                <w:b/>
              </w:rPr>
              <w:t>IR layer</w:t>
            </w:r>
          </w:p>
        </w:tc>
        <w:tc>
          <w:tcPr>
            <w:tcW w:type="dxa" w:w="3456"/>
            <w:shd w:fill="E7E6E6"/>
            <w:vAlign w:val="center"/>
          </w:tcPr>
          <w:p>
            <w:r>
              <w:rPr>
                <w:b/>
              </w:rPr>
            </w:r>
            <w:r>
              <w:rPr>
                <w:b/>
              </w:rPr>
              <w:t>Primary responsibility</w:t>
            </w:r>
          </w:p>
        </w:tc>
        <w:tc>
          <w:tcPr>
            <w:tcW w:type="dxa" w:w="3888"/>
            <w:shd w:fill="E7E6E6"/>
            <w:vAlign w:val="center"/>
          </w:tcPr>
          <w:p>
            <w:r>
              <w:rPr>
                <w:b/>
              </w:rPr>
            </w:r>
            <w:r>
              <w:rPr>
                <w:b/>
              </w:rPr>
              <w:t>Example</w:t>
            </w:r>
          </w:p>
        </w:tc>
      </w:tr>
      <w:tr>
        <w:trPr>
          <w:cantSplit/>
          <w:cantSplit/>
        </w:trPr>
        <w:tc>
          <w:tcPr>
            <w:tcW w:type="dxa" w:w="2304"/>
            <w:vAlign w:val="top"/>
          </w:tcPr>
          <w:p>
            <w:r/>
            <w:r>
              <w:rPr>
                <w:b w:val="0"/>
              </w:rPr>
              <w:t>TransformerSemanticIR</w:t>
            </w:r>
          </w:p>
        </w:tc>
        <w:tc>
          <w:tcPr>
            <w:tcW w:type="dxa" w:w="3456"/>
            <w:vAlign w:val="top"/>
          </w:tcPr>
          <w:p>
            <w:r/>
            <w:r>
              <w:rPr>
                <w:b w:val="0"/>
              </w:rPr>
              <w:t>Preserve model-level semantics.</w:t>
            </w:r>
          </w:p>
        </w:tc>
        <w:tc>
          <w:tcPr>
            <w:tcW w:type="dxa" w:w="3888"/>
            <w:vAlign w:val="top"/>
          </w:tcPr>
          <w:p>
            <w:r/>
            <w:r>
              <w:rPr>
                <w:b w:val="0"/>
              </w:rPr>
              <w:t>Attention, MLP, MoE, KV cache, linear state, tokenizer/generation ABI.</w:t>
            </w:r>
          </w:p>
        </w:tc>
      </w:tr>
      <w:tr>
        <w:trPr>
          <w:cantSplit/>
          <w:cantSplit/>
        </w:trPr>
        <w:tc>
          <w:tcPr>
            <w:tcW w:type="dxa" w:w="2304"/>
            <w:vAlign w:val="top"/>
          </w:tcPr>
          <w:p>
            <w:r/>
            <w:r>
              <w:rPr>
                <w:b w:val="0"/>
              </w:rPr>
              <w:t>TensorOperatorIR</w:t>
            </w:r>
          </w:p>
        </w:tc>
        <w:tc>
          <w:tcPr>
            <w:tcW w:type="dxa" w:w="3456"/>
            <w:vAlign w:val="top"/>
          </w:tcPr>
          <w:p>
            <w:r/>
            <w:r>
              <w:rPr>
                <w:b w:val="0"/>
              </w:rPr>
              <w:t>Represent tensor operations independent of target.</w:t>
            </w:r>
          </w:p>
        </w:tc>
        <w:tc>
          <w:tcPr>
            <w:tcW w:type="dxa" w:w="3888"/>
            <w:vAlign w:val="top"/>
          </w:tcPr>
          <w:p>
            <w:r/>
            <w:r>
              <w:rPr>
                <w:b w:val="0"/>
              </w:rPr>
              <w:t>MatMul, RMSNorm, RoPE, Softmax, TopK, Scatter/Gather, AllToAll.</w:t>
            </w:r>
          </w:p>
        </w:tc>
      </w:tr>
      <w:tr>
        <w:trPr>
          <w:cantSplit/>
          <w:cantSplit/>
        </w:trPr>
        <w:tc>
          <w:tcPr>
            <w:tcW w:type="dxa" w:w="2304"/>
            <w:vAlign w:val="top"/>
          </w:tcPr>
          <w:p>
            <w:r/>
            <w:r>
              <w:rPr>
                <w:b w:val="0"/>
              </w:rPr>
              <w:t>TargetLayoutIR</w:t>
            </w:r>
          </w:p>
        </w:tc>
        <w:tc>
          <w:tcPr>
            <w:tcW w:type="dxa" w:w="3456"/>
            <w:vAlign w:val="top"/>
          </w:tcPr>
          <w:p>
            <w:r/>
            <w:r>
              <w:rPr>
                <w:b w:val="0"/>
              </w:rPr>
              <w:t>Choose target-specific physical tensor layout.</w:t>
            </w:r>
          </w:p>
        </w:tc>
        <w:tc>
          <w:tcPr>
            <w:tcW w:type="dxa" w:w="3888"/>
            <w:vAlign w:val="top"/>
          </w:tcPr>
          <w:p>
            <w:r/>
            <w:r>
              <w:rPr>
                <w:b w:val="0"/>
              </w:rPr>
              <w:t>Sequence-major vs hidden-major, tiled hidden dimension, expert-sharded layout.</w:t>
            </w:r>
          </w:p>
        </w:tc>
      </w:tr>
      <w:tr>
        <w:trPr>
          <w:cantSplit/>
          <w:cantSplit/>
        </w:trPr>
        <w:tc>
          <w:tcPr>
            <w:tcW w:type="dxa" w:w="2304"/>
            <w:vAlign w:val="top"/>
          </w:tcPr>
          <w:p>
            <w:r/>
            <w:r>
              <w:rPr>
                <w:b w:val="0"/>
              </w:rPr>
              <w:t>TileAndMemoryIR</w:t>
            </w:r>
          </w:p>
        </w:tc>
        <w:tc>
          <w:tcPr>
            <w:tcW w:type="dxa" w:w="3456"/>
            <w:vAlign w:val="top"/>
          </w:tcPr>
          <w:p>
            <w:r/>
            <w:r>
              <w:rPr>
                <w:b w:val="0"/>
              </w:rPr>
              <w:t>Schedule tiles and data movement across memory spaces.</w:t>
            </w:r>
          </w:p>
        </w:tc>
        <w:tc>
          <w:tcPr>
            <w:tcW w:type="dxa" w:w="3888"/>
            <w:vAlign w:val="top"/>
          </w:tcPr>
          <w:p>
            <w:r/>
            <w:r>
              <w:rPr>
                <w:b w:val="0"/>
              </w:rPr>
              <w:t>HBM to SRAM DMA, double-buffered GEMM, KV/state residency.</w:t>
            </w:r>
          </w:p>
        </w:tc>
      </w:tr>
      <w:tr>
        <w:trPr>
          <w:cantSplit/>
          <w:cantSplit/>
        </w:trPr>
        <w:tc>
          <w:tcPr>
            <w:tcW w:type="dxa" w:w="2304"/>
            <w:vAlign w:val="top"/>
          </w:tcPr>
          <w:p>
            <w:r/>
            <w:r>
              <w:rPr>
                <w:b w:val="0"/>
              </w:rPr>
              <w:t>KernelLoweringIR</w:t>
            </w:r>
          </w:p>
        </w:tc>
        <w:tc>
          <w:tcPr>
            <w:tcW w:type="dxa" w:w="3456"/>
            <w:vAlign w:val="top"/>
          </w:tcPr>
          <w:p>
            <w:r/>
            <w:r>
              <w:rPr>
                <w:b w:val="0"/>
              </w:rPr>
              <w:t>Map operators to kernels or codegen templates.</w:t>
            </w:r>
          </w:p>
        </w:tc>
        <w:tc>
          <w:tcPr>
            <w:tcW w:type="dxa" w:w="3888"/>
            <w:vAlign w:val="top"/>
          </w:tcPr>
          <w:p>
            <w:r/>
            <w:r>
              <w:rPr>
                <w:b w:val="0"/>
              </w:rPr>
              <w:t>QKV projection kernel, paged attention kernel, expert GroupGEMM.</w:t>
            </w:r>
          </w:p>
        </w:tc>
      </w:tr>
      <w:tr>
        <w:trPr>
          <w:cantSplit/>
          <w:cantSplit/>
        </w:trPr>
        <w:tc>
          <w:tcPr>
            <w:tcW w:type="dxa" w:w="2304"/>
            <w:vAlign w:val="top"/>
          </w:tcPr>
          <w:p>
            <w:r/>
            <w:r>
              <w:rPr>
                <w:b w:val="0"/>
              </w:rPr>
              <w:t>RuntimeABIPlan</w:t>
            </w:r>
          </w:p>
        </w:tc>
        <w:tc>
          <w:tcPr>
            <w:tcW w:type="dxa" w:w="3456"/>
            <w:vAlign w:val="top"/>
          </w:tcPr>
          <w:p>
            <w:r/>
            <w:r>
              <w:rPr>
                <w:b w:val="0"/>
              </w:rPr>
              <w:t>Expose runtime calls to SGLang or serving layer.</w:t>
            </w:r>
          </w:p>
        </w:tc>
        <w:tc>
          <w:tcPr>
            <w:tcW w:type="dxa" w:w="3888"/>
            <w:vAlign w:val="top"/>
          </w:tcPr>
          <w:p>
            <w:r/>
            <w:r>
              <w:rPr>
                <w:b w:val="0"/>
              </w:rPr>
              <w:t>prefill(), decode(), allocate_state(), moe_dispatch(), sample().</w:t>
            </w:r>
          </w:p>
        </w:tc>
      </w:tr>
    </w:tbl>
    <w:p/>
    <w:p>
      <w:pPr>
        <w:pStyle w:val="Heading2"/>
      </w:pPr>
      <w:r>
        <w:t>C.5 StableHLO/OpenXLA Path and Native Backend Path</w:t>
      </w:r>
    </w:p>
    <w:p>
      <w:r>
        <w:t>The backend should support two lowering paths. The first path lowers into StableHLO/OpenXLA-compatible form to gain portability and accelerate early execution. StableHLO is explicitly designed as a portability layer between ML frameworks and compilers [25]. XLA is positioned as an ML compiler that optimizes models for high-performance execution across different hardware platforms, including accelerators [27].</w:t>
      </w:r>
    </w:p>
    <w:p>
      <w:r>
        <w:t>The second path is a native backend for critical operators and runtime-state operations that are difficult to express efficiently through a purely graph-level interface, such as paged KV cache, prefix reuse, low-latency decode, expert dispatch, and hardware-specific sampling kernels.</w:t>
      </w:r>
    </w:p>
    <w:p>
      <w:pPr>
        <w:spacing w:after="120"/>
        <w:ind w:left="360"/>
      </w:pPr>
      <w:r>
        <w:rPr>
          <w:rFonts w:ascii="Courier New" w:hAnsi="Courier New" w:eastAsia="Courier New"/>
          <w:color w:val="282828"/>
          <w:sz w:val="17"/>
        </w:rPr>
        <w:t>Path A: Portability-first</w:t>
      </w:r>
      <w:r>
        <w:br/>
      </w:r>
      <w:r>
        <w:rPr>
          <w:rFonts w:ascii="Courier New" w:hAnsi="Courier New" w:eastAsia="Courier New"/>
          <w:color w:val="282828"/>
          <w:sz w:val="17"/>
        </w:rPr>
        <w:t xml:space="preserve">  TransformerIR -&gt; TensorIR -&gt; StableHLO -&gt; XLA-like backend -&gt; executable</w:t>
      </w:r>
      <w:r>
        <w:br/>
      </w:r>
      <w:r>
        <w:rPr>
          <w:rFonts w:ascii="Courier New" w:hAnsi="Courier New" w:eastAsia="Courier New"/>
          <w:color w:val="282828"/>
          <w:sz w:val="17"/>
        </w:rPr>
      </w:r>
      <w:r>
        <w:br/>
      </w:r>
      <w:r>
        <w:rPr>
          <w:rFonts w:ascii="Courier New" w:hAnsi="Courier New" w:eastAsia="Courier New"/>
          <w:color w:val="282828"/>
          <w:sz w:val="17"/>
        </w:rPr>
        <w:t>Path B: Performance-first</w:t>
      </w:r>
      <w:r>
        <w:br/>
      </w:r>
      <w:r>
        <w:rPr>
          <w:rFonts w:ascii="Courier New" w:hAnsi="Courier New" w:eastAsia="Courier New"/>
          <w:color w:val="282828"/>
          <w:sz w:val="17"/>
        </w:rPr>
        <w:t xml:space="preserve">  TransformerIR -&gt; TensorIR -&gt; TargetLayoutIR -&gt; Native TPU-like KernelIR -&gt; executable</w:t>
      </w:r>
      <w:r>
        <w:br/>
      </w:r>
      <w:r>
        <w:rPr>
          <w:rFonts w:ascii="Courier New" w:hAnsi="Courier New" w:eastAsia="Courier New"/>
          <w:color w:val="282828"/>
          <w:sz w:val="17"/>
        </w:rPr>
      </w:r>
      <w:r>
        <w:br/>
      </w:r>
      <w:r>
        <w:rPr>
          <w:rFonts w:ascii="Courier New" w:hAnsi="Courier New" w:eastAsia="Courier New"/>
          <w:color w:val="282828"/>
          <w:sz w:val="17"/>
        </w:rPr>
        <w:t>Recommended approach:</w:t>
      </w:r>
      <w:r>
        <w:br/>
      </w:r>
      <w:r>
        <w:rPr>
          <w:rFonts w:ascii="Courier New" w:hAnsi="Courier New" w:eastAsia="Courier New"/>
          <w:color w:val="282828"/>
          <w:sz w:val="17"/>
        </w:rPr>
        <w:t xml:space="preserve">  Stage 1: StableHLO path for coverage</w:t>
      </w:r>
      <w:r>
        <w:br/>
      </w:r>
      <w:r>
        <w:rPr>
          <w:rFonts w:ascii="Courier New" w:hAnsi="Courier New" w:eastAsia="Courier New"/>
          <w:color w:val="282828"/>
          <w:sz w:val="17"/>
        </w:rPr>
        <w:t xml:space="preserve">  Stage 2: native kernels for critical inference paths</w:t>
      </w:r>
      <w:r>
        <w:br/>
      </w:r>
      <w:r>
        <w:rPr>
          <w:rFonts w:ascii="Courier New" w:hAnsi="Courier New" w:eastAsia="Courier New"/>
          <w:color w:val="282828"/>
          <w:sz w:val="17"/>
        </w:rPr>
        <w:t xml:space="preserve">  Stage 3: compiler chooses per-op path based on correctness and performance</w:t>
      </w:r>
      <w:r>
        <w:br/>
      </w:r>
    </w:p>
    <w:p>
      <w:pPr>
        <w:pStyle w:val="Heading2"/>
      </w:pPr>
      <w:r>
        <w:t>C.6 SGLang-Compatible Runtime ABI for the Target Backend</w:t>
      </w:r>
    </w:p>
    <w:p>
      <w:r>
        <w:t>The compiler should not require SGLang to understand every hardware detail. Instead, it should generate or validate a runtime adapter that exposes a stable SGLang-compatible ABI. SGLang already spans multiple hardware backends according to its public documentation, which makes the adapter approach a practical direction [28].</w:t>
      </w:r>
    </w:p>
    <w:p>
      <w:pPr>
        <w:spacing w:after="120"/>
        <w:ind w:left="360"/>
      </w:pPr>
      <w:r>
        <w:rPr>
          <w:rFonts w:ascii="Courier New" w:hAnsi="Courier New" w:eastAsia="Courier New"/>
          <w:color w:val="282828"/>
          <w:sz w:val="17"/>
        </w:rPr>
        <w:t>TPULikeRuntimeABI {</w:t>
      </w:r>
      <w:r>
        <w:br/>
      </w:r>
      <w:r>
        <w:rPr>
          <w:rFonts w:ascii="Courier New" w:hAnsi="Courier New" w:eastAsia="Courier New"/>
          <w:color w:val="282828"/>
          <w:sz w:val="17"/>
        </w:rPr>
        <w:t xml:space="preserve">  load_model(model_contract, checkpoint_mapping)</w:t>
      </w:r>
      <w:r>
        <w:br/>
      </w:r>
      <w:r>
        <w:rPr>
          <w:rFonts w:ascii="Courier New" w:hAnsi="Courier New" w:eastAsia="Courier New"/>
          <w:color w:val="282828"/>
          <w:sz w:val="17"/>
        </w:rPr>
        <w:t xml:space="preserve">  allocate_request_state(request_id, max_tokens)</w:t>
      </w:r>
      <w:r>
        <w:br/>
      </w:r>
      <w:r>
        <w:rPr>
          <w:rFonts w:ascii="Courier New" w:hAnsi="Courier New" w:eastAsia="Courier New"/>
          <w:color w:val="282828"/>
          <w:sz w:val="17"/>
        </w:rPr>
        <w:t xml:space="preserve">  free_request_state(request_id)</w:t>
      </w:r>
      <w:r>
        <w:br/>
      </w:r>
      <w:r>
        <w:rPr>
          <w:rFonts w:ascii="Courier New" w:hAnsi="Courier New" w:eastAsia="Courier New"/>
          <w:color w:val="282828"/>
          <w:sz w:val="17"/>
        </w:rPr>
        <w:t xml:space="preserve">  prefill(request_id, input_ids, position_ids, state_handle)</w:t>
      </w:r>
      <w:r>
        <w:br/>
      </w:r>
      <w:r>
        <w:rPr>
          <w:rFonts w:ascii="Courier New" w:hAnsi="Courier New" w:eastAsia="Courier New"/>
          <w:color w:val="282828"/>
          <w:sz w:val="17"/>
        </w:rPr>
        <w:t xml:space="preserve">  decode(request_id, next_token, state_handle)</w:t>
      </w:r>
      <w:r>
        <w:br/>
      </w:r>
      <w:r>
        <w:rPr>
          <w:rFonts w:ascii="Courier New" w:hAnsi="Courier New" w:eastAsia="Courier New"/>
          <w:color w:val="282828"/>
          <w:sz w:val="17"/>
        </w:rPr>
        <w:t xml:space="preserve">  read_logits(request_id)</w:t>
      </w:r>
      <w:r>
        <w:br/>
      </w:r>
      <w:r>
        <w:rPr>
          <w:rFonts w:ascii="Courier New" w:hAnsi="Courier New" w:eastAsia="Courier New"/>
          <w:color w:val="282828"/>
          <w:sz w:val="17"/>
        </w:rPr>
        <w:t xml:space="preserve">  sample(logits, generation_contract)</w:t>
      </w:r>
      <w:r>
        <w:br/>
      </w:r>
      <w:r>
        <w:rPr>
          <w:rFonts w:ascii="Courier New" w:hAnsi="Courier New" w:eastAsia="Courier New"/>
          <w:color w:val="282828"/>
          <w:sz w:val="17"/>
        </w:rPr>
        <w:t xml:space="preserve">  allocate_kv_cache(request_id, num_tokens)</w:t>
      </w:r>
      <w:r>
        <w:br/>
      </w:r>
      <w:r>
        <w:rPr>
          <w:rFonts w:ascii="Courier New" w:hAnsi="Courier New" w:eastAsia="Courier New"/>
          <w:color w:val="282828"/>
          <w:sz w:val="17"/>
        </w:rPr>
        <w:t xml:space="preserve">  allocate_linear_state(request_id)</w:t>
      </w:r>
      <w:r>
        <w:br/>
      </w:r>
      <w:r>
        <w:rPr>
          <w:rFonts w:ascii="Courier New" w:hAnsi="Courier New" w:eastAsia="Courier New"/>
          <w:color w:val="282828"/>
          <w:sz w:val="17"/>
        </w:rPr>
        <w:t xml:space="preserve">  snapshot_prefix_state(request_id, prefix_length)</w:t>
      </w:r>
      <w:r>
        <w:br/>
      </w:r>
      <w:r>
        <w:rPr>
          <w:rFonts w:ascii="Courier New" w:hAnsi="Courier New" w:eastAsia="Courier New"/>
          <w:color w:val="282828"/>
          <w:sz w:val="17"/>
        </w:rPr>
        <w:t xml:space="preserve">  restore_prefix_state(request_id, snapshot_id)</w:t>
      </w:r>
      <w:r>
        <w:br/>
      </w:r>
      <w:r>
        <w:rPr>
          <w:rFonts w:ascii="Courier New" w:hAnsi="Courier New" w:eastAsia="Courier New"/>
          <w:color w:val="282828"/>
          <w:sz w:val="17"/>
        </w:rPr>
        <w:t xml:space="preserve">  moe_route(layer_id, hidden_states)</w:t>
      </w:r>
      <w:r>
        <w:br/>
      </w:r>
      <w:r>
        <w:rPr>
          <w:rFonts w:ascii="Courier New" w:hAnsi="Courier New" w:eastAsia="Courier New"/>
          <w:color w:val="282828"/>
          <w:sz w:val="17"/>
        </w:rPr>
        <w:t xml:space="preserve">  moe_dispatch(layer_id, routes, hidden_states)</w:t>
      </w:r>
      <w:r>
        <w:br/>
      </w:r>
      <w:r>
        <w:rPr>
          <w:rFonts w:ascii="Courier New" w:hAnsi="Courier New" w:eastAsia="Courier New"/>
          <w:color w:val="282828"/>
          <w:sz w:val="17"/>
        </w:rPr>
        <w:t xml:space="preserve">  moe_combine(layer_id, expert_outputs, combine_weights)</w:t>
      </w:r>
      <w:r>
        <w:br/>
      </w:r>
      <w:r>
        <w:rPr>
          <w:rFonts w:ascii="Courier New" w:hAnsi="Courier New" w:eastAsia="Courier New"/>
          <w:color w:val="282828"/>
          <w:sz w:val="17"/>
        </w:rPr>
        <w:t>}</w:t>
      </w:r>
      <w:r>
        <w:br/>
      </w:r>
    </w:p>
    <w:tbl>
      <w:tblPr>
        <w:tblStyle w:val="TableGrid"/>
        <w:tblW w:type="auto" w:w="0"/>
        <w:jc w:val="center"/>
        <w:tblLook w:firstColumn="1" w:firstRow="1" w:lastColumn="0" w:lastRow="0" w:noHBand="0" w:noVBand="1" w:val="04A0"/>
      </w:tblPr>
      <w:tblGrid>
        <w:gridCol w:w="2880"/>
        <w:gridCol w:w="2880"/>
        <w:gridCol w:w="2880"/>
      </w:tblGrid>
      <w:tr>
        <w:trPr>
          <w:tblHeader w:val="true"/>
          <w:cantSplit/>
          <w:cantSplit/>
          <w:tblHeader w:val="true"/>
        </w:trPr>
        <w:tc>
          <w:tcPr>
            <w:tcW w:type="dxa" w:w="2304"/>
            <w:shd w:fill="E7E6E6"/>
            <w:vAlign w:val="center"/>
          </w:tcPr>
          <w:p>
            <w:r>
              <w:rPr>
                <w:b/>
              </w:rPr>
            </w:r>
            <w:r>
              <w:rPr>
                <w:b/>
              </w:rPr>
              <w:t>ABI group</w:t>
            </w:r>
          </w:p>
        </w:tc>
        <w:tc>
          <w:tcPr>
            <w:tcW w:type="dxa" w:w="3744"/>
            <w:shd w:fill="E7E6E6"/>
            <w:vAlign w:val="center"/>
          </w:tcPr>
          <w:p>
            <w:r>
              <w:rPr>
                <w:b/>
              </w:rPr>
            </w:r>
            <w:r>
              <w:rPr>
                <w:b/>
              </w:rPr>
              <w:t>Required runtime functions</w:t>
            </w:r>
          </w:p>
        </w:tc>
        <w:tc>
          <w:tcPr>
            <w:tcW w:type="dxa" w:w="3600"/>
            <w:shd w:fill="E7E6E6"/>
            <w:vAlign w:val="center"/>
          </w:tcPr>
          <w:p>
            <w:r>
              <w:rPr>
                <w:b/>
              </w:rPr>
            </w:r>
            <w:r>
              <w:rPr>
                <w:b/>
              </w:rPr>
              <w:t>Compiler certification responsibility</w:t>
            </w:r>
          </w:p>
        </w:tc>
      </w:tr>
      <w:tr>
        <w:trPr>
          <w:cantSplit/>
          <w:cantSplit/>
        </w:trPr>
        <w:tc>
          <w:tcPr>
            <w:tcW w:type="dxa" w:w="2304"/>
            <w:vAlign w:val="top"/>
          </w:tcPr>
          <w:p>
            <w:r/>
            <w:r>
              <w:rPr>
                <w:b w:val="0"/>
              </w:rPr>
              <w:t>Model lifecycle</w:t>
            </w:r>
          </w:p>
        </w:tc>
        <w:tc>
          <w:tcPr>
            <w:tcW w:type="dxa" w:w="3744"/>
            <w:vAlign w:val="top"/>
          </w:tcPr>
          <w:p>
            <w:r/>
            <w:r>
              <w:rPr>
                <w:b w:val="0"/>
              </w:rPr>
              <w:t>load_model, unload_model, verify_checkpoint</w:t>
            </w:r>
          </w:p>
        </w:tc>
        <w:tc>
          <w:tcPr>
            <w:tcW w:type="dxa" w:w="3600"/>
            <w:vAlign w:val="top"/>
          </w:tcPr>
          <w:p>
            <w:r/>
            <w:r>
              <w:rPr>
                <w:b w:val="0"/>
              </w:rPr>
              <w:t>Check model ABI, tensor layout, dtype, and checkpoint mapping.</w:t>
            </w:r>
          </w:p>
        </w:tc>
      </w:tr>
      <w:tr>
        <w:trPr>
          <w:cantSplit/>
          <w:cantSplit/>
        </w:trPr>
        <w:tc>
          <w:tcPr>
            <w:tcW w:type="dxa" w:w="2304"/>
            <w:vAlign w:val="top"/>
          </w:tcPr>
          <w:p>
            <w:r/>
            <w:r>
              <w:rPr>
                <w:b w:val="0"/>
              </w:rPr>
              <w:t>Request state</w:t>
            </w:r>
          </w:p>
        </w:tc>
        <w:tc>
          <w:tcPr>
            <w:tcW w:type="dxa" w:w="3744"/>
            <w:vAlign w:val="top"/>
          </w:tcPr>
          <w:p>
            <w:r/>
            <w:r>
              <w:rPr>
                <w:b w:val="0"/>
              </w:rPr>
              <w:t>allocate_request_state, free_request_state</w:t>
            </w:r>
          </w:p>
        </w:tc>
        <w:tc>
          <w:tcPr>
            <w:tcW w:type="dxa" w:w="3600"/>
            <w:vAlign w:val="top"/>
          </w:tcPr>
          <w:p>
            <w:r/>
            <w:r>
              <w:rPr>
                <w:b w:val="0"/>
              </w:rPr>
              <w:t>Check state isolation, capacity, and lifecycle safety.</w:t>
            </w:r>
          </w:p>
        </w:tc>
      </w:tr>
      <w:tr>
        <w:trPr>
          <w:cantSplit/>
          <w:cantSplit/>
        </w:trPr>
        <w:tc>
          <w:tcPr>
            <w:tcW w:type="dxa" w:w="2304"/>
            <w:vAlign w:val="top"/>
          </w:tcPr>
          <w:p>
            <w:r/>
            <w:r>
              <w:rPr>
                <w:b w:val="0"/>
              </w:rPr>
              <w:t>Prefill/decode</w:t>
            </w:r>
          </w:p>
        </w:tc>
        <w:tc>
          <w:tcPr>
            <w:tcW w:type="dxa" w:w="3744"/>
            <w:vAlign w:val="top"/>
          </w:tcPr>
          <w:p>
            <w:r/>
            <w:r>
              <w:rPr>
                <w:b w:val="0"/>
              </w:rPr>
              <w:t>prefill, decode, read_logits</w:t>
            </w:r>
          </w:p>
        </w:tc>
        <w:tc>
          <w:tcPr>
            <w:tcW w:type="dxa" w:w="3600"/>
            <w:vAlign w:val="top"/>
          </w:tcPr>
          <w:p>
            <w:r/>
            <w:r>
              <w:rPr>
                <w:b w:val="0"/>
              </w:rPr>
              <w:t>Compare logits against golden references and SGLang-compatible behavior.</w:t>
            </w:r>
          </w:p>
        </w:tc>
      </w:tr>
      <w:tr>
        <w:trPr>
          <w:cantSplit/>
          <w:cantSplit/>
        </w:trPr>
        <w:tc>
          <w:tcPr>
            <w:tcW w:type="dxa" w:w="2304"/>
            <w:vAlign w:val="top"/>
          </w:tcPr>
          <w:p>
            <w:r/>
            <w:r>
              <w:rPr>
                <w:b w:val="0"/>
              </w:rPr>
              <w:t>Runtime state</w:t>
            </w:r>
          </w:p>
        </w:tc>
        <w:tc>
          <w:tcPr>
            <w:tcW w:type="dxa" w:w="3744"/>
            <w:vAlign w:val="top"/>
          </w:tcPr>
          <w:p>
            <w:r/>
            <w:r>
              <w:rPr>
                <w:b w:val="0"/>
              </w:rPr>
              <w:t>allocate_kv_cache, allocate_linear_state, snapshot/restore</w:t>
            </w:r>
          </w:p>
        </w:tc>
        <w:tc>
          <w:tcPr>
            <w:tcW w:type="dxa" w:w="3600"/>
            <w:vAlign w:val="top"/>
          </w:tcPr>
          <w:p>
            <w:r/>
            <w:r>
              <w:rPr>
                <w:b w:val="0"/>
              </w:rPr>
              <w:t>Verify KV/state equivalence, prefix reuse, and long-context behavior.</w:t>
            </w:r>
          </w:p>
        </w:tc>
      </w:tr>
      <w:tr>
        <w:trPr>
          <w:cantSplit/>
          <w:cantSplit/>
        </w:trPr>
        <w:tc>
          <w:tcPr>
            <w:tcW w:type="dxa" w:w="2304"/>
            <w:vAlign w:val="top"/>
          </w:tcPr>
          <w:p>
            <w:r/>
            <w:r>
              <w:rPr>
                <w:b w:val="0"/>
              </w:rPr>
              <w:t>MoE</w:t>
            </w:r>
          </w:p>
        </w:tc>
        <w:tc>
          <w:tcPr>
            <w:tcW w:type="dxa" w:w="3744"/>
            <w:vAlign w:val="top"/>
          </w:tcPr>
          <w:p>
            <w:r/>
            <w:r>
              <w:rPr>
                <w:b w:val="0"/>
              </w:rPr>
              <w:t>moe_route, moe_dispatch, moe_combine</w:t>
            </w:r>
          </w:p>
        </w:tc>
        <w:tc>
          <w:tcPr>
            <w:tcW w:type="dxa" w:w="3600"/>
            <w:vAlign w:val="top"/>
          </w:tcPr>
          <w:p>
            <w:r/>
            <w:r>
              <w:rPr>
                <w:b w:val="0"/>
              </w:rPr>
              <w:t>Replay expert routes and verify expert identity, dispatch, and combine.</w:t>
            </w:r>
          </w:p>
        </w:tc>
      </w:tr>
      <w:tr>
        <w:trPr>
          <w:cantSplit/>
          <w:cantSplit/>
        </w:trPr>
        <w:tc>
          <w:tcPr>
            <w:tcW w:type="dxa" w:w="2304"/>
            <w:vAlign w:val="top"/>
          </w:tcPr>
          <w:p>
            <w:r/>
            <w:r>
              <w:rPr>
                <w:b w:val="0"/>
              </w:rPr>
              <w:t>Sampling</w:t>
            </w:r>
          </w:p>
        </w:tc>
        <w:tc>
          <w:tcPr>
            <w:tcW w:type="dxa" w:w="3744"/>
            <w:vAlign w:val="top"/>
          </w:tcPr>
          <w:p>
            <w:r/>
            <w:r>
              <w:rPr>
                <w:b w:val="0"/>
              </w:rPr>
              <w:t>sample, stop_policy</w:t>
            </w:r>
          </w:p>
        </w:tc>
        <w:tc>
          <w:tcPr>
            <w:tcW w:type="dxa" w:w="3600"/>
            <w:vAlign w:val="top"/>
          </w:tcPr>
          <w:p>
            <w:r/>
            <w:r>
              <w:rPr>
                <w:b w:val="0"/>
              </w:rPr>
              <w:t>Validate generation policy and deterministic/allowed stochastic behavior.</w:t>
            </w:r>
          </w:p>
        </w:tc>
      </w:tr>
    </w:tbl>
    <w:p/>
    <w:p>
      <w:pPr>
        <w:pStyle w:val="Heading2"/>
      </w:pPr>
      <w:r>
        <w:t>C.7 Runtime State Backend: KV Cache and Linear Attention</w:t>
      </w:r>
    </w:p>
    <w:p>
      <w:r>
        <w:t>The current design models KV cache and linear-attention state as first-class runtime state objects. A TPU-like backend must implement their physical memory representation and their runtime update/read semantics.</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cantSplit/>
          <w:tblHeader w:val="true"/>
        </w:trPr>
        <w:tc>
          <w:tcPr>
            <w:tcW w:type="dxa" w:w="2448"/>
            <w:shd w:fill="E7E6E6"/>
            <w:vAlign w:val="center"/>
          </w:tcPr>
          <w:p>
            <w:r>
              <w:rPr>
                <w:b/>
              </w:rPr>
            </w:r>
            <w:r>
              <w:rPr>
                <w:b/>
              </w:rPr>
              <w:t>Runtime state object</w:t>
            </w:r>
          </w:p>
        </w:tc>
        <w:tc>
          <w:tcPr>
            <w:tcW w:type="dxa" w:w="3600"/>
            <w:shd w:fill="E7E6E6"/>
            <w:vAlign w:val="center"/>
          </w:tcPr>
          <w:p>
            <w:r>
              <w:rPr>
                <w:b/>
              </w:rPr>
            </w:r>
            <w:r>
              <w:rPr>
                <w:b/>
              </w:rPr>
              <w:t>Compiler-level contract</w:t>
            </w:r>
          </w:p>
        </w:tc>
        <w:tc>
          <w:tcPr>
            <w:tcW w:type="dxa" w:w="3600"/>
            <w:shd w:fill="E7E6E6"/>
            <w:vAlign w:val="center"/>
          </w:tcPr>
          <w:p>
            <w:r>
              <w:rPr>
                <w:b/>
              </w:rPr>
            </w:r>
            <w:r>
              <w:rPr>
                <w:b/>
              </w:rPr>
              <w:t>Backend implementation requirement</w:t>
            </w:r>
          </w:p>
        </w:tc>
      </w:tr>
      <w:tr>
        <w:trPr>
          <w:cantSplit/>
          <w:cantSplit/>
        </w:trPr>
        <w:tc>
          <w:tcPr>
            <w:tcW w:type="dxa" w:w="2448"/>
            <w:vAlign w:val="top"/>
          </w:tcPr>
          <w:p>
            <w:r/>
            <w:r>
              <w:rPr>
                <w:b w:val="0"/>
              </w:rPr>
              <w:t>KVCacheState</w:t>
            </w:r>
          </w:p>
        </w:tc>
        <w:tc>
          <w:tcPr>
            <w:tcW w:type="dxa" w:w="3600"/>
            <w:vAlign w:val="top"/>
          </w:tcPr>
          <w:p>
            <w:r/>
            <w:r>
              <w:rPr>
                <w:b w:val="0"/>
              </w:rPr>
              <w:t>K/V shape, dtype, layer/head layout, token-position mapping, prefix reuse semantics</w:t>
            </w:r>
          </w:p>
        </w:tc>
        <w:tc>
          <w:tcPr>
            <w:tcW w:type="dxa" w:w="3600"/>
            <w:vAlign w:val="top"/>
          </w:tcPr>
          <w:p>
            <w:r/>
            <w:r>
              <w:rPr>
                <w:b w:val="0"/>
              </w:rPr>
              <w:t>Block/page allocator, physical cache layout, HBM/SRAM placement, prefix reuse, eviction, compaction, state transfer.</w:t>
            </w:r>
          </w:p>
        </w:tc>
      </w:tr>
      <w:tr>
        <w:trPr>
          <w:cantSplit/>
          <w:cantSplit/>
        </w:trPr>
        <w:tc>
          <w:tcPr>
            <w:tcW w:type="dxa" w:w="2448"/>
            <w:vAlign w:val="top"/>
          </w:tcPr>
          <w:p>
            <w:r/>
            <w:r>
              <w:rPr>
                <w:b w:val="0"/>
              </w:rPr>
              <w:t>LinearAttentionState</w:t>
            </w:r>
          </w:p>
        </w:tc>
        <w:tc>
          <w:tcPr>
            <w:tcW w:type="dxa" w:w="3600"/>
            <w:vAlign w:val="top"/>
          </w:tcPr>
          <w:p>
            <w:r/>
            <w:r>
              <w:rPr>
                <w:b w:val="0"/>
              </w:rPr>
              <w:t>State shape, update rule, chunked-prefill rule, recurrent-decode rule, snapshot/restore semantics</w:t>
            </w:r>
          </w:p>
        </w:tc>
        <w:tc>
          <w:tcPr>
            <w:tcW w:type="dxa" w:w="3600"/>
            <w:vAlign w:val="top"/>
          </w:tcPr>
          <w:p>
            <w:r/>
            <w:r>
              <w:rPr>
                <w:b w:val="0"/>
              </w:rPr>
              <w:t>State allocation, update kernel, snapshot/restore, quantization, chunk-vs-recurrent conformance tests.</w:t>
            </w:r>
          </w:p>
        </w:tc>
      </w:tr>
      <w:tr>
        <w:trPr>
          <w:cantSplit/>
          <w:cantSplit/>
        </w:trPr>
        <w:tc>
          <w:tcPr>
            <w:tcW w:type="dxa" w:w="2448"/>
            <w:vAlign w:val="top"/>
          </w:tcPr>
          <w:p>
            <w:r/>
            <w:r>
              <w:rPr>
                <w:b w:val="0"/>
              </w:rPr>
              <w:t>HybridRuntimeState</w:t>
            </w:r>
          </w:p>
        </w:tc>
        <w:tc>
          <w:tcPr>
            <w:tcW w:type="dxa" w:w="3600"/>
            <w:vAlign w:val="top"/>
          </w:tcPr>
          <w:p>
            <w:r/>
            <w:r>
              <w:rPr>
                <w:b w:val="0"/>
              </w:rPr>
              <w:t>Combination of KV, recurrent, convolutional, or other model-specific state</w:t>
            </w:r>
          </w:p>
        </w:tc>
        <w:tc>
          <w:tcPr>
            <w:tcW w:type="dxa" w:w="3600"/>
            <w:vAlign w:val="top"/>
          </w:tcPr>
          <w:p>
            <w:r/>
            <w:r>
              <w:rPr>
                <w:b w:val="0"/>
              </w:rPr>
              <w:t>Multiple state managers and a schedule that preserves all state dependencies.</w:t>
            </w:r>
          </w:p>
        </w:tc>
      </w:tr>
    </w:tbl>
    <w:p/>
    <w:p>
      <w:r>
        <w:t>The compiler must reject a backend that can run the dense matmul path but cannot preserve required cache or state semantics. Long-context inference correctness depends as much on runtime state as on matrix multiply throughput.</w:t>
      </w:r>
    </w:p>
    <w:p>
      <w:pPr>
        <w:pStyle w:val="Heading2"/>
      </w:pPr>
      <w:r>
        <w:t>C.8 MoE Backend Construction Requirements</w:t>
      </w:r>
    </w:p>
    <w:p>
      <w:r>
        <w:t>MoE is already represented as a first-class Transformer sub-domain. For a TPU-like backend, MoE becomes a hardware/runtime problem: expert routing must be preserved while token dispatch, expert batching, all-to-all communication, and expert-local GEMM are implemented efficiently.</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cantSplit/>
          <w:tblHeader w:val="true"/>
        </w:trPr>
        <w:tc>
          <w:tcPr>
            <w:tcW w:type="dxa" w:w="2160"/>
            <w:shd w:fill="E7E6E6"/>
            <w:vAlign w:val="center"/>
          </w:tcPr>
          <w:p>
            <w:r>
              <w:rPr>
                <w:b/>
              </w:rPr>
            </w:r>
            <w:r>
              <w:rPr>
                <w:b/>
              </w:rPr>
              <w:t>MoE backend area</w:t>
            </w:r>
          </w:p>
        </w:tc>
        <w:tc>
          <w:tcPr>
            <w:tcW w:type="dxa" w:w="3888"/>
            <w:shd w:fill="E7E6E6"/>
            <w:vAlign w:val="center"/>
          </w:tcPr>
          <w:p>
            <w:r>
              <w:rPr>
                <w:b/>
              </w:rPr>
            </w:r>
            <w:r>
              <w:rPr>
                <w:b/>
              </w:rPr>
              <w:t>Required backend capability</w:t>
            </w:r>
          </w:p>
        </w:tc>
        <w:tc>
          <w:tcPr>
            <w:tcW w:type="dxa" w:w="3600"/>
            <w:shd w:fill="E7E6E6"/>
            <w:vAlign w:val="center"/>
          </w:tcPr>
          <w:p>
            <w:r>
              <w:rPr>
                <w:b/>
              </w:rPr>
            </w:r>
            <w:r>
              <w:rPr>
                <w:b/>
              </w:rPr>
              <w:t>Gatekeeper test</w:t>
            </w:r>
          </w:p>
        </w:tc>
      </w:tr>
      <w:tr>
        <w:trPr>
          <w:cantSplit/>
          <w:cantSplit/>
        </w:trPr>
        <w:tc>
          <w:tcPr>
            <w:tcW w:type="dxa" w:w="2160"/>
            <w:vAlign w:val="top"/>
          </w:tcPr>
          <w:p>
            <w:r/>
            <w:r>
              <w:rPr>
                <w:b w:val="0"/>
              </w:rPr>
              <w:t>Router execution</w:t>
            </w:r>
          </w:p>
        </w:tc>
        <w:tc>
          <w:tcPr>
            <w:tcW w:type="dxa" w:w="3888"/>
            <w:vAlign w:val="top"/>
          </w:tcPr>
          <w:p>
            <w:r/>
            <w:r>
              <w:rPr>
                <w:b w:val="0"/>
              </w:rPr>
              <w:t>Exact or tolerance-certified router logits/top-k computation</w:t>
            </w:r>
          </w:p>
        </w:tc>
        <w:tc>
          <w:tcPr>
            <w:tcW w:type="dxa" w:w="3600"/>
            <w:vAlign w:val="top"/>
          </w:tcPr>
          <w:p>
            <w:r/>
            <w:r>
              <w:rPr>
                <w:b w:val="0"/>
              </w:rPr>
              <w:t>Router top-k replay test.</w:t>
            </w:r>
          </w:p>
        </w:tc>
      </w:tr>
      <w:tr>
        <w:trPr>
          <w:cantSplit/>
          <w:cantSplit/>
        </w:trPr>
        <w:tc>
          <w:tcPr>
            <w:tcW w:type="dxa" w:w="2160"/>
            <w:vAlign w:val="top"/>
          </w:tcPr>
          <w:p>
            <w:r/>
            <w:r>
              <w:rPr>
                <w:b w:val="0"/>
              </w:rPr>
              <w:t>Expert identity</w:t>
            </w:r>
          </w:p>
        </w:tc>
        <w:tc>
          <w:tcPr>
            <w:tcW w:type="dxa" w:w="3888"/>
            <w:vAlign w:val="top"/>
          </w:tcPr>
          <w:p>
            <w:r/>
            <w:r>
              <w:rPr>
                <w:b w:val="0"/>
              </w:rPr>
              <w:t>Stable mapping from expert IDs to checkpoint tensors and devices</w:t>
            </w:r>
          </w:p>
        </w:tc>
        <w:tc>
          <w:tcPr>
            <w:tcW w:type="dxa" w:w="3600"/>
            <w:vAlign w:val="top"/>
          </w:tcPr>
          <w:p>
            <w:r/>
            <w:r>
              <w:rPr>
                <w:b w:val="0"/>
              </w:rPr>
              <w:t>Expert ID and checksum test.</w:t>
            </w:r>
          </w:p>
        </w:tc>
      </w:tr>
      <w:tr>
        <w:trPr>
          <w:cantSplit/>
          <w:cantSplit/>
        </w:trPr>
        <w:tc>
          <w:tcPr>
            <w:tcW w:type="dxa" w:w="2160"/>
            <w:vAlign w:val="top"/>
          </w:tcPr>
          <w:p>
            <w:r/>
            <w:r>
              <w:rPr>
                <w:b w:val="0"/>
              </w:rPr>
              <w:t>Expert placement</w:t>
            </w:r>
          </w:p>
        </w:tc>
        <w:tc>
          <w:tcPr>
            <w:tcW w:type="dxa" w:w="3888"/>
            <w:vAlign w:val="top"/>
          </w:tcPr>
          <w:p>
            <w:r/>
            <w:r>
              <w:rPr>
                <w:b w:val="0"/>
              </w:rPr>
              <w:t>Placement of experts across chips/devices</w:t>
            </w:r>
          </w:p>
        </w:tc>
        <w:tc>
          <w:tcPr>
            <w:tcW w:type="dxa" w:w="3600"/>
            <w:vAlign w:val="top"/>
          </w:tcPr>
          <w:p>
            <w:r/>
            <w:r>
              <w:rPr>
                <w:b w:val="0"/>
              </w:rPr>
              <w:t>Rank-to-expert mapping verification.</w:t>
            </w:r>
          </w:p>
        </w:tc>
      </w:tr>
      <w:tr>
        <w:trPr>
          <w:cantSplit/>
          <w:cantSplit/>
        </w:trPr>
        <w:tc>
          <w:tcPr>
            <w:tcW w:type="dxa" w:w="2160"/>
            <w:vAlign w:val="top"/>
          </w:tcPr>
          <w:p>
            <w:r/>
            <w:r>
              <w:rPr>
                <w:b w:val="0"/>
              </w:rPr>
              <w:t>Token dispatch</w:t>
            </w:r>
          </w:p>
        </w:tc>
        <w:tc>
          <w:tcPr>
            <w:tcW w:type="dxa" w:w="3888"/>
            <w:vAlign w:val="top"/>
          </w:tcPr>
          <w:p>
            <w:r/>
            <w:r>
              <w:rPr>
                <w:b w:val="0"/>
              </w:rPr>
              <w:t>Token permutation, all-to-all or equivalent route transfer</w:t>
            </w:r>
          </w:p>
        </w:tc>
        <w:tc>
          <w:tcPr>
            <w:tcW w:type="dxa" w:w="3600"/>
            <w:vAlign w:val="top"/>
          </w:tcPr>
          <w:p>
            <w:r/>
            <w:r>
              <w:rPr>
                <w:b w:val="0"/>
              </w:rPr>
              <w:t>Dispatch/combine round-trip test.</w:t>
            </w:r>
          </w:p>
        </w:tc>
      </w:tr>
      <w:tr>
        <w:trPr>
          <w:cantSplit/>
          <w:cantSplit/>
        </w:trPr>
        <w:tc>
          <w:tcPr>
            <w:tcW w:type="dxa" w:w="2160"/>
            <w:vAlign w:val="top"/>
          </w:tcPr>
          <w:p>
            <w:r/>
            <w:r>
              <w:rPr>
                <w:b w:val="0"/>
              </w:rPr>
              <w:t>Expert GEMM</w:t>
            </w:r>
          </w:p>
        </w:tc>
        <w:tc>
          <w:tcPr>
            <w:tcW w:type="dxa" w:w="3888"/>
            <w:vAlign w:val="top"/>
          </w:tcPr>
          <w:p>
            <w:r/>
            <w:r>
              <w:rPr>
                <w:b w:val="0"/>
              </w:rPr>
              <w:t>Batched or grouped GEMM for selected experts</w:t>
            </w:r>
          </w:p>
        </w:tc>
        <w:tc>
          <w:tcPr>
            <w:tcW w:type="dxa" w:w="3600"/>
            <w:vAlign w:val="top"/>
          </w:tcPr>
          <w:p>
            <w:r/>
            <w:r>
              <w:rPr>
                <w:b w:val="0"/>
              </w:rPr>
              <w:t>Per-expert output checksum and performance counters.</w:t>
            </w:r>
          </w:p>
        </w:tc>
      </w:tr>
      <w:tr>
        <w:trPr>
          <w:cantSplit/>
          <w:cantSplit/>
        </w:trPr>
        <w:tc>
          <w:tcPr>
            <w:tcW w:type="dxa" w:w="2160"/>
            <w:vAlign w:val="top"/>
          </w:tcPr>
          <w:p>
            <w:r/>
            <w:r>
              <w:rPr>
                <w:b w:val="0"/>
              </w:rPr>
              <w:t>Combine path</w:t>
            </w:r>
          </w:p>
        </w:tc>
        <w:tc>
          <w:tcPr>
            <w:tcW w:type="dxa" w:w="3888"/>
            <w:vAlign w:val="top"/>
          </w:tcPr>
          <w:p>
            <w:r/>
            <w:r>
              <w:rPr>
                <w:b w:val="0"/>
              </w:rPr>
              <w:t>Weighted combine of expert outputs into original token order</w:t>
            </w:r>
          </w:p>
        </w:tc>
        <w:tc>
          <w:tcPr>
            <w:tcW w:type="dxa" w:w="3600"/>
            <w:vAlign w:val="top"/>
          </w:tcPr>
          <w:p>
            <w:r/>
            <w:r>
              <w:rPr>
                <w:b w:val="0"/>
              </w:rPr>
              <w:t>Final hidden-state and logit comparison.</w:t>
            </w:r>
          </w:p>
        </w:tc>
      </w:tr>
      <w:tr>
        <w:trPr>
          <w:cantSplit/>
          <w:cantSplit/>
        </w:trPr>
        <w:tc>
          <w:tcPr>
            <w:tcW w:type="dxa" w:w="2160"/>
            <w:vAlign w:val="top"/>
          </w:tcPr>
          <w:p>
            <w:r/>
            <w:r>
              <w:rPr>
                <w:b w:val="0"/>
              </w:rPr>
              <w:t>Load balancing</w:t>
            </w:r>
          </w:p>
        </w:tc>
        <w:tc>
          <w:tcPr>
            <w:tcW w:type="dxa" w:w="3888"/>
            <w:vAlign w:val="top"/>
          </w:tcPr>
          <w:p>
            <w:r/>
            <w:r>
              <w:rPr>
                <w:b w:val="0"/>
              </w:rPr>
              <w:t>Capacity, padding, token-drop policy, hot-expert mitigation</w:t>
            </w:r>
          </w:p>
        </w:tc>
        <w:tc>
          <w:tcPr>
            <w:tcW w:type="dxa" w:w="3600"/>
            <w:vAlign w:val="top"/>
          </w:tcPr>
          <w:p>
            <w:r/>
            <w:r>
              <w:rPr>
                <w:b w:val="0"/>
              </w:rPr>
              <w:t>Load-distribution and no-unexpected-drop checks.</w:t>
            </w:r>
          </w:p>
        </w:tc>
      </w:tr>
    </w:tbl>
    <w:p/>
    <w:p>
      <w:pPr>
        <w:pStyle w:val="Heading2"/>
      </w:pPr>
      <w:r>
        <w:t>C.9 Hardware Capability Gate</w:t>
      </w:r>
    </w:p>
    <w:p>
      <w:r>
        <w:t>The existing gatekeeper should be extended with a hardware capability gate. This gate does not ask whether the model is valid in the abstract; it asks whether the target backend can implement the model contracts correctly and within declared deployment limits.</w:t>
      </w:r>
    </w:p>
    <w:p>
      <w:pPr>
        <w:spacing w:after="120"/>
        <w:ind w:left="360"/>
      </w:pPr>
      <w:r>
        <w:rPr>
          <w:rFonts w:ascii="Courier New" w:hAnsi="Courier New" w:eastAsia="Courier New"/>
          <w:color w:val="282828"/>
          <w:sz w:val="17"/>
        </w:rPr>
        <w:t>HardwareCapabilityGate(model_contract, runtime_contract, target_description):</w:t>
      </w:r>
      <w:r>
        <w:br/>
      </w:r>
      <w:r>
        <w:rPr>
          <w:rFonts w:ascii="Courier New" w:hAnsi="Courier New" w:eastAsia="Courier New"/>
          <w:color w:val="282828"/>
          <w:sz w:val="17"/>
        </w:rPr>
        <w:t xml:space="preserve">  verify_dtype_support()</w:t>
      </w:r>
      <w:r>
        <w:br/>
      </w:r>
      <w:r>
        <w:rPr>
          <w:rFonts w:ascii="Courier New" w:hAnsi="Courier New" w:eastAsia="Courier New"/>
          <w:color w:val="282828"/>
          <w:sz w:val="17"/>
        </w:rPr>
        <w:t xml:space="preserve">  verify_operator_support()</w:t>
      </w:r>
      <w:r>
        <w:br/>
      </w:r>
      <w:r>
        <w:rPr>
          <w:rFonts w:ascii="Courier New" w:hAnsi="Courier New" w:eastAsia="Courier New"/>
          <w:color w:val="282828"/>
          <w:sz w:val="17"/>
        </w:rPr>
        <w:t xml:space="preserve">  verify_layout_support()</w:t>
      </w:r>
      <w:r>
        <w:br/>
      </w:r>
      <w:r>
        <w:rPr>
          <w:rFonts w:ascii="Courier New" w:hAnsi="Courier New" w:eastAsia="Courier New"/>
          <w:color w:val="282828"/>
          <w:sz w:val="17"/>
        </w:rPr>
        <w:t xml:space="preserve">  verify_memory_capacity()</w:t>
      </w:r>
      <w:r>
        <w:br/>
      </w:r>
      <w:r>
        <w:rPr>
          <w:rFonts w:ascii="Courier New" w:hAnsi="Courier New" w:eastAsia="Courier New"/>
          <w:color w:val="282828"/>
          <w:sz w:val="17"/>
        </w:rPr>
        <w:t xml:space="preserve">  verify_runtime_state_support()</w:t>
      </w:r>
      <w:r>
        <w:br/>
      </w:r>
      <w:r>
        <w:rPr>
          <w:rFonts w:ascii="Courier New" w:hAnsi="Courier New" w:eastAsia="Courier New"/>
          <w:color w:val="282828"/>
          <w:sz w:val="17"/>
        </w:rPr>
        <w:t xml:space="preserve">  verify_moe_support()</w:t>
      </w:r>
      <w:r>
        <w:br/>
      </w:r>
      <w:r>
        <w:rPr>
          <w:rFonts w:ascii="Courier New" w:hAnsi="Courier New" w:eastAsia="Courier New"/>
          <w:color w:val="282828"/>
          <w:sz w:val="17"/>
        </w:rPr>
        <w:t xml:space="preserve">  verify_collective_support()</w:t>
      </w:r>
      <w:r>
        <w:br/>
      </w:r>
      <w:r>
        <w:rPr>
          <w:rFonts w:ascii="Courier New" w:hAnsi="Courier New" w:eastAsia="Courier New"/>
          <w:color w:val="282828"/>
          <w:sz w:val="17"/>
        </w:rPr>
        <w:t xml:space="preserve">  verify_sglang_runtime_abi()</w:t>
      </w:r>
      <w:r>
        <w:br/>
      </w:r>
      <w:r>
        <w:rPr>
          <w:rFonts w:ascii="Courier New" w:hAnsi="Courier New" w:eastAsia="Courier New"/>
          <w:color w:val="282828"/>
          <w:sz w:val="17"/>
        </w:rPr>
        <w:t xml:space="preserve">  generate_target_conformance_tests()</w:t>
      </w:r>
      <w:r>
        <w:br/>
      </w:r>
      <w:r>
        <w:rPr>
          <w:rFonts w:ascii="Courier New" w:hAnsi="Courier New" w:eastAsia="Courier New"/>
          <w:color w:val="282828"/>
          <w:sz w:val="17"/>
        </w:rPr>
        <w:t xml:space="preserve">  emit_certification_or_reject()</w:t>
      </w:r>
      <w:r>
        <w:br/>
      </w:r>
    </w:p>
    <w:tbl>
      <w:tblPr>
        <w:tblStyle w:val="TableGrid"/>
        <w:tblW w:type="auto" w:w="0"/>
        <w:jc w:val="center"/>
        <w:tblLook w:firstColumn="1" w:firstRow="1" w:lastColumn="0" w:lastRow="0" w:noHBand="0" w:noVBand="1" w:val="04A0"/>
      </w:tblPr>
      <w:tblGrid>
        <w:gridCol w:w="2880"/>
        <w:gridCol w:w="2880"/>
        <w:gridCol w:w="2880"/>
      </w:tblGrid>
      <w:tr>
        <w:trPr>
          <w:tblHeader w:val="true"/>
          <w:cantSplit/>
          <w:cantSplit/>
          <w:tblHeader w:val="true"/>
        </w:trPr>
        <w:tc>
          <w:tcPr>
            <w:tcW w:type="dxa" w:w="2592"/>
            <w:shd w:fill="E7E6E6"/>
            <w:vAlign w:val="center"/>
          </w:tcPr>
          <w:p>
            <w:r>
              <w:rPr>
                <w:b/>
              </w:rPr>
            </w:r>
            <w:r>
              <w:rPr>
                <w:b/>
              </w:rPr>
              <w:t>Diagnostic family</w:t>
            </w:r>
          </w:p>
        </w:tc>
        <w:tc>
          <w:tcPr>
            <w:tcW w:type="dxa" w:w="3744"/>
            <w:shd w:fill="E7E6E6"/>
            <w:vAlign w:val="center"/>
          </w:tcPr>
          <w:p>
            <w:r>
              <w:rPr>
                <w:b/>
              </w:rPr>
            </w:r>
            <w:r>
              <w:rPr>
                <w:b/>
              </w:rPr>
              <w:t>Example failure</w:t>
            </w:r>
          </w:p>
        </w:tc>
        <w:tc>
          <w:tcPr>
            <w:tcW w:type="dxa" w:w="3456"/>
            <w:shd w:fill="E7E6E6"/>
            <w:vAlign w:val="center"/>
          </w:tcPr>
          <w:p>
            <w:r>
              <w:rPr>
                <w:b/>
              </w:rPr>
            </w:r>
            <w:r>
              <w:rPr>
                <w:b/>
              </w:rPr>
              <w:t>Meaning</w:t>
            </w:r>
          </w:p>
        </w:tc>
      </w:tr>
      <w:tr>
        <w:trPr>
          <w:cantSplit/>
          <w:cantSplit/>
        </w:trPr>
        <w:tc>
          <w:tcPr>
            <w:tcW w:type="dxa" w:w="2592"/>
            <w:vAlign w:val="top"/>
          </w:tcPr>
          <w:p>
            <w:r/>
            <w:r>
              <w:rPr>
                <w:b w:val="0"/>
              </w:rPr>
              <w:t>CTGT-001 UnsupportedDType</w:t>
            </w:r>
          </w:p>
        </w:tc>
        <w:tc>
          <w:tcPr>
            <w:tcW w:type="dxa" w:w="3744"/>
            <w:vAlign w:val="top"/>
          </w:tcPr>
          <w:p>
            <w:r/>
            <w:r>
              <w:rPr>
                <w:b w:val="0"/>
              </w:rPr>
              <w:t>Model requires FP8 KV cache, target supports BF16 only.</w:t>
            </w:r>
          </w:p>
        </w:tc>
        <w:tc>
          <w:tcPr>
            <w:tcW w:type="dxa" w:w="3456"/>
            <w:vAlign w:val="top"/>
          </w:tcPr>
          <w:p>
            <w:r/>
            <w:r>
              <w:rPr>
                <w:b w:val="0"/>
              </w:rPr>
              <w:t>Target cannot represent required dtype.</w:t>
            </w:r>
          </w:p>
        </w:tc>
      </w:tr>
      <w:tr>
        <w:trPr>
          <w:cantSplit/>
          <w:cantSplit/>
        </w:trPr>
        <w:tc>
          <w:tcPr>
            <w:tcW w:type="dxa" w:w="2592"/>
            <w:vAlign w:val="top"/>
          </w:tcPr>
          <w:p>
            <w:r/>
            <w:r>
              <w:rPr>
                <w:b w:val="0"/>
              </w:rPr>
              <w:t>CTGT-010 UnsupportedOperator</w:t>
            </w:r>
          </w:p>
        </w:tc>
        <w:tc>
          <w:tcPr>
            <w:tcW w:type="dxa" w:w="3744"/>
            <w:vAlign w:val="top"/>
          </w:tcPr>
          <w:p>
            <w:r/>
            <w:r>
              <w:rPr>
                <w:b w:val="0"/>
              </w:rPr>
              <w:t>Backend lacks paged attention or required linear-state update.</w:t>
            </w:r>
          </w:p>
        </w:tc>
        <w:tc>
          <w:tcPr>
            <w:tcW w:type="dxa" w:w="3456"/>
            <w:vAlign w:val="top"/>
          </w:tcPr>
          <w:p>
            <w:r/>
            <w:r>
              <w:rPr>
                <w:b w:val="0"/>
              </w:rPr>
              <w:t>Target cannot implement model operator semantics.</w:t>
            </w:r>
          </w:p>
        </w:tc>
      </w:tr>
      <w:tr>
        <w:trPr>
          <w:cantSplit/>
          <w:cantSplit/>
        </w:trPr>
        <w:tc>
          <w:tcPr>
            <w:tcW w:type="dxa" w:w="2592"/>
            <w:vAlign w:val="top"/>
          </w:tcPr>
          <w:p>
            <w:r/>
            <w:r>
              <w:rPr>
                <w:b w:val="0"/>
              </w:rPr>
              <w:t>CTGT-020 LayoutConstraintViolation</w:t>
            </w:r>
          </w:p>
        </w:tc>
        <w:tc>
          <w:tcPr>
            <w:tcW w:type="dxa" w:w="3744"/>
            <w:vAlign w:val="top"/>
          </w:tcPr>
          <w:p>
            <w:r/>
            <w:r>
              <w:rPr>
                <w:b w:val="0"/>
              </w:rPr>
              <w:t>Required head_dim layout violates matrix-unit tile alignment.</w:t>
            </w:r>
          </w:p>
        </w:tc>
        <w:tc>
          <w:tcPr>
            <w:tcW w:type="dxa" w:w="3456"/>
            <w:vAlign w:val="top"/>
          </w:tcPr>
          <w:p>
            <w:r/>
            <w:r>
              <w:rPr>
                <w:b w:val="0"/>
              </w:rPr>
              <w:t>Target cannot legally or efficiently lay out tensor.</w:t>
            </w:r>
          </w:p>
        </w:tc>
      </w:tr>
      <w:tr>
        <w:trPr>
          <w:cantSplit/>
          <w:cantSplit/>
        </w:trPr>
        <w:tc>
          <w:tcPr>
            <w:tcW w:type="dxa" w:w="2592"/>
            <w:vAlign w:val="top"/>
          </w:tcPr>
          <w:p>
            <w:r/>
            <w:r>
              <w:rPr>
                <w:b w:val="0"/>
              </w:rPr>
              <w:t>CTGT-030 MemoryCapacityExceeded</w:t>
            </w:r>
          </w:p>
        </w:tc>
        <w:tc>
          <w:tcPr>
            <w:tcW w:type="dxa" w:w="3744"/>
            <w:vAlign w:val="top"/>
          </w:tcPr>
          <w:p>
            <w:r/>
            <w:r>
              <w:rPr>
                <w:b w:val="0"/>
              </w:rPr>
              <w:t>KV cache for max context exceeds available HBM.</w:t>
            </w:r>
          </w:p>
        </w:tc>
        <w:tc>
          <w:tcPr>
            <w:tcW w:type="dxa" w:w="3456"/>
            <w:vAlign w:val="top"/>
          </w:tcPr>
          <w:p>
            <w:r/>
            <w:r>
              <w:rPr>
                <w:b w:val="0"/>
              </w:rPr>
              <w:t>Deployment limit is not feasible.</w:t>
            </w:r>
          </w:p>
        </w:tc>
      </w:tr>
      <w:tr>
        <w:trPr>
          <w:cantSplit/>
          <w:cantSplit/>
        </w:trPr>
        <w:tc>
          <w:tcPr>
            <w:tcW w:type="dxa" w:w="2592"/>
            <w:vAlign w:val="top"/>
          </w:tcPr>
          <w:p>
            <w:r/>
            <w:r>
              <w:rPr>
                <w:b w:val="0"/>
              </w:rPr>
              <w:t>CTGT-040 RuntimeStateUnsupported</w:t>
            </w:r>
          </w:p>
        </w:tc>
        <w:tc>
          <w:tcPr>
            <w:tcW w:type="dxa" w:w="3744"/>
            <w:vAlign w:val="top"/>
          </w:tcPr>
          <w:p>
            <w:r/>
            <w:r>
              <w:rPr>
                <w:b w:val="0"/>
              </w:rPr>
              <w:t>Backend cannot snapshot/restore linear-attention state.</w:t>
            </w:r>
          </w:p>
        </w:tc>
        <w:tc>
          <w:tcPr>
            <w:tcW w:type="dxa" w:w="3456"/>
            <w:vAlign w:val="top"/>
          </w:tcPr>
          <w:p>
            <w:r/>
            <w:r>
              <w:rPr>
                <w:b w:val="0"/>
              </w:rPr>
              <w:t>Runtime-state contract cannot be preserved.</w:t>
            </w:r>
          </w:p>
        </w:tc>
      </w:tr>
      <w:tr>
        <w:trPr>
          <w:cantSplit/>
          <w:cantSplit/>
        </w:trPr>
        <w:tc>
          <w:tcPr>
            <w:tcW w:type="dxa" w:w="2592"/>
            <w:vAlign w:val="top"/>
          </w:tcPr>
          <w:p>
            <w:r/>
            <w:r>
              <w:rPr>
                <w:b w:val="0"/>
              </w:rPr>
              <w:t>CTGT-050 MoEUnsupported</w:t>
            </w:r>
          </w:p>
        </w:tc>
        <w:tc>
          <w:tcPr>
            <w:tcW w:type="dxa" w:w="3744"/>
            <w:vAlign w:val="top"/>
          </w:tcPr>
          <w:p>
            <w:r/>
            <w:r>
              <w:rPr>
                <w:b w:val="0"/>
              </w:rPr>
              <w:t>Backend lacks all-to-all or expert dispatch path.</w:t>
            </w:r>
          </w:p>
        </w:tc>
        <w:tc>
          <w:tcPr>
            <w:tcW w:type="dxa" w:w="3456"/>
            <w:vAlign w:val="top"/>
          </w:tcPr>
          <w:p>
            <w:r/>
            <w:r>
              <w:rPr>
                <w:b w:val="0"/>
              </w:rPr>
              <w:t>MoE execution contract cannot be implemented.</w:t>
            </w:r>
          </w:p>
        </w:tc>
      </w:tr>
      <w:tr>
        <w:trPr>
          <w:cantSplit/>
          <w:cantSplit/>
        </w:trPr>
        <w:tc>
          <w:tcPr>
            <w:tcW w:type="dxa" w:w="2592"/>
            <w:vAlign w:val="top"/>
          </w:tcPr>
          <w:p>
            <w:r/>
            <w:r>
              <w:rPr>
                <w:b w:val="0"/>
              </w:rPr>
              <w:t>CTGT-060 SGLangABIUnsupported</w:t>
            </w:r>
          </w:p>
        </w:tc>
        <w:tc>
          <w:tcPr>
            <w:tcW w:type="dxa" w:w="3744"/>
            <w:vAlign w:val="top"/>
          </w:tcPr>
          <w:p>
            <w:r/>
            <w:r>
              <w:rPr>
                <w:b w:val="0"/>
              </w:rPr>
              <w:t>Backend does not expose prefill/decode/state APIs required by adapter.</w:t>
            </w:r>
          </w:p>
        </w:tc>
        <w:tc>
          <w:tcPr>
            <w:tcW w:type="dxa" w:w="3456"/>
            <w:vAlign w:val="top"/>
          </w:tcPr>
          <w:p>
            <w:r/>
            <w:r>
              <w:rPr>
                <w:b w:val="0"/>
              </w:rPr>
              <w:t>SGLang compatibility cannot be certified.</w:t>
            </w:r>
          </w:p>
        </w:tc>
      </w:tr>
      <w:tr>
        <w:trPr>
          <w:cantSplit/>
          <w:cantSplit/>
        </w:trPr>
        <w:tc>
          <w:tcPr>
            <w:tcW w:type="dxa" w:w="2592"/>
            <w:vAlign w:val="top"/>
          </w:tcPr>
          <w:p>
            <w:r/>
            <w:r>
              <w:rPr>
                <w:b w:val="0"/>
              </w:rPr>
              <w:t>CTGT-070 PerformanceModelMissing</w:t>
            </w:r>
          </w:p>
        </w:tc>
        <w:tc>
          <w:tcPr>
            <w:tcW w:type="dxa" w:w="3744"/>
            <w:vAlign w:val="top"/>
          </w:tcPr>
          <w:p>
            <w:r/>
            <w:r>
              <w:rPr>
                <w:b w:val="0"/>
              </w:rPr>
              <w:t>No cost model or profiling path exists for selected target.</w:t>
            </w:r>
          </w:p>
        </w:tc>
        <w:tc>
          <w:tcPr>
            <w:tcW w:type="dxa" w:w="3456"/>
            <w:vAlign w:val="top"/>
          </w:tcPr>
          <w:p>
            <w:r/>
            <w:r>
              <w:rPr>
                <w:b w:val="0"/>
              </w:rPr>
              <w:t>Backend can run but cannot be certified for performance planning.</w:t>
            </w:r>
          </w:p>
        </w:tc>
      </w:tr>
    </w:tbl>
    <w:p/>
    <w:p>
      <w:pPr>
        <w:pStyle w:val="Heading2"/>
      </w:pPr>
      <w:r>
        <w:t>C.10 Backend Construction Stages</w:t>
      </w:r>
    </w:p>
    <w:p>
      <w:r>
        <w:t>The backend should be built incrementally. This keeps the project aligned with the current compiler proposal while avoiding a premature attempt to replace all of SGLang or all of OpenXLA.</w:t>
      </w:r>
    </w:p>
    <w:tbl>
      <w:tblPr>
        <w:tblStyle w:val="TableGrid"/>
        <w:tblW w:type="auto" w:w="0"/>
        <w:jc w:val="center"/>
        <w:tblLook w:firstColumn="1" w:firstRow="1" w:lastColumn="0" w:lastRow="0" w:noHBand="0" w:noVBand="1" w:val="04A0"/>
      </w:tblPr>
      <w:tblGrid>
        <w:gridCol w:w="2880"/>
        <w:gridCol w:w="2880"/>
        <w:gridCol w:w="2880"/>
      </w:tblGrid>
      <w:tr>
        <w:trPr>
          <w:tblHeader w:val="true"/>
          <w:cantSplit/>
          <w:cantSplit/>
          <w:tblHeader w:val="true"/>
        </w:trPr>
        <w:tc>
          <w:tcPr>
            <w:tcW w:type="dxa" w:w="1296"/>
            <w:shd w:fill="E7E6E6"/>
            <w:vAlign w:val="center"/>
          </w:tcPr>
          <w:p>
            <w:r>
              <w:rPr>
                <w:b/>
              </w:rPr>
            </w:r>
            <w:r>
              <w:rPr>
                <w:b/>
              </w:rPr>
              <w:t>Stage</w:t>
            </w:r>
          </w:p>
        </w:tc>
        <w:tc>
          <w:tcPr>
            <w:tcW w:type="dxa" w:w="3456"/>
            <w:shd w:fill="E7E6E6"/>
            <w:vAlign w:val="center"/>
          </w:tcPr>
          <w:p>
            <w:r>
              <w:rPr>
                <w:b/>
              </w:rPr>
            </w:r>
            <w:r>
              <w:rPr>
                <w:b/>
              </w:rPr>
              <w:t>Construction goal</w:t>
            </w:r>
          </w:p>
        </w:tc>
        <w:tc>
          <w:tcPr>
            <w:tcW w:type="dxa" w:w="4896"/>
            <w:shd w:fill="E7E6E6"/>
            <w:vAlign w:val="center"/>
          </w:tcPr>
          <w:p>
            <w:r>
              <w:rPr>
                <w:b/>
              </w:rPr>
            </w:r>
            <w:r>
              <w:rPr>
                <w:b/>
              </w:rPr>
              <w:t>Deliverable</w:t>
            </w:r>
          </w:p>
        </w:tc>
      </w:tr>
      <w:tr>
        <w:trPr>
          <w:cantSplit/>
          <w:cantSplit/>
        </w:trPr>
        <w:tc>
          <w:tcPr>
            <w:tcW w:type="dxa" w:w="1296"/>
            <w:vAlign w:val="top"/>
          </w:tcPr>
          <w:p>
            <w:r/>
            <w:r>
              <w:rPr>
                <w:b w:val="0"/>
              </w:rPr>
              <w:t>Stage 1</w:t>
            </w:r>
          </w:p>
        </w:tc>
        <w:tc>
          <w:tcPr>
            <w:tcW w:type="dxa" w:w="3456"/>
            <w:vAlign w:val="top"/>
          </w:tcPr>
          <w:p>
            <w:r/>
            <w:r>
              <w:rPr>
                <w:b w:val="0"/>
              </w:rPr>
              <w:t>Certification-only SGLang backend</w:t>
            </w:r>
          </w:p>
        </w:tc>
        <w:tc>
          <w:tcPr>
            <w:tcW w:type="dxa" w:w="4896"/>
            <w:vAlign w:val="top"/>
          </w:tcPr>
          <w:p>
            <w:r/>
            <w:r>
              <w:rPr>
                <w:b w:val="0"/>
              </w:rPr>
              <w:t>Compiler validates model/runtime contracts and emits SGLang launch/config/test artifacts.</w:t>
            </w:r>
          </w:p>
        </w:tc>
      </w:tr>
      <w:tr>
        <w:trPr>
          <w:cantSplit/>
          <w:cantSplit/>
        </w:trPr>
        <w:tc>
          <w:tcPr>
            <w:tcW w:type="dxa" w:w="1296"/>
            <w:vAlign w:val="top"/>
          </w:tcPr>
          <w:p>
            <w:r/>
            <w:r>
              <w:rPr>
                <w:b w:val="0"/>
              </w:rPr>
              <w:t>Stage 2</w:t>
            </w:r>
          </w:p>
        </w:tc>
        <w:tc>
          <w:tcPr>
            <w:tcW w:type="dxa" w:w="3456"/>
            <w:vAlign w:val="top"/>
          </w:tcPr>
          <w:p>
            <w:r/>
            <w:r>
              <w:rPr>
                <w:b w:val="0"/>
              </w:rPr>
              <w:t>Target capability model</w:t>
            </w:r>
          </w:p>
        </w:tc>
        <w:tc>
          <w:tcPr>
            <w:tcW w:type="dxa" w:w="4896"/>
            <w:vAlign w:val="top"/>
          </w:tcPr>
          <w:p>
            <w:r/>
            <w:r>
              <w:rPr>
                <w:b w:val="0"/>
              </w:rPr>
              <w:t>TPULikeTargetDescription and hardware capability gate.</w:t>
            </w:r>
          </w:p>
        </w:tc>
      </w:tr>
      <w:tr>
        <w:trPr>
          <w:cantSplit/>
          <w:cantSplit/>
        </w:trPr>
        <w:tc>
          <w:tcPr>
            <w:tcW w:type="dxa" w:w="1296"/>
            <w:vAlign w:val="top"/>
          </w:tcPr>
          <w:p>
            <w:r/>
            <w:r>
              <w:rPr>
                <w:b w:val="0"/>
              </w:rPr>
              <w:t>Stage 3</w:t>
            </w:r>
          </w:p>
        </w:tc>
        <w:tc>
          <w:tcPr>
            <w:tcW w:type="dxa" w:w="3456"/>
            <w:vAlign w:val="top"/>
          </w:tcPr>
          <w:p>
            <w:r/>
            <w:r>
              <w:rPr>
                <w:b w:val="0"/>
              </w:rPr>
              <w:t>StableHLO/OpenXLA lowering path</w:t>
            </w:r>
          </w:p>
        </w:tc>
        <w:tc>
          <w:tcPr>
            <w:tcW w:type="dxa" w:w="4896"/>
            <w:vAlign w:val="top"/>
          </w:tcPr>
          <w:p>
            <w:r/>
            <w:r>
              <w:rPr>
                <w:b w:val="0"/>
              </w:rPr>
              <w:t>Transformer/Tensor IR exports to StableHLO-compatible modules.</w:t>
            </w:r>
          </w:p>
        </w:tc>
      </w:tr>
      <w:tr>
        <w:trPr>
          <w:cantSplit/>
          <w:cantSplit/>
        </w:trPr>
        <w:tc>
          <w:tcPr>
            <w:tcW w:type="dxa" w:w="1296"/>
            <w:vAlign w:val="top"/>
          </w:tcPr>
          <w:p>
            <w:r/>
            <w:r>
              <w:rPr>
                <w:b w:val="0"/>
              </w:rPr>
              <w:t>Stage 4</w:t>
            </w:r>
          </w:p>
        </w:tc>
        <w:tc>
          <w:tcPr>
            <w:tcW w:type="dxa" w:w="3456"/>
            <w:vAlign w:val="top"/>
          </w:tcPr>
          <w:p>
            <w:r/>
            <w:r>
              <w:rPr>
                <w:b w:val="0"/>
              </w:rPr>
              <w:t>SGLang-compatible TPU runtime adapter</w:t>
            </w:r>
          </w:p>
        </w:tc>
        <w:tc>
          <w:tcPr>
            <w:tcW w:type="dxa" w:w="4896"/>
            <w:vAlign w:val="top"/>
          </w:tcPr>
          <w:p>
            <w:r/>
            <w:r>
              <w:rPr>
                <w:b w:val="0"/>
              </w:rPr>
              <w:t>Prefill/decode/state/MoE/sample ABI callable by SGLang or an SGLang-compatible serving layer.</w:t>
            </w:r>
          </w:p>
        </w:tc>
      </w:tr>
      <w:tr>
        <w:trPr>
          <w:cantSplit/>
          <w:cantSplit/>
        </w:trPr>
        <w:tc>
          <w:tcPr>
            <w:tcW w:type="dxa" w:w="1296"/>
            <w:vAlign w:val="top"/>
          </w:tcPr>
          <w:p>
            <w:r/>
            <w:r>
              <w:rPr>
                <w:b w:val="0"/>
              </w:rPr>
              <w:t>Stage 5</w:t>
            </w:r>
          </w:p>
        </w:tc>
        <w:tc>
          <w:tcPr>
            <w:tcW w:type="dxa" w:w="3456"/>
            <w:vAlign w:val="top"/>
          </w:tcPr>
          <w:p>
            <w:r/>
            <w:r>
              <w:rPr>
                <w:b w:val="0"/>
              </w:rPr>
              <w:t>Native critical kernels</w:t>
            </w:r>
          </w:p>
        </w:tc>
        <w:tc>
          <w:tcPr>
            <w:tcW w:type="dxa" w:w="4896"/>
            <w:vAlign w:val="top"/>
          </w:tcPr>
          <w:p>
            <w:r/>
            <w:r>
              <w:rPr>
                <w:b w:val="0"/>
              </w:rPr>
              <w:t>Optimized kernels for QKV, attention, MLP, MoE, KV/state update, sampling.</w:t>
            </w:r>
          </w:p>
        </w:tc>
      </w:tr>
      <w:tr>
        <w:trPr>
          <w:cantSplit/>
          <w:cantSplit/>
        </w:trPr>
        <w:tc>
          <w:tcPr>
            <w:tcW w:type="dxa" w:w="1296"/>
            <w:vAlign w:val="top"/>
          </w:tcPr>
          <w:p>
            <w:r/>
            <w:r>
              <w:rPr>
                <w:b w:val="0"/>
              </w:rPr>
              <w:t>Stage 6</w:t>
            </w:r>
          </w:p>
        </w:tc>
        <w:tc>
          <w:tcPr>
            <w:tcW w:type="dxa" w:w="3456"/>
            <w:vAlign w:val="top"/>
          </w:tcPr>
          <w:p>
            <w:r/>
            <w:r>
              <w:rPr>
                <w:b w:val="0"/>
              </w:rPr>
              <w:t>Memory and state manager</w:t>
            </w:r>
          </w:p>
        </w:tc>
        <w:tc>
          <w:tcPr>
            <w:tcW w:type="dxa" w:w="4896"/>
            <w:vAlign w:val="top"/>
          </w:tcPr>
          <w:p>
            <w:r/>
            <w:r>
              <w:rPr>
                <w:b w:val="0"/>
              </w:rPr>
              <w:t>Physical KV/state allocator, prefix reuse, eviction, state transfer.</w:t>
            </w:r>
          </w:p>
        </w:tc>
      </w:tr>
      <w:tr>
        <w:trPr>
          <w:cantSplit/>
          <w:cantSplit/>
        </w:trPr>
        <w:tc>
          <w:tcPr>
            <w:tcW w:type="dxa" w:w="1296"/>
            <w:vAlign w:val="top"/>
          </w:tcPr>
          <w:p>
            <w:r/>
            <w:r>
              <w:rPr>
                <w:b w:val="0"/>
              </w:rPr>
              <w:t>Stage 7</w:t>
            </w:r>
          </w:p>
        </w:tc>
        <w:tc>
          <w:tcPr>
            <w:tcW w:type="dxa" w:w="3456"/>
            <w:vAlign w:val="top"/>
          </w:tcPr>
          <w:p>
            <w:r/>
            <w:r>
              <w:rPr>
                <w:b w:val="0"/>
              </w:rPr>
              <w:t>Distributed backend</w:t>
            </w:r>
          </w:p>
        </w:tc>
        <w:tc>
          <w:tcPr>
            <w:tcW w:type="dxa" w:w="4896"/>
            <w:vAlign w:val="top"/>
          </w:tcPr>
          <w:p>
            <w:r/>
            <w:r>
              <w:rPr>
                <w:b w:val="0"/>
              </w:rPr>
              <w:t>TP/DP/EP collectives, expert dispatch, multi-chip launch, failure handling.</w:t>
            </w:r>
          </w:p>
        </w:tc>
      </w:tr>
      <w:tr>
        <w:trPr>
          <w:cantSplit/>
          <w:cantSplit/>
        </w:trPr>
        <w:tc>
          <w:tcPr>
            <w:tcW w:type="dxa" w:w="1296"/>
            <w:vAlign w:val="top"/>
          </w:tcPr>
          <w:p>
            <w:r/>
            <w:r>
              <w:rPr>
                <w:b w:val="0"/>
              </w:rPr>
              <w:t>Stage 8</w:t>
            </w:r>
          </w:p>
        </w:tc>
        <w:tc>
          <w:tcPr>
            <w:tcW w:type="dxa" w:w="3456"/>
            <w:vAlign w:val="top"/>
          </w:tcPr>
          <w:p>
            <w:r/>
            <w:r>
              <w:rPr>
                <w:b w:val="0"/>
              </w:rPr>
              <w:t>Autotuning and profiling</w:t>
            </w:r>
          </w:p>
        </w:tc>
        <w:tc>
          <w:tcPr>
            <w:tcW w:type="dxa" w:w="4896"/>
            <w:vAlign w:val="top"/>
          </w:tcPr>
          <w:p>
            <w:r/>
            <w:r>
              <w:rPr>
                <w:b w:val="0"/>
              </w:rPr>
              <w:t>Cost model, layout search, kernel selection, profile-guided optimization.</w:t>
            </w:r>
          </w:p>
        </w:tc>
      </w:tr>
    </w:tbl>
    <w:p/>
    <w:p>
      <w:pPr>
        <w:pStyle w:val="Heading2"/>
      </w:pPr>
      <w:r>
        <w:t>C.11 Performance Model and Autotuning</w:t>
      </w:r>
    </w:p>
    <w:p>
      <w:r>
        <w:t>A hardware backend cannot be complete without performance modeling. The compiler should expose a target cost model and an empirical profiling loop. This is especially important for a TPU-like target because matrix-unit utilization, SRAM blocking, DMA overlap, collective communication, and MoE token distribution can dominate end-to-end performance.</w:t>
      </w:r>
    </w:p>
    <w:p>
      <w:pPr>
        <w:pStyle w:val="ListBullet"/>
      </w:pPr>
      <w:r>
        <w:t>Static model: estimate FLOPs, memory traffic, tile reuse, collective cost, and state-cache footprint.</w:t>
      </w:r>
    </w:p>
    <w:p>
      <w:pPr>
        <w:pStyle w:val="ListBullet"/>
      </w:pPr>
      <w:r>
        <w:t>Dynamic profiling: capture per-op latency, matrix-unit utilization, SRAM/HBM bandwidth, DMA overlap, and collective stalls.</w:t>
      </w:r>
    </w:p>
    <w:p>
      <w:pPr>
        <w:pStyle w:val="ListBullet"/>
      </w:pPr>
      <w:r>
        <w:t>Autotuning: search tile shape, layout, fusion, prefill/decode scheduling, expert grouping, and cache placement.</w:t>
      </w:r>
    </w:p>
    <w:p>
      <w:pPr>
        <w:pStyle w:val="ListBullet"/>
      </w:pPr>
      <w:r>
        <w:t>Feedback to gatekeeper: reject deployment profiles that cannot satisfy max context, latency, memory, or throughput constraints.</w:t>
      </w:r>
    </w:p>
    <w:p>
      <w:pPr>
        <w:pStyle w:val="Heading2"/>
      </w:pPr>
      <w:r>
        <w:t>C.12 Relationship to SGLang Compatibility</w:t>
      </w:r>
    </w:p>
    <w:p>
      <w:r>
        <w:t>The target backend should initially preserve SGLang compatibility rather than replace SGLang. The compiler can generate a deployment plan that tells SGLang which backend adapter, model contract, runtime-state contract, MoE contract, and conformance tests must be used. The SGLang runtime remains responsible for request lifecycle, continuous batching, and production serving behavior unless the project later decides to build a full serving runtime.</w:t>
      </w:r>
    </w:p>
    <w:p>
      <w:pPr>
        <w:spacing w:after="120"/>
        <w:ind w:left="360"/>
      </w:pPr>
      <w:r>
        <w:rPr>
          <w:rFonts w:ascii="Courier New" w:hAnsi="Courier New" w:eastAsia="Courier New"/>
          <w:color w:val="282828"/>
          <w:sz w:val="17"/>
        </w:rPr>
        <w:t>Model artifacts</w:t>
      </w:r>
      <w:r>
        <w:br/>
      </w:r>
      <w:r>
        <w:rPr>
          <w:rFonts w:ascii="Courier New" w:hAnsi="Courier New" w:eastAsia="Courier New"/>
          <w:color w:val="282828"/>
          <w:sz w:val="17"/>
        </w:rPr>
        <w:t xml:space="preserve">  -&gt; Compiler import and gatekeeper</w:t>
      </w:r>
      <w:r>
        <w:br/>
      </w:r>
      <w:r>
        <w:rPr>
          <w:rFonts w:ascii="Courier New" w:hAnsi="Courier New" w:eastAsia="Courier New"/>
          <w:color w:val="282828"/>
          <w:sz w:val="17"/>
        </w:rPr>
        <w:t xml:space="preserve">  -&gt; Hardware target capability gate</w:t>
      </w:r>
      <w:r>
        <w:br/>
      </w:r>
      <w:r>
        <w:rPr>
          <w:rFonts w:ascii="Courier New" w:hAnsi="Courier New" w:eastAsia="Courier New"/>
          <w:color w:val="282828"/>
          <w:sz w:val="17"/>
        </w:rPr>
        <w:t xml:space="preserve">  -&gt; SGLang-compatible backend plan</w:t>
      </w:r>
      <w:r>
        <w:br/>
      </w:r>
      <w:r>
        <w:rPr>
          <w:rFonts w:ascii="Courier New" w:hAnsi="Courier New" w:eastAsia="Courier New"/>
          <w:color w:val="282828"/>
          <w:sz w:val="17"/>
        </w:rPr>
        <w:t xml:space="preserve">  -&gt; Target runtime adapter</w:t>
      </w:r>
      <w:r>
        <w:br/>
      </w:r>
      <w:r>
        <w:rPr>
          <w:rFonts w:ascii="Courier New" w:hAnsi="Courier New" w:eastAsia="Courier New"/>
          <w:color w:val="282828"/>
          <w:sz w:val="17"/>
        </w:rPr>
        <w:t xml:space="preserve">  -&gt; SGLang serving runtime</w:t>
      </w:r>
      <w:r>
        <w:br/>
      </w:r>
    </w:p>
    <w:p>
      <w:r>
        <w:t>This boundary preserves the current design philosophy: the compiler defines and certifies semantics; SGLang or an SGLang-compatible runtime executes the online serving data plane.</w:t>
      </w:r>
    </w:p>
    <w:p>
      <w:pPr>
        <w:pStyle w:val="Heading2"/>
      </w:pPr>
      <w:r>
        <w:t>C.13 Open Questions for Incremental Updates</w:t>
      </w:r>
    </w:p>
    <w:p>
      <w:r>
        <w:t>This appendix should remain open for incremental updates. The following details should be filled in as the target hardware and implementation plan become clearer:</w:t>
      </w:r>
    </w:p>
    <w:p>
      <w:pPr>
        <w:pStyle w:val="ListBullet"/>
      </w:pPr>
      <w:r>
        <w:t>Exact matrix-unit shape, supported dtypes, accumulation behavior, and tile alignment rules.</w:t>
      </w:r>
    </w:p>
    <w:p>
      <w:pPr>
        <w:pStyle w:val="ListBullet"/>
      </w:pPr>
      <w:r>
        <w:t>HBM/SRAM capacity, bandwidth, bank conflicts, DMA semantics, and synchronization primitives.</w:t>
      </w:r>
    </w:p>
    <w:p>
      <w:pPr>
        <w:pStyle w:val="ListBullet"/>
      </w:pPr>
      <w:r>
        <w:t>Whether StableHLO/OpenXLA is the primary execution path, a bootstrap path, or only an interchange format.</w:t>
      </w:r>
    </w:p>
    <w:p>
      <w:pPr>
        <w:pStyle w:val="ListBullet"/>
      </w:pPr>
      <w:r>
        <w:t>Required native kernels for low-latency inference and long-context serving.</w:t>
      </w:r>
    </w:p>
    <w:p>
      <w:pPr>
        <w:pStyle w:val="ListBullet"/>
      </w:pPr>
      <w:r>
        <w:t>Exact SGLang adapter boundary and whether SGLang will call the backend directly or through a generated runtime shim.</w:t>
      </w:r>
    </w:p>
    <w:p>
      <w:pPr>
        <w:pStyle w:val="ListBullet"/>
      </w:pPr>
      <w:r>
        <w:t>KV cache and linear-attention state physical layout on the target.</w:t>
      </w:r>
    </w:p>
    <w:p>
      <w:pPr>
        <w:pStyle w:val="ListBullet"/>
      </w:pPr>
      <w:r>
        <w:t>MoE expert placement, dispatch, all-to-all, and GroupGEMM strategy.</w:t>
      </w:r>
    </w:p>
    <w:p>
      <w:pPr>
        <w:pStyle w:val="ListBullet"/>
      </w:pPr>
      <w:r>
        <w:t>Quantization formats and whether router, expert, KV/state, and logits paths require separate precision policies.</w:t>
      </w:r>
    </w:p>
    <w:p>
      <w:pPr>
        <w:pStyle w:val="ListBullet"/>
      </w:pPr>
      <w:r>
        <w:t>Autotuning search space, profiling counters, compile cache design, and deployment certification thresholds.</w:t>
      </w:r>
    </w:p>
    <w:p>
      <w:pPr>
        <w:pStyle w:val="Heading2"/>
      </w:pPr>
      <w:r>
        <w:rPr>
          <w:b w:val="0"/>
          <w:i w:val="0"/>
        </w:rPr>
        <w:t>C.14 Hardware-Neutral Parallelization Domain Mapping</w:t>
      </w:r>
    </w:p>
    <w:p>
      <w:pPr/>
      <w:r>
        <w:rPr>
          <w:b w:val="0"/>
          <w:i w:val="0"/>
        </w:rPr>
        <w:t>The hardware target backend should map the same three logical parallelization domains to different platform mechanisms. The compiler should reason in terms of intra-device, scale-up, and scale-out, while the target backend supplies the concrete hardware realization.</w:t>
      </w:r>
    </w:p>
    <w:p>
      <w:pPr>
        <w:pStyle w:val="CodeBlock"/>
      </w:pPr>
      <w:r>
        <w:rPr>
          <w:b w:val="0"/>
          <w:i w:val="0"/>
        </w:rPr>
        <w:t>NVIDIA mapping:</w:t>
        <w:br/>
        <w:t xml:space="preserve">  intra_device:</w:t>
        <w:br/>
        <w:t xml:space="preserve">    lane, thread, warp, warpgroup, CTA/block, SM, Tensor Core, shared memory, registers</w:t>
        <w:br/>
        <w:t xml:space="preserve">  scale_up:</w:t>
        <w:br/>
        <w:t xml:space="preserve">    NVLink, NVSwitch, NVL domain, peer GPU HBM access</w:t>
        <w:br/>
        <w:t xml:space="preserve">  scale_out:</w:t>
        <w:br/>
        <w:t xml:space="preserve">    InfiniBand, RoCE, Ethernet, GPUDirect RDMA, cluster orchestration</w:t>
      </w:r>
    </w:p>
    <w:p>
      <w:pPr>
        <w:pStyle w:val="CodeBlock"/>
      </w:pPr>
      <w:r>
        <w:rPr>
          <w:b w:val="0"/>
          <w:i w:val="0"/>
        </w:rPr>
        <w:t>TPU mapping:</w:t>
        <w:br/>
        <w:t xml:space="preserve">  intra_device:</w:t>
        <w:br/>
        <w:t xml:space="preserve">    TensorCore, MXU, vector unit, scalar unit, on-chip memory or VMEM, HBM staging</w:t>
        <w:br/>
        <w:t xml:space="preserve">  scale_up:</w:t>
        <w:br/>
        <w:t xml:space="preserve">    ICI-connected TPU chips inside one slice or pod-local topology</w:t>
        <w:br/>
        <w:t xml:space="preserve">  scale_out:</w:t>
        <w:br/>
        <w:t xml:space="preserve">    Multislice, DCN, cross-slice coordination, host-assisted inter-slice transfer</w:t>
      </w:r>
    </w:p>
    <w:p>
      <w:pPr/>
      <w:r>
        <w:rPr>
          <w:b w:val="0"/>
          <w:i w:val="0"/>
        </w:rPr>
        <w:t>OpenXLA Shardy provides a compiler-side reference point for this abstraction: sharding representation specifies how a tensor is sharded with respect to available devices, and sharding propagation transforms user-specified shardings across operations until the graph reaches a fixed point. [45][46] GSPMD similarly treats sharding annotations as a basis for propagating tensor partitioning and inserting collectives across a computation graph. [47]</w:t>
      </w:r>
    </w:p>
    <w:p>
      <w:pPr/>
      <w:r>
        <w:rPr>
          <w:b w:val="0"/>
          <w:i w:val="0"/>
        </w:rPr>
        <w:t>The DSC compiler should therefore keep cross-device sharding and collective insertion in DataShardingIR, ShardMapIR, ShardTransitionIR, DispatchReduceIR, and CollectiveIntentIR, while leaving thread/warp/MXU/vector/register transformations to IntraDeviceParallelizationIR, TileAndMemoryIR, and KernelLoweringIR.</w:t>
      </w:r>
    </w:p>
    <w:p>
      <w:pPr>
        <w:pStyle w:val="Heading2"/>
      </w:pPr>
      <w:r>
        <w:rPr>
          <w:b w:val="0"/>
        </w:rPr>
        <w:t>C.15 Hardware-Neutral Bandwidth-Driven Parallelization Mapping</w:t>
      </w:r>
    </w:p>
    <w:p>
      <w:pPr/>
      <w:r>
        <w:rPr>
          <w:b w:val="0"/>
        </w:rPr>
        <w:t>Bandwidth-driven parallelization should be modeled in the Hardware Target Domain because each backend exposes a different bandwidth hierarchy and different legal layout repairs. NVIDIA exposes CUDA warp/coalescing, shared-memory bank behavior, TMA, DSM, L2, HBM, and NVLink/NVSwitch. TPU exposes HBM, VMEM, SMEM, vector/scalar registers, MXU/VPU/scalar units, DMA pipelining, ICI, and DCN/Multislice.</w:t>
      </w:r>
    </w:p>
    <w:p>
      <w:pPr>
        <w:pStyle w:val="CodeBlock"/>
      </w:pPr>
      <w:r>
        <w:rPr>
          <w:rFonts w:ascii="Courier New" w:hAnsi="Courier New" w:eastAsia="Courier New"/>
          <w:sz w:val="18"/>
        </w:rPr>
        <w:t>hardware_bandwidth_mapping:</w:t>
        <w:br/>
        <w:t xml:space="preserve">  nvidia:</w:t>
        <w:br/>
        <w:t xml:space="preserve">    intra_device:</w:t>
        <w:br/>
        <w:t xml:space="preserve">      - coalesced_global_memory_access</w:t>
        <w:br/>
        <w:t xml:space="preserve">      - shared_memory_bank_mapping</w:t>
        <w:br/>
        <w:t xml:space="preserve">      - vectorized_load_store</w:t>
        <w:br/>
        <w:t xml:space="preserve">      - TMA_tensor_transfer</w:t>
        <w:br/>
        <w:t xml:space="preserve">      - distributed_shared_memory</w:t>
        <w:br/>
        <w:t xml:space="preserve">      - shared_memory_carveout</w:t>
        <w:br/>
        <w:t xml:space="preserve">      - register_fragment_reuse</w:t>
        <w:br/>
        <w:t xml:space="preserve">    scale_up:</w:t>
        <w:br/>
        <w:t xml:space="preserve">      - NVLink</w:t>
        <w:br/>
        <w:t xml:space="preserve">      - NVSwitch</w:t>
        <w:br/>
        <w:t xml:space="preserve">      - NVL_domain</w:t>
        <w:br/>
        <w:t xml:space="preserve">    scale_out:</w:t>
        <w:br/>
        <w:t xml:space="preserve">      - InfiniBand</w:t>
        <w:br/>
        <w:t xml:space="preserve">      - RoCE</w:t>
        <w:br/>
        <w:t xml:space="preserve">      - Ethernet</w:t>
        <w:br/>
        <w:br/>
        <w:t xml:space="preserve">  tpu:</w:t>
        <w:br/>
        <w:t xml:space="preserve">    intra_device:</w:t>
        <w:br/>
        <w:t xml:space="preserve">      - HBM_to_VMEM_DMA</w:t>
        <w:br/>
        <w:t xml:space="preserve">      - VMEM_tile_shape</w:t>
        <w:br/>
        <w:t xml:space="preserve">      - VREG_tile_layout</w:t>
        <w:br/>
        <w:t xml:space="preserve">      - MXU_bundle_utilization</w:t>
        <w:br/>
        <w:t xml:space="preserve">      - VPU_vector_operation</w:t>
        <w:br/>
        <w:t xml:space="preserve">      - SMEM_scalar_state</w:t>
        <w:br/>
        <w:t xml:space="preserve">      - layout_assignment_and_padding_control</w:t>
        <w:br/>
        <w:t xml:space="preserve">    scale_up:</w:t>
        <w:br/>
        <w:t xml:space="preserve">      - ICI_slice_collectives</w:t>
        <w:br/>
        <w:t xml:space="preserve">      - tensor_parallel_inside_slice</w:t>
        <w:br/>
        <w:t xml:space="preserve">      - FSDP_inside_slice</w:t>
        <w:br/>
        <w:t xml:space="preserve">      - context_parallel_inside_slice</w:t>
        <w:br/>
        <w:t xml:space="preserve">    scale_out:</w:t>
        <w:br/>
        <w:t xml:space="preserve">      - DCN_multislice</w:t>
        <w:br/>
        <w:t xml:space="preserve">      - cross_slice_data_parallel</w:t>
        <w:br/>
        <w:t xml:space="preserve">      - coarse_pipeline_or_checkpointed_synchronization</w:t>
      </w:r>
    </w:p>
    <w:p>
      <w:pPr/>
      <w:r>
        <w:rPr>
          <w:b w:val="0"/>
        </w:rPr>
        <w:t>The Hardware Target Domain should therefore expose common bandwidth descriptors while letting each target backend attach backend-specific evidence. A NVIDIA backend may prove bank-conflict freedom through shared-memory bank mapping, swizzle, padding, or thread mapping. A TPU backend may prove local bandwidth suitability through VMEM tile shape, vector-register tiling, DMA overlap, packing dimensions, and padding-waste bounds.</w:t>
      </w:r>
    </w:p>
    <w:p>
      <w:pPr>
        <w:pStyle w:val="CodeBlock"/>
      </w:pPr>
      <w:r>
        <w:rPr>
          <w:rFonts w:ascii="Courier New" w:hAnsi="Courier New" w:eastAsia="Courier New"/>
          <w:sz w:val="18"/>
        </w:rPr>
        <w:t>BandwidthBudgetIR:</w:t>
        <w:br/>
        <w:t xml:space="preserve">  tensor: logical_or_local_tensor</w:t>
        <w:br/>
        <w:t xml:space="preserve">  domain: intra_device | scale_up | scale_out</w:t>
        <w:br/>
        <w:t xml:space="preserve">  memory_tier_path: [source, staging, working, destination]</w:t>
        <w:br/>
        <w:t xml:space="preserve">  movement_ops: [bulk_copy, collective, DMA, TMA, load, store]</w:t>
        <w:br/>
        <w:t xml:space="preserve">  locality_objective:</w:t>
        <w:br/>
        <w:t xml:space="preserve">    spatial: coalesced_or_tile_aligned</w:t>
        <w:br/>
        <w:t xml:space="preserve">    temporal: reuse_before_eviction</w:t>
        <w:br/>
        <w:t xml:space="preserve">  conflict_model:</w:t>
        <w:br/>
        <w:t xml:space="preserve">    type: bank_conflict | tile_conflict | padding_waste | small_transfer | fabric_contention</w:t>
        <w:br/>
        <w:t xml:space="preserve">  proof_status: proven | bounded | requires_runtime_profile | fail</w:t>
      </w:r>
    </w:p>
    <w:p>
      <w:pPr>
        <w:pStyle w:val="Heading2"/>
      </w:pPr>
      <w:r>
        <w:t>C.16 Summary</w:t>
      </w:r>
    </w:p>
    <w:p>
      <w:r>
        <w:t>The master design is strong enough to serve as the semantic and gatekeeping foundation for a new TPU-like backend. It defines the model contracts that must be preserved and the certification gates that must reject incompatible implementations. What this appendix adds is the missing backend-construction layer: hardware target description, layout IR, memory planning, runtime ABI, state-cache implementation, MoE execution backend, StableHLO/native lowering choices, diagnostics, and performance/autotuning. Together, the semantic compiler and the hardware target domain can evolve into a complete accelerator-support architecture while preserving SGLang-compatible inference behavior.</w:t>
      </w:r>
    </w:p>
    <w:p>
      <w:pPr>
        <w:pStyle w:val="Heading1"/>
        <w:pageBreakBefore/>
        <w:spacing w:before="0" w:after="160"/>
      </w:pPr>
      <w:r>
        <w:t>Appendix D. Common-Lowering, Sharding, Memory Hierarchy, Tensor Traits, Dispatch/Reduce, Dynamic Shape Type System, and Dynamic Runtime IR</w:t>
      </w:r>
    </w:p>
    <w:p>
      <w:pPr>
        <w:pStyle w:val="Heading2"/>
        <w:spacing w:before="0" w:after="120"/>
      </w:pPr>
      <w:r>
        <w:rPr>
          <w:b w:val="0"/>
          <w:i w:val="0"/>
        </w:rPr>
        <w:t>D.1 Purpose and Scope</w:t>
      </w:r>
    </w:p>
    <w:p>
      <w:pPr>
        <w:spacing w:before="0" w:after="120"/>
      </w:pPr>
      <w:r>
        <w:rPr>
          <w:b w:val="0"/>
          <w:i w:val="0"/>
        </w:rPr>
        <w:t>This appendix extends the hardware target discussion with a performance-oriented intermediate representation strategy. The goal is to make one model portable across NVIDIA, Google TPU-like systems, edge accelerators, and cloud-scale systems while maximizing the amount of lowering that remains common across targets.</w:t>
      </w:r>
    </w:p>
    <w:p>
      <w:pPr>
        <w:spacing w:before="0" w:after="120"/>
      </w:pPr>
      <w:r>
        <w:rPr>
          <w:b w:val="0"/>
          <w:i w:val="0"/>
        </w:rPr>
        <w:t>The compiler should hide vendor-specific programming details from the model author, but it must expose enough normalized performance information to choose high-quality schedules. Therefore, common lowering should preserve model intent and data movement intent, while target specialization should occur only when compute engines, memory hierarchy, bandwidth, latency, topology, or runtime capabilities require it.</w:t>
      </w:r>
    </w:p>
    <w:p>
      <w:pPr>
        <w:pStyle w:val="CodeBlock"/>
        <w:spacing w:before="60" w:after="120"/>
      </w:pPr>
      <w:r>
        <w:rPr>
          <w:rFonts w:ascii="Consolas" w:hAnsi="Consolas" w:eastAsia="Consolas"/>
          <w:sz w:val="17"/>
        </w:rPr>
        <w:t>Design rule:</w:t>
        <w:br/>
        <w:t xml:space="preserve">  Common lowering preserves model intent.</w:t>
        <w:br/>
        <w:t xml:space="preserve">  Data sharding expresses parallelization intent.</w:t>
        <w:br/>
        <w:t xml:space="preserve">  Memory hierarchy expresses locality and movement cost.</w:t>
        <w:br/>
        <w:t xml:space="preserve">  Target specialization optimizes execution.</w:t>
        <w:br/>
        <w:t xml:space="preserve">  The transition point must be explicit, cost-driven, and verifiable.</w:t>
      </w:r>
    </w:p>
    <w:p>
      <w:pPr>
        <w:pStyle w:val="Heading2"/>
        <w:spacing w:before="0" w:after="120"/>
      </w:pPr>
      <w:r>
        <w:rPr>
          <w:b w:val="0"/>
          <w:i w:val="0"/>
        </w:rPr>
        <w:t>D.2 Staged IR Pipeline for Maximizing Common Lowering</w:t>
      </w:r>
    </w:p>
    <w:p>
      <w:pPr>
        <w:spacing w:before="0" w:after="120"/>
      </w:pPr>
      <w:r>
        <w:rPr>
          <w:b w:val="0"/>
          <w:i w:val="0"/>
        </w:rPr>
        <w:t>The lowering pipeline should be factored so that semantic, tensor, sharding, layout, and communication decisions are represented in target-independent IR before lowering to NVIDIA CUDA/TensorRT/SGLang, Google TPU StableHLO/XLA/Pallas/SGLang-JAX, or future edge runtimes.</w:t>
      </w:r>
    </w:p>
    <w:p>
      <w:pPr>
        <w:pStyle w:val="CodeBlock"/>
        <w:spacing w:before="60" w:after="120"/>
      </w:pPr>
      <w:r>
        <w:rPr>
          <w:rFonts w:ascii="Consolas" w:hAnsi="Consolas" w:eastAsia="Consolas"/>
          <w:sz w:val="17"/>
        </w:rPr>
        <w:t>ModelSemanticIR</w:t>
        <w:br/>
        <w:t xml:space="preserve">  -&gt; AttentionSemanticIR / MoESemanticIR / RuntimeStateIR</w:t>
        <w:br/>
        <w:t xml:space="preserve">  -&gt; TensorOperatorIR</w:t>
        <w:br/>
        <w:t xml:space="preserve">  -&gt; LogicalLayoutIR</w:t>
        <w:br/>
        <w:t xml:space="preserve">  -&gt; DataShardingIR</w:t>
        <w:br/>
        <w:t xml:space="preserve">  -&gt; ParallelIntentIR</w:t>
        <w:br/>
        <w:t xml:space="preserve">  -&gt; CommunicationIntentIR</w:t>
        <w:br/>
        <w:t xml:space="preserve">  -&gt; MemoryHierarchyIR</w:t>
        <w:br/>
        <w:t xml:space="preserve">  -&gt; TargetCapabilityIR</w:t>
        <w:br/>
        <w:t xml:space="preserve">  -&gt; ScheduleIR</w:t>
        <w:br/>
        <w:t xml:space="preserve">  -&gt; PhysicalShardPlacementIR</w:t>
        <w:br/>
        <w:t xml:space="preserve">  -&gt; PhysicalLayoutIR</w:t>
        <w:br/>
        <w:t xml:space="preserve">  -&gt; RuntimePlanIR</w:t>
        <w:br/>
        <w:t xml:space="preserve">  -&gt; KernelLoweringIR</w:t>
        <w:br/>
        <w:t xml:space="preserve">  -&gt; TargetExecutableIR</w:t>
      </w:r>
    </w:p>
    <w:tbl>
      <w:tblPr>
        <w:tblStyle w:val="TableGrid"/>
        <w:tblW w:type="auto" w:w="0"/>
        <w:jc w:val="center"/>
        <w:tblLook w:firstColumn="1" w:firstRow="1" w:lastColumn="0" w:lastRow="0" w:noHBand="0" w:noVBand="1" w:val="04A0"/>
      </w:tblPr>
      <w:tblGrid>
        <w:gridCol w:w="3312"/>
        <w:gridCol w:w="3312"/>
        <w:gridCol w:w="3312"/>
      </w:tblGrid>
      <w:tr>
        <w:trPr>
          <w:cantSplit/>
          <w:tblHeader/>
          <w:cantSplit/>
          <w:tblHeader w:val="true"/>
        </w:trPr>
        <w:tc>
          <w:tcPr>
            <w:tcW w:type="dxa" w:w="2376"/>
            <w:vAlign w:val="top"/>
            <w:shd w:fill="D9EAF7"/>
          </w:tcPr>
          <w:p>
            <w:pPr>
              <w:spacing w:after="0" w:before="0"/>
            </w:pPr>
            <w:r/>
            <w:r>
              <w:rPr>
                <w:b/>
                <w:sz w:val="17"/>
              </w:rPr>
              <w:t>IR Layer</w:t>
            </w:r>
          </w:p>
        </w:tc>
        <w:tc>
          <w:tcPr>
            <w:tcW w:type="dxa" w:w="6264"/>
            <w:vAlign w:val="top"/>
            <w:shd w:fill="D9EAF7"/>
          </w:tcPr>
          <w:p>
            <w:pPr>
              <w:spacing w:after="0" w:before="0"/>
            </w:pPr>
            <w:r/>
            <w:r>
              <w:rPr>
                <w:b/>
                <w:sz w:val="17"/>
              </w:rPr>
              <w:t>Role</w:t>
            </w:r>
          </w:p>
        </w:tc>
        <w:tc>
          <w:tcPr>
            <w:tcW w:type="dxa" w:w="2088"/>
            <w:vAlign w:val="top"/>
            <w:shd w:fill="D9EAF7"/>
          </w:tcPr>
          <w:p>
            <w:pPr>
              <w:spacing w:after="0" w:before="0"/>
            </w:pPr>
            <w:r/>
            <w:r>
              <w:rPr>
                <w:b/>
                <w:sz w:val="17"/>
              </w:rPr>
              <w:t>Specialization Point</w:t>
            </w:r>
          </w:p>
        </w:tc>
      </w:tr>
      <w:tr>
        <w:trPr>
          <w:cantSplit/>
          <w:cantSplit/>
        </w:trPr>
        <w:tc>
          <w:tcPr>
            <w:tcW w:type="dxa" w:w="2376"/>
            <w:vAlign w:val="top"/>
          </w:tcPr>
          <w:p>
            <w:pPr>
              <w:spacing w:after="0" w:before="0"/>
            </w:pPr>
            <w:r/>
            <w:r>
              <w:rPr>
                <w:b w:val="0"/>
                <w:sz w:val="17"/>
              </w:rPr>
              <w:t>ModelSemanticIR</w:t>
            </w:r>
          </w:p>
        </w:tc>
        <w:tc>
          <w:tcPr>
            <w:tcW w:type="dxa" w:w="6264"/>
            <w:vAlign w:val="top"/>
          </w:tcPr>
          <w:p>
            <w:pPr>
              <w:spacing w:after="0" w:before="0"/>
            </w:pPr>
            <w:r/>
            <w:r>
              <w:rPr>
                <w:b w:val="0"/>
                <w:sz w:val="17"/>
              </w:rPr>
              <w:t>Model ABI, tokenizer, attention semantics, MoE, runtime-state contracts.</w:t>
            </w:r>
          </w:p>
        </w:tc>
        <w:tc>
          <w:tcPr>
            <w:tcW w:type="dxa" w:w="2088"/>
            <w:vAlign w:val="top"/>
          </w:tcPr>
          <w:p>
            <w:pPr>
              <w:spacing w:after="0" w:before="0"/>
            </w:pPr>
            <w:r/>
            <w:r>
              <w:rPr>
                <w:b w:val="0"/>
                <w:sz w:val="17"/>
              </w:rPr>
              <w:t>Common</w:t>
            </w:r>
          </w:p>
        </w:tc>
      </w:tr>
      <w:tr>
        <w:trPr>
          <w:cantSplit/>
          <w:cantSplit/>
        </w:trPr>
        <w:tc>
          <w:tcPr>
            <w:tcW w:type="dxa" w:w="2376"/>
            <w:vAlign w:val="top"/>
          </w:tcPr>
          <w:p>
            <w:pPr>
              <w:spacing w:after="0" w:before="0"/>
            </w:pPr>
            <w:r/>
            <w:r>
              <w:rPr>
                <w:b w:val="0"/>
                <w:sz w:val="17"/>
              </w:rPr>
              <w:t>TensorOperatorIR</w:t>
            </w:r>
          </w:p>
        </w:tc>
        <w:tc>
          <w:tcPr>
            <w:tcW w:type="dxa" w:w="6264"/>
            <w:vAlign w:val="top"/>
          </w:tcPr>
          <w:p>
            <w:pPr>
              <w:spacing w:after="0" w:before="0"/>
            </w:pPr>
            <w:r/>
            <w:r>
              <w:rPr>
                <w:b w:val="0"/>
                <w:sz w:val="16"/>
              </w:rPr>
              <w:t>Target-independent tensor computation: matmul, attention, norm, MLP, routing, sampling.</w:t>
            </w:r>
          </w:p>
        </w:tc>
        <w:tc>
          <w:tcPr>
            <w:tcW w:type="dxa" w:w="2088"/>
            <w:vAlign w:val="top"/>
          </w:tcPr>
          <w:p>
            <w:pPr>
              <w:spacing w:after="0" w:before="0"/>
            </w:pPr>
            <w:r/>
            <w:r>
              <w:rPr>
                <w:b w:val="0"/>
                <w:sz w:val="17"/>
              </w:rPr>
              <w:t>Common</w:t>
            </w:r>
          </w:p>
        </w:tc>
      </w:tr>
      <w:tr>
        <w:trPr>
          <w:cantSplit/>
          <w:cantSplit/>
        </w:trPr>
        <w:tc>
          <w:tcPr>
            <w:tcW w:type="dxa" w:w="2376"/>
            <w:vAlign w:val="top"/>
          </w:tcPr>
          <w:p>
            <w:pPr>
              <w:spacing w:after="0" w:before="0"/>
            </w:pPr>
            <w:r/>
            <w:r>
              <w:rPr>
                <w:b w:val="0"/>
                <w:sz w:val="17"/>
              </w:rPr>
              <w:t>LogicalLayoutIR</w:t>
            </w:r>
          </w:p>
        </w:tc>
        <w:tc>
          <w:tcPr>
            <w:tcW w:type="dxa" w:w="6264"/>
            <w:vAlign w:val="top"/>
          </w:tcPr>
          <w:p>
            <w:pPr>
              <w:spacing w:after="0" w:before="0"/>
            </w:pPr>
            <w:r/>
            <w:r>
              <w:rPr>
                <w:b w:val="0"/>
                <w:sz w:val="17"/>
              </w:rPr>
              <w:t>Logical dimension order, contraction axes, aliasing, and view semantics.</w:t>
            </w:r>
          </w:p>
        </w:tc>
        <w:tc>
          <w:tcPr>
            <w:tcW w:type="dxa" w:w="2088"/>
            <w:vAlign w:val="top"/>
          </w:tcPr>
          <w:p>
            <w:pPr>
              <w:spacing w:after="0" w:before="0"/>
            </w:pPr>
            <w:r/>
            <w:r>
              <w:rPr>
                <w:b w:val="0"/>
                <w:sz w:val="17"/>
              </w:rPr>
              <w:t>Common</w:t>
            </w:r>
          </w:p>
        </w:tc>
      </w:tr>
      <w:tr>
        <w:trPr>
          <w:cantSplit/>
          <w:cantSplit/>
        </w:trPr>
        <w:tc>
          <w:tcPr>
            <w:tcW w:type="dxa" w:w="2376"/>
            <w:vAlign w:val="top"/>
          </w:tcPr>
          <w:p>
            <w:pPr>
              <w:spacing w:after="0" w:before="0"/>
            </w:pPr>
            <w:r/>
            <w:r>
              <w:rPr>
                <w:b w:val="0"/>
                <w:sz w:val="17"/>
              </w:rPr>
              <w:t>DataShardingIR</w:t>
            </w:r>
          </w:p>
        </w:tc>
        <w:tc>
          <w:tcPr>
            <w:tcW w:type="dxa" w:w="6264"/>
            <w:vAlign w:val="top"/>
          </w:tcPr>
          <w:p>
            <w:pPr>
              <w:spacing w:after="0" w:before="0"/>
            </w:pPr>
            <w:r/>
            <w:r>
              <w:rPr>
                <w:b w:val="0"/>
                <w:sz w:val="17"/>
              </w:rPr>
              <w:t>How tensors, states, experts, activations, and checkpoints are partitioned.</w:t>
            </w:r>
          </w:p>
        </w:tc>
        <w:tc>
          <w:tcPr>
            <w:tcW w:type="dxa" w:w="2088"/>
            <w:vAlign w:val="top"/>
          </w:tcPr>
          <w:p>
            <w:pPr>
              <w:spacing w:after="0" w:before="0"/>
            </w:pPr>
            <w:r/>
            <w:r>
              <w:rPr>
                <w:b w:val="0"/>
                <w:sz w:val="17"/>
              </w:rPr>
              <w:t>Common</w:t>
            </w:r>
          </w:p>
        </w:tc>
      </w:tr>
      <w:tr>
        <w:trPr>
          <w:cantSplit/>
          <w:cantSplit/>
        </w:trPr>
        <w:tc>
          <w:tcPr>
            <w:tcW w:type="dxa" w:w="2376"/>
            <w:vAlign w:val="top"/>
          </w:tcPr>
          <w:p>
            <w:pPr>
              <w:spacing w:after="0" w:before="0"/>
            </w:pPr>
            <w:r/>
            <w:r>
              <w:rPr>
                <w:b w:val="0"/>
                <w:sz w:val="17"/>
              </w:rPr>
              <w:t>ParallelIntentIR</w:t>
            </w:r>
          </w:p>
        </w:tc>
        <w:tc>
          <w:tcPr>
            <w:tcW w:type="dxa" w:w="6264"/>
            <w:vAlign w:val="top"/>
          </w:tcPr>
          <w:p>
            <w:pPr>
              <w:spacing w:after="0" w:before="0"/>
            </w:pPr>
            <w:r/>
            <w:r>
              <w:rPr>
                <w:b w:val="0"/>
                <w:sz w:val="17"/>
              </w:rPr>
              <w:t>Data/tensor/expert/context/pipeline parallelism intent derived from sharding.</w:t>
            </w:r>
          </w:p>
        </w:tc>
        <w:tc>
          <w:tcPr>
            <w:tcW w:type="dxa" w:w="2088"/>
            <w:vAlign w:val="top"/>
          </w:tcPr>
          <w:p>
            <w:pPr>
              <w:spacing w:after="0" w:before="0"/>
            </w:pPr>
            <w:r/>
            <w:r>
              <w:rPr>
                <w:b w:val="0"/>
                <w:sz w:val="17"/>
              </w:rPr>
              <w:t>Common</w:t>
            </w:r>
          </w:p>
        </w:tc>
      </w:tr>
      <w:tr>
        <w:trPr>
          <w:cantSplit/>
          <w:cantSplit/>
        </w:trPr>
        <w:tc>
          <w:tcPr>
            <w:tcW w:type="dxa" w:w="2376"/>
            <w:vAlign w:val="top"/>
          </w:tcPr>
          <w:p>
            <w:pPr>
              <w:spacing w:after="0" w:before="0"/>
            </w:pPr>
            <w:r/>
            <w:r>
              <w:rPr>
                <w:b w:val="0"/>
                <w:sz w:val="17"/>
              </w:rPr>
              <w:t>CommunicationIntentIR</w:t>
            </w:r>
          </w:p>
        </w:tc>
        <w:tc>
          <w:tcPr>
            <w:tcW w:type="dxa" w:w="6264"/>
            <w:vAlign w:val="top"/>
          </w:tcPr>
          <w:p>
            <w:pPr>
              <w:spacing w:after="0" w:before="0"/>
            </w:pPr>
            <w:r/>
            <w:r>
              <w:rPr>
                <w:b w:val="0"/>
                <w:sz w:val="16"/>
              </w:rPr>
              <w:t>All-reduce, reduce-scatter, all-gather, all-to-all, send/recv, and resharding intent.</w:t>
            </w:r>
          </w:p>
        </w:tc>
        <w:tc>
          <w:tcPr>
            <w:tcW w:type="dxa" w:w="2088"/>
            <w:vAlign w:val="top"/>
          </w:tcPr>
          <w:p>
            <w:pPr>
              <w:spacing w:after="0" w:before="0"/>
            </w:pPr>
            <w:r/>
            <w:r>
              <w:rPr>
                <w:b w:val="0"/>
                <w:sz w:val="17"/>
              </w:rPr>
              <w:t>Common</w:t>
            </w:r>
          </w:p>
        </w:tc>
      </w:tr>
      <w:tr>
        <w:trPr>
          <w:cantSplit/>
          <w:cantSplit/>
        </w:trPr>
        <w:tc>
          <w:tcPr>
            <w:tcW w:type="dxa" w:w="2376"/>
            <w:vAlign w:val="top"/>
          </w:tcPr>
          <w:p>
            <w:pPr>
              <w:spacing w:after="0" w:before="0"/>
            </w:pPr>
            <w:r/>
            <w:r>
              <w:rPr>
                <w:b w:val="0"/>
                <w:sz w:val="17"/>
              </w:rPr>
              <w:t>MemoryHierarchyIR</w:t>
            </w:r>
          </w:p>
        </w:tc>
        <w:tc>
          <w:tcPr>
            <w:tcW w:type="dxa" w:w="6264"/>
            <w:vAlign w:val="top"/>
          </w:tcPr>
          <w:p>
            <w:pPr>
              <w:spacing w:after="0" w:before="0"/>
            </w:pPr>
            <w:r/>
            <w:r>
              <w:rPr>
                <w:b w:val="0"/>
                <w:sz w:val="16"/>
              </w:rPr>
              <w:t>Portable memory tiers, locality, residency, prefetch, spill, reuse, and movement cost.</w:t>
            </w:r>
          </w:p>
        </w:tc>
        <w:tc>
          <w:tcPr>
            <w:tcW w:type="dxa" w:w="2088"/>
            <w:vAlign w:val="top"/>
          </w:tcPr>
          <w:p>
            <w:pPr>
              <w:spacing w:after="0" w:before="0"/>
            </w:pPr>
            <w:r/>
            <w:r>
              <w:rPr>
                <w:b w:val="0"/>
                <w:sz w:val="17"/>
              </w:rPr>
              <w:t>Common to target-aware</w:t>
            </w:r>
          </w:p>
        </w:tc>
      </w:tr>
      <w:tr>
        <w:trPr>
          <w:cantSplit/>
          <w:cantSplit/>
        </w:trPr>
        <w:tc>
          <w:tcPr>
            <w:tcW w:type="dxa" w:w="2376"/>
            <w:vAlign w:val="top"/>
          </w:tcPr>
          <w:p>
            <w:pPr>
              <w:spacing w:after="0" w:before="0"/>
            </w:pPr>
            <w:r/>
            <w:r>
              <w:rPr>
                <w:b w:val="0"/>
                <w:sz w:val="17"/>
              </w:rPr>
              <w:t>TargetCapabilityIR / ScheduleIR</w:t>
            </w:r>
          </w:p>
        </w:tc>
        <w:tc>
          <w:tcPr>
            <w:tcW w:type="dxa" w:w="6264"/>
            <w:vAlign w:val="top"/>
          </w:tcPr>
          <w:p>
            <w:pPr>
              <w:spacing w:after="0" w:before="0"/>
            </w:pPr>
            <w:r/>
            <w:r>
              <w:rPr>
                <w:b w:val="0"/>
                <w:sz w:val="16"/>
              </w:rPr>
              <w:t>Uses compute, memory, bandwidth, latency, topology, runtime support, and calibration.</w:t>
            </w:r>
          </w:p>
        </w:tc>
        <w:tc>
          <w:tcPr>
            <w:tcW w:type="dxa" w:w="2088"/>
            <w:vAlign w:val="top"/>
          </w:tcPr>
          <w:p>
            <w:pPr>
              <w:spacing w:after="0" w:before="0"/>
            </w:pPr>
            <w:r/>
            <w:r>
              <w:rPr>
                <w:b w:val="0"/>
                <w:sz w:val="17"/>
              </w:rPr>
              <w:t>Target-aware</w:t>
            </w:r>
          </w:p>
        </w:tc>
      </w:tr>
      <w:tr>
        <w:trPr>
          <w:cantSplit/>
          <w:cantSplit/>
        </w:trPr>
        <w:tc>
          <w:tcPr>
            <w:tcW w:type="dxa" w:w="2376"/>
            <w:vAlign w:val="top"/>
          </w:tcPr>
          <w:p>
            <w:pPr>
              <w:spacing w:after="0" w:before="0"/>
            </w:pPr>
            <w:r/>
            <w:r>
              <w:rPr>
                <w:b w:val="0"/>
                <w:sz w:val="17"/>
              </w:rPr>
              <w:t>PhysicalLayoutIR / RuntimePlanIR / KernelLoweringIR</w:t>
            </w:r>
          </w:p>
        </w:tc>
        <w:tc>
          <w:tcPr>
            <w:tcW w:type="dxa" w:w="6264"/>
            <w:vAlign w:val="top"/>
          </w:tcPr>
          <w:p>
            <w:pPr>
              <w:spacing w:after="0" w:before="0"/>
            </w:pPr>
            <w:r/>
            <w:r>
              <w:rPr>
                <w:b w:val="0"/>
                <w:sz w:val="17"/>
              </w:rPr>
              <w:t>CUDA/Triton/CUTLASS/TensorRT/SGLang or StableHLO/XLA/Pallas/SGLang-JAX.</w:t>
            </w:r>
          </w:p>
        </w:tc>
        <w:tc>
          <w:tcPr>
            <w:tcW w:type="dxa" w:w="2088"/>
            <w:vAlign w:val="top"/>
          </w:tcPr>
          <w:p>
            <w:pPr>
              <w:spacing w:after="0" w:before="0"/>
            </w:pPr>
            <w:r/>
            <w:r>
              <w:rPr>
                <w:b w:val="0"/>
                <w:sz w:val="17"/>
              </w:rPr>
              <w:t>Target-specific</w:t>
            </w:r>
          </w:p>
        </w:tc>
      </w:tr>
    </w:tbl>
    <w:p>
      <w:pPr>
        <w:spacing w:after="80"/>
      </w:pPr>
    </w:p>
    <w:p>
      <w:pPr>
        <w:pStyle w:val="Heading2"/>
        <w:spacing w:before="0" w:after="120"/>
      </w:pPr>
      <w:r>
        <w:rPr>
          <w:b w:val="0"/>
          <w:i w:val="0"/>
        </w:rPr>
        <w:t>D.3 DataShardingIR as the Common Representation of Parallelization</w:t>
      </w:r>
    </w:p>
    <w:p>
      <w:pPr>
        <w:spacing w:before="0" w:after="120"/>
      </w:pPr>
      <w:r>
        <w:rPr>
          <w:b w:val="0"/>
          <w:i w:val="0"/>
        </w:rPr>
        <w:t>Data sharding should become the common representation of parallelization. Parallel execution is the target-specific realization of a sharding decision. This prevents NVIDIA and TPU lowering paths from diverging before the compiler has extracted common intent.</w:t>
      </w:r>
    </w:p>
    <w:p>
      <w:pPr>
        <w:pStyle w:val="CodeBlock"/>
        <w:spacing w:before="60" w:after="120"/>
      </w:pPr>
      <w:r>
        <w:rPr>
          <w:rFonts w:ascii="Consolas" w:hAnsi="Consolas" w:eastAsia="Consolas"/>
          <w:sz w:val="17"/>
        </w:rPr>
        <w:t>Sharding is the common representation of parallelism.</w:t>
        <w:br/>
        <w:t>Parallel execution is the target-specific realization of sharding.</w:t>
      </w:r>
    </w:p>
    <w:p>
      <w:pPr>
        <w:spacing w:before="0" w:after="120"/>
      </w:pPr>
      <w:r>
        <w:rPr>
          <w:b w:val="0"/>
          <w:i w:val="0"/>
        </w:rPr>
        <w:t>DataShardingIR describes what is partitioned, why it is partitioned, where shards should be placed in abstract terms, and which communication is required to transform one shard layout into another. It should not directly name NCCL, NVLink, XLA, ICI, or DCN. Those are target-specific realizations.</w:t>
      </w:r>
    </w:p>
    <w:p>
      <w:pPr>
        <w:pStyle w:val="ListBullet"/>
        <w:spacing w:before="0" w:after="40"/>
      </w:pPr>
      <w:r>
        <w:rPr>
          <w:b w:val="0"/>
          <w:i w:val="0"/>
        </w:rPr>
        <w:t>BatchSharding for data parallelism and replica serving.</w:t>
      </w:r>
    </w:p>
    <w:p>
      <w:pPr>
        <w:pStyle w:val="ListBullet"/>
        <w:spacing w:before="0" w:after="40"/>
      </w:pPr>
      <w:r>
        <w:rPr>
          <w:b w:val="0"/>
          <w:i w:val="0"/>
        </w:rPr>
        <w:t>TensorSharding for tensor parallelism over weight and activation dimensions.</w:t>
      </w:r>
    </w:p>
    <w:p>
      <w:pPr>
        <w:pStyle w:val="ListBullet"/>
        <w:spacing w:before="0" w:after="40"/>
      </w:pPr>
      <w:r>
        <w:rPr>
          <w:b w:val="0"/>
          <w:i w:val="0"/>
        </w:rPr>
        <w:t>ActivationSharding for memory reduction and sequence-parallel execution.</w:t>
      </w:r>
    </w:p>
    <w:p>
      <w:pPr>
        <w:pStyle w:val="ListBullet"/>
        <w:spacing w:before="0" w:after="40"/>
      </w:pPr>
      <w:r>
        <w:rPr>
          <w:b w:val="0"/>
          <w:i w:val="0"/>
        </w:rPr>
        <w:t>SequenceSharding and KVStateSharding for long-context inference and RL rollout.</w:t>
      </w:r>
    </w:p>
    <w:p>
      <w:pPr>
        <w:pStyle w:val="ListBullet"/>
        <w:spacing w:before="0" w:after="40"/>
      </w:pPr>
      <w:r>
        <w:rPr>
          <w:b w:val="0"/>
          <w:i w:val="0"/>
        </w:rPr>
        <w:t>ExpertSharding and RouterSharding for MoE expert parallelism and token dispatch.</w:t>
      </w:r>
    </w:p>
    <w:p>
      <w:pPr>
        <w:pStyle w:val="ListBullet"/>
        <w:spacing w:before="0" w:after="40"/>
      </w:pPr>
      <w:r>
        <w:rPr>
          <w:b w:val="0"/>
          <w:i w:val="0"/>
        </w:rPr>
        <w:t>OptimizerStateSharding and CheckpointSharding for training memory and artifact portability.</w:t>
      </w:r>
    </w:p>
    <w:p>
      <w:pPr>
        <w:pStyle w:val="ListBullet"/>
        <w:spacing w:before="0" w:after="40"/>
      </w:pPr>
      <w:r>
        <w:rPr>
          <w:b w:val="0"/>
          <w:i w:val="0"/>
        </w:rPr>
        <w:t>PipelineShard for layer-range partitioning and coarse-grain scheduling.</w:t>
      </w:r>
    </w:p>
    <w:p>
      <w:pPr>
        <w:pStyle w:val="CodeBlock"/>
        <w:spacing w:before="60" w:after="120"/>
      </w:pPr>
      <w:r>
        <w:rPr>
          <w:rFonts w:ascii="Consolas" w:hAnsi="Consolas" w:eastAsia="Consolas"/>
          <w:sz w:val="17"/>
        </w:rPr>
        <w:t>DataShardingIR</w:t>
        <w:br/>
        <w:t xml:space="preserve">  -&gt; ShardMapIR</w:t>
        <w:br/>
        <w:t xml:space="preserve">  -&gt; ShardOwnershipIR</w:t>
        <w:br/>
        <w:t xml:space="preserve">  -&gt; ShardPlacementIR</w:t>
        <w:br/>
        <w:t xml:space="preserve">  -&gt; ShardTransitionIR</w:t>
        <w:br/>
        <w:t xml:space="preserve">  -&gt; ReshardingIR</w:t>
        <w:br/>
        <w:t xml:space="preserve">  -&gt; ReplicaGroupIR</w:t>
        <w:br/>
        <w:t xml:space="preserve">  -&gt; CollectiveIntentIR</w:t>
        <w:br/>
        <w:t xml:space="preserve">  -&gt; PhysicalShardPlacementIR</w:t>
      </w:r>
    </w:p>
    <w:p>
      <w:pPr>
        <w:pStyle w:val="Heading2"/>
        <w:spacing w:before="0" w:after="120"/>
      </w:pPr>
      <w:r>
        <w:rPr>
          <w:b w:val="0"/>
          <w:i w:val="0"/>
        </w:rPr>
        <w:t>D.4 Unified Scale-Up and Scale-Out Placement Domains</w:t>
      </w:r>
    </w:p>
    <w:p>
      <w:pPr>
        <w:spacing w:before="0" w:after="120"/>
      </w:pPr>
      <w:r>
        <w:rPr>
          <w:b w:val="0"/>
          <w:i w:val="0"/>
        </w:rPr>
        <w:t>Scale-up and scale-out should be represented first as abstract placement domains. A target backend maps these domains to concrete hardware and runtime mechanisms. The same rule applies to NVIDIA and Google TPU-like systems.</w:t>
      </w:r>
    </w:p>
    <w:tbl>
      <w:tblPr>
        <w:tblStyle w:val="TableGrid"/>
        <w:tblW w:type="auto" w:w="0"/>
        <w:jc w:val="center"/>
        <w:tblLook w:firstColumn="1" w:firstRow="1" w:lastColumn="0" w:lastRow="0" w:noHBand="0" w:noVBand="1" w:val="04A0"/>
      </w:tblPr>
      <w:tblGrid>
        <w:gridCol w:w="3312"/>
        <w:gridCol w:w="3312"/>
        <w:gridCol w:w="3312"/>
      </w:tblGrid>
      <w:tr>
        <w:trPr>
          <w:cantSplit/>
          <w:tblHeader/>
          <w:cantSplit/>
          <w:tblHeader w:val="true"/>
        </w:trPr>
        <w:tc>
          <w:tcPr>
            <w:tcW w:type="dxa" w:w="2592"/>
            <w:vAlign w:val="top"/>
            <w:shd w:fill="D9EAF7"/>
          </w:tcPr>
          <w:p>
            <w:pPr>
              <w:spacing w:after="0" w:before="0"/>
            </w:pPr>
            <w:r/>
            <w:r>
              <w:rPr>
                <w:b/>
                <w:sz w:val="17"/>
              </w:rPr>
              <w:t>Common Placement Domain</w:t>
            </w:r>
          </w:p>
        </w:tc>
        <w:tc>
          <w:tcPr>
            <w:tcW w:type="dxa" w:w="4176"/>
            <w:vAlign w:val="top"/>
            <w:shd w:fill="D9EAF7"/>
          </w:tcPr>
          <w:p>
            <w:pPr>
              <w:spacing w:after="0" w:before="0"/>
            </w:pPr>
            <w:r/>
            <w:r>
              <w:rPr>
                <w:b/>
                <w:sz w:val="17"/>
              </w:rPr>
              <w:t>NVIDIA Mapping</w:t>
            </w:r>
          </w:p>
        </w:tc>
        <w:tc>
          <w:tcPr>
            <w:tcW w:type="dxa" w:w="4176"/>
            <w:vAlign w:val="top"/>
            <w:shd w:fill="D9EAF7"/>
          </w:tcPr>
          <w:p>
            <w:pPr>
              <w:spacing w:after="0" w:before="0"/>
            </w:pPr>
            <w:r/>
            <w:r>
              <w:rPr>
                <w:b/>
                <w:sz w:val="17"/>
              </w:rPr>
              <w:t>Google TPU-like Mapping</w:t>
            </w:r>
          </w:p>
        </w:tc>
      </w:tr>
      <w:tr>
        <w:trPr>
          <w:cantSplit/>
          <w:cantSplit/>
        </w:trPr>
        <w:tc>
          <w:tcPr>
            <w:tcW w:type="dxa" w:w="2592"/>
            <w:vAlign w:val="top"/>
          </w:tcPr>
          <w:p>
            <w:pPr>
              <w:spacing w:after="0" w:before="0"/>
            </w:pPr>
            <w:r/>
            <w:r>
              <w:rPr>
                <w:b w:val="0"/>
                <w:sz w:val="17"/>
              </w:rPr>
              <w:t>intra_device</w:t>
            </w:r>
          </w:p>
        </w:tc>
        <w:tc>
          <w:tcPr>
            <w:tcW w:type="dxa" w:w="4176"/>
            <w:vAlign w:val="top"/>
          </w:tcPr>
          <w:p>
            <w:pPr>
              <w:spacing w:after="0" w:before="0"/>
            </w:pPr>
            <w:r/>
            <w:r>
              <w:rPr>
                <w:b w:val="0"/>
                <w:sz w:val="17"/>
              </w:rPr>
              <w:t>SM, Tensor Core, warpgroup, CTA, shared memory / Tensor Memory.</w:t>
            </w:r>
          </w:p>
        </w:tc>
        <w:tc>
          <w:tcPr>
            <w:tcW w:type="dxa" w:w="4176"/>
            <w:vAlign w:val="top"/>
          </w:tcPr>
          <w:p>
            <w:pPr>
              <w:spacing w:after="0" w:before="0"/>
            </w:pPr>
            <w:r/>
            <w:r>
              <w:rPr>
                <w:b w:val="0"/>
                <w:sz w:val="17"/>
              </w:rPr>
              <w:t>TensorCore, MXU, vector/scalar units, VMEM/SMEM.</w:t>
            </w:r>
          </w:p>
        </w:tc>
      </w:tr>
      <w:tr>
        <w:trPr>
          <w:cantSplit/>
          <w:cantSplit/>
        </w:trPr>
        <w:tc>
          <w:tcPr>
            <w:tcW w:type="dxa" w:w="2592"/>
            <w:vAlign w:val="top"/>
          </w:tcPr>
          <w:p>
            <w:pPr>
              <w:spacing w:after="0" w:before="0"/>
            </w:pPr>
            <w:r/>
            <w:r>
              <w:rPr>
                <w:b w:val="0"/>
                <w:sz w:val="17"/>
              </w:rPr>
              <w:t>scale_up</w:t>
            </w:r>
          </w:p>
        </w:tc>
        <w:tc>
          <w:tcPr>
            <w:tcW w:type="dxa" w:w="4176"/>
            <w:vAlign w:val="top"/>
          </w:tcPr>
          <w:p>
            <w:pPr>
              <w:spacing w:after="0" w:before="0"/>
            </w:pPr>
            <w:r/>
            <w:r>
              <w:rPr>
                <w:b w:val="0"/>
                <w:sz w:val="17"/>
              </w:rPr>
              <w:t>NVLink, NVSwitch, NVL domain, NCCL or GPU peer access.</w:t>
            </w:r>
          </w:p>
        </w:tc>
        <w:tc>
          <w:tcPr>
            <w:tcW w:type="dxa" w:w="4176"/>
            <w:vAlign w:val="top"/>
          </w:tcPr>
          <w:p>
            <w:pPr>
              <w:spacing w:after="0" w:before="0"/>
            </w:pPr>
            <w:r/>
            <w:r>
              <w:rPr>
                <w:b w:val="0"/>
                <w:sz w:val="17"/>
              </w:rPr>
              <w:t>TPU ICI slice, XLA/GSPMD collectives.</w:t>
            </w:r>
          </w:p>
        </w:tc>
      </w:tr>
      <w:tr>
        <w:trPr>
          <w:cantSplit/>
          <w:cantSplit/>
        </w:trPr>
        <w:tc>
          <w:tcPr>
            <w:tcW w:type="dxa" w:w="2592"/>
            <w:vAlign w:val="top"/>
          </w:tcPr>
          <w:p>
            <w:pPr>
              <w:spacing w:after="0" w:before="0"/>
            </w:pPr>
            <w:r/>
            <w:r>
              <w:rPr>
                <w:b w:val="0"/>
                <w:sz w:val="17"/>
              </w:rPr>
              <w:t>scale_out</w:t>
            </w:r>
          </w:p>
        </w:tc>
        <w:tc>
          <w:tcPr>
            <w:tcW w:type="dxa" w:w="4176"/>
            <w:vAlign w:val="top"/>
          </w:tcPr>
          <w:p>
            <w:pPr>
              <w:spacing w:after="0" w:before="0"/>
            </w:pPr>
            <w:r/>
            <w:r>
              <w:rPr>
                <w:b w:val="0"/>
                <w:sz w:val="16"/>
              </w:rPr>
              <w:t>InfiniBand, Ethernet/RoCE, Spectrum-X/Quantum-X, GPUDirect RDMA, multi-node NCCL.</w:t>
            </w:r>
          </w:p>
        </w:tc>
        <w:tc>
          <w:tcPr>
            <w:tcW w:type="dxa" w:w="4176"/>
            <w:vAlign w:val="top"/>
          </w:tcPr>
          <w:p>
            <w:pPr>
              <w:spacing w:after="0" w:before="0"/>
            </w:pPr>
            <w:r/>
            <w:r>
              <w:rPr>
                <w:b w:val="0"/>
                <w:sz w:val="17"/>
              </w:rPr>
              <w:t>DCN / Multislice, host-mediated inter-slice communication.</w:t>
            </w:r>
          </w:p>
        </w:tc>
      </w:tr>
      <w:tr>
        <w:trPr>
          <w:cantSplit/>
          <w:cantSplit/>
        </w:trPr>
        <w:tc>
          <w:tcPr>
            <w:tcW w:type="dxa" w:w="2592"/>
            <w:vAlign w:val="top"/>
          </w:tcPr>
          <w:p>
            <w:pPr>
              <w:spacing w:after="0" w:before="0"/>
            </w:pPr>
            <w:r/>
            <w:r>
              <w:rPr>
                <w:b w:val="0"/>
                <w:sz w:val="17"/>
              </w:rPr>
              <w:t>host_memory</w:t>
            </w:r>
          </w:p>
        </w:tc>
        <w:tc>
          <w:tcPr>
            <w:tcW w:type="dxa" w:w="4176"/>
            <w:vAlign w:val="top"/>
          </w:tcPr>
          <w:p>
            <w:pPr>
              <w:spacing w:after="0" w:before="0"/>
            </w:pPr>
            <w:r/>
            <w:r>
              <w:rPr>
                <w:b w:val="0"/>
                <w:sz w:val="17"/>
              </w:rPr>
              <w:t>CPU memory, Grace memory, PCIe or NVLink-C2C path.</w:t>
            </w:r>
          </w:p>
        </w:tc>
        <w:tc>
          <w:tcPr>
            <w:tcW w:type="dxa" w:w="4176"/>
            <w:vAlign w:val="top"/>
          </w:tcPr>
          <w:p>
            <w:pPr>
              <w:spacing w:after="0" w:before="0"/>
            </w:pPr>
            <w:r/>
            <w:r>
              <w:rPr>
                <w:b w:val="0"/>
                <w:sz w:val="17"/>
              </w:rPr>
              <w:t>TPU host VM memory and host transfer path.</w:t>
            </w:r>
          </w:p>
        </w:tc>
      </w:tr>
      <w:tr>
        <w:trPr>
          <w:cantSplit/>
          <w:cantSplit/>
        </w:trPr>
        <w:tc>
          <w:tcPr>
            <w:tcW w:type="dxa" w:w="2592"/>
            <w:vAlign w:val="top"/>
          </w:tcPr>
          <w:p>
            <w:pPr>
              <w:spacing w:after="0" w:before="0"/>
            </w:pPr>
            <w:r/>
            <w:r>
              <w:rPr>
                <w:b w:val="0"/>
                <w:sz w:val="17"/>
              </w:rPr>
              <w:t>storage</w:t>
            </w:r>
          </w:p>
        </w:tc>
        <w:tc>
          <w:tcPr>
            <w:tcW w:type="dxa" w:w="4176"/>
            <w:vAlign w:val="top"/>
          </w:tcPr>
          <w:p>
            <w:pPr>
              <w:spacing w:after="0" w:before="0"/>
            </w:pPr>
            <w:r/>
            <w:r>
              <w:rPr>
                <w:b w:val="0"/>
                <w:sz w:val="17"/>
              </w:rPr>
              <w:t>NVMe, object storage, network storage.</w:t>
            </w:r>
          </w:p>
        </w:tc>
        <w:tc>
          <w:tcPr>
            <w:tcW w:type="dxa" w:w="4176"/>
            <w:vAlign w:val="top"/>
          </w:tcPr>
          <w:p>
            <w:pPr>
              <w:spacing w:after="0" w:before="0"/>
            </w:pPr>
            <w:r/>
            <w:r>
              <w:rPr>
                <w:b w:val="0"/>
                <w:sz w:val="17"/>
              </w:rPr>
              <w:t>Cloud storage, host filesystem, checkpoint storage.</w:t>
            </w:r>
          </w:p>
        </w:tc>
      </w:tr>
    </w:tbl>
    <w:p>
      <w:pPr>
        <w:spacing w:after="80"/>
      </w:pPr>
    </w:p>
    <w:p>
      <w:pPr>
        <w:spacing w:before="0" w:after="120"/>
      </w:pPr>
      <w:r>
        <w:rPr>
          <w:b w:val="0"/>
          <w:i w:val="0"/>
        </w:rPr>
        <w:t>Fine-grain tensor, context, and expert sharding should prefer scale-up domains. Coarse-grain data parallelism, replica serving, coarse pipeline parallelism, and disaggregated serving may use scale-out domains if the schedule explicitly accounts for bandwidth and latency.</w:t>
      </w:r>
    </w:p>
    <w:p>
      <w:pPr>
        <w:pStyle w:val="Heading2"/>
        <w:spacing w:before="0" w:after="120"/>
      </w:pPr>
      <w:r>
        <w:rPr>
          <w:b w:val="0"/>
          <w:i w:val="0"/>
        </w:rPr>
        <w:t>D.5 MemoryHierarchyIR and Locality Representation</w:t>
      </w:r>
    </w:p>
    <w:p>
      <w:pPr>
        <w:spacing w:before="0" w:after="120"/>
      </w:pPr>
      <w:r>
        <w:rPr>
          <w:b w:val="0"/>
          <w:i w:val="0"/>
        </w:rPr>
        <w:t>Memory hierarchy should be represented as a portable IR layer before target-specific physical layout. The compiler must distinguish semantic data ownership from memory residency, because a tensor may be logically owned by one shard, stored in HBM, staged through scratchpad memory, prefetched into a tile buffer, or transferred across a scale-up or scale-out fabric.</w:t>
      </w:r>
    </w:p>
    <w:tbl>
      <w:tblPr>
        <w:tblStyle w:val="TableGrid"/>
        <w:tblW w:type="auto" w:w="0"/>
        <w:jc w:val="center"/>
        <w:tblLook w:firstColumn="1" w:firstRow="1" w:lastColumn="0" w:lastRow="0" w:noHBand="0" w:noVBand="1" w:val="04A0"/>
      </w:tblPr>
      <w:tblGrid>
        <w:gridCol w:w="3312"/>
        <w:gridCol w:w="3312"/>
        <w:gridCol w:w="3312"/>
      </w:tblGrid>
      <w:tr>
        <w:trPr>
          <w:cantSplit/>
          <w:tblHeader/>
          <w:cantSplit/>
          <w:tblHeader w:val="true"/>
        </w:trPr>
        <w:tc>
          <w:tcPr>
            <w:tcW w:type="dxa" w:w="2592"/>
            <w:vAlign w:val="top"/>
            <w:shd w:fill="D9EAF7"/>
          </w:tcPr>
          <w:p>
            <w:pPr>
              <w:spacing w:after="0" w:before="0"/>
            </w:pPr>
            <w:r/>
            <w:r>
              <w:rPr>
                <w:b/>
                <w:sz w:val="17"/>
              </w:rPr>
              <w:t>Common Memory Concept</w:t>
            </w:r>
          </w:p>
        </w:tc>
        <w:tc>
          <w:tcPr>
            <w:tcW w:type="dxa" w:w="4104"/>
            <w:vAlign w:val="top"/>
            <w:shd w:fill="D9EAF7"/>
          </w:tcPr>
          <w:p>
            <w:pPr>
              <w:spacing w:after="0" w:before="0"/>
            </w:pPr>
            <w:r/>
            <w:r>
              <w:rPr>
                <w:b/>
                <w:sz w:val="17"/>
              </w:rPr>
              <w:t>NVIDIA Mapping</w:t>
            </w:r>
          </w:p>
        </w:tc>
        <w:tc>
          <w:tcPr>
            <w:tcW w:type="dxa" w:w="4104"/>
            <w:vAlign w:val="top"/>
            <w:shd w:fill="D9EAF7"/>
          </w:tcPr>
          <w:p>
            <w:pPr>
              <w:spacing w:after="0" w:before="0"/>
            </w:pPr>
            <w:r/>
            <w:r>
              <w:rPr>
                <w:b/>
                <w:sz w:val="17"/>
              </w:rPr>
              <w:t>Google TPU-like Mapping</w:t>
            </w:r>
          </w:p>
        </w:tc>
      </w:tr>
      <w:tr>
        <w:trPr>
          <w:cantSplit/>
          <w:cantSplit/>
        </w:trPr>
        <w:tc>
          <w:tcPr>
            <w:tcW w:type="dxa" w:w="2592"/>
            <w:vAlign w:val="top"/>
          </w:tcPr>
          <w:p>
            <w:pPr>
              <w:spacing w:after="0" w:before="0"/>
            </w:pPr>
            <w:r/>
            <w:r>
              <w:rPr>
                <w:b w:val="0"/>
                <w:sz w:val="17"/>
              </w:rPr>
              <w:t>register</w:t>
            </w:r>
          </w:p>
        </w:tc>
        <w:tc>
          <w:tcPr>
            <w:tcW w:type="dxa" w:w="4104"/>
            <w:vAlign w:val="top"/>
          </w:tcPr>
          <w:p>
            <w:pPr>
              <w:spacing w:after="0" w:before="0"/>
            </w:pPr>
            <w:r/>
            <w:r>
              <w:rPr>
                <w:b w:val="0"/>
                <w:sz w:val="17"/>
              </w:rPr>
              <w:t>CUDA registers.</w:t>
            </w:r>
          </w:p>
        </w:tc>
        <w:tc>
          <w:tcPr>
            <w:tcW w:type="dxa" w:w="4104"/>
            <w:vAlign w:val="top"/>
          </w:tcPr>
          <w:p>
            <w:pPr>
              <w:spacing w:after="0" w:before="0"/>
            </w:pPr>
            <w:r/>
            <w:r>
              <w:rPr>
                <w:b w:val="0"/>
                <w:sz w:val="17"/>
              </w:rPr>
              <w:t>Scalar and vector registers.</w:t>
            </w:r>
          </w:p>
        </w:tc>
      </w:tr>
      <w:tr>
        <w:trPr>
          <w:cantSplit/>
          <w:cantSplit/>
        </w:trPr>
        <w:tc>
          <w:tcPr>
            <w:tcW w:type="dxa" w:w="2592"/>
            <w:vAlign w:val="top"/>
          </w:tcPr>
          <w:p>
            <w:pPr>
              <w:spacing w:after="0" w:before="0"/>
            </w:pPr>
            <w:r/>
            <w:r>
              <w:rPr>
                <w:b w:val="0"/>
                <w:sz w:val="17"/>
              </w:rPr>
              <w:t>matrix_fragment</w:t>
            </w:r>
          </w:p>
        </w:tc>
        <w:tc>
          <w:tcPr>
            <w:tcW w:type="dxa" w:w="4104"/>
            <w:vAlign w:val="top"/>
          </w:tcPr>
          <w:p>
            <w:pPr>
              <w:spacing w:after="0" w:before="0"/>
            </w:pPr>
            <w:r/>
            <w:r>
              <w:rPr>
                <w:b w:val="0"/>
                <w:sz w:val="17"/>
              </w:rPr>
              <w:t>Tensor Core MMA / WGMMA fragments and accumulators.</w:t>
            </w:r>
          </w:p>
        </w:tc>
        <w:tc>
          <w:tcPr>
            <w:tcW w:type="dxa" w:w="4104"/>
            <w:vAlign w:val="top"/>
          </w:tcPr>
          <w:p>
            <w:pPr>
              <w:spacing w:after="0" w:before="0"/>
            </w:pPr>
            <w:r/>
            <w:r>
              <w:rPr>
                <w:b w:val="0"/>
                <w:sz w:val="17"/>
              </w:rPr>
              <w:t>MXU tile operands and accumulators.</w:t>
            </w:r>
          </w:p>
        </w:tc>
      </w:tr>
      <w:tr>
        <w:trPr>
          <w:cantSplit/>
          <w:cantSplit/>
        </w:trPr>
        <w:tc>
          <w:tcPr>
            <w:tcW w:type="dxa" w:w="2592"/>
            <w:vAlign w:val="top"/>
          </w:tcPr>
          <w:p>
            <w:pPr>
              <w:spacing w:after="0" w:before="0"/>
            </w:pPr>
            <w:r/>
            <w:r>
              <w:rPr>
                <w:b w:val="0"/>
                <w:sz w:val="17"/>
              </w:rPr>
              <w:t>local_scratchpad</w:t>
            </w:r>
          </w:p>
        </w:tc>
        <w:tc>
          <w:tcPr>
            <w:tcW w:type="dxa" w:w="4104"/>
            <w:vAlign w:val="top"/>
          </w:tcPr>
          <w:p>
            <w:pPr>
              <w:spacing w:after="0" w:before="0"/>
            </w:pPr>
            <w:r/>
            <w:r>
              <w:rPr>
                <w:b w:val="0"/>
                <w:sz w:val="17"/>
              </w:rPr>
              <w:t>Shared memory / Tensor Memory / block-local staging.</w:t>
            </w:r>
          </w:p>
        </w:tc>
        <w:tc>
          <w:tcPr>
            <w:tcW w:type="dxa" w:w="4104"/>
            <w:vAlign w:val="top"/>
          </w:tcPr>
          <w:p>
            <w:pPr>
              <w:spacing w:after="0" w:before="0"/>
            </w:pPr>
            <w:r/>
            <w:r>
              <w:rPr>
                <w:b w:val="0"/>
                <w:sz w:val="17"/>
              </w:rPr>
              <w:t>VMEM for kernel-local vector data.</w:t>
            </w:r>
          </w:p>
        </w:tc>
      </w:tr>
      <w:tr>
        <w:trPr>
          <w:cantSplit/>
          <w:cantSplit/>
        </w:trPr>
        <w:tc>
          <w:tcPr>
            <w:tcW w:type="dxa" w:w="2592"/>
            <w:vAlign w:val="top"/>
          </w:tcPr>
          <w:p>
            <w:pPr>
              <w:spacing w:after="0" w:before="0"/>
            </w:pPr>
            <w:r/>
            <w:r>
              <w:rPr>
                <w:b w:val="0"/>
                <w:sz w:val="17"/>
              </w:rPr>
              <w:t>scalar_scratchpad</w:t>
            </w:r>
          </w:p>
        </w:tc>
        <w:tc>
          <w:tcPr>
            <w:tcW w:type="dxa" w:w="4104"/>
            <w:vAlign w:val="top"/>
          </w:tcPr>
          <w:p>
            <w:pPr>
              <w:spacing w:after="0" w:before="0"/>
            </w:pPr>
            <w:r/>
            <w:r>
              <w:rPr>
                <w:b w:val="0"/>
                <w:sz w:val="17"/>
              </w:rPr>
              <w:t>Registers or shared metadata buffers.</w:t>
            </w:r>
          </w:p>
        </w:tc>
        <w:tc>
          <w:tcPr>
            <w:tcW w:type="dxa" w:w="4104"/>
            <w:vAlign w:val="top"/>
          </w:tcPr>
          <w:p>
            <w:pPr>
              <w:spacing w:after="0" w:before="0"/>
            </w:pPr>
            <w:r/>
            <w:r>
              <w:rPr>
                <w:b w:val="0"/>
                <w:sz w:val="17"/>
              </w:rPr>
              <w:t>SMEM for scalar/control data.</w:t>
            </w:r>
          </w:p>
        </w:tc>
      </w:tr>
      <w:tr>
        <w:trPr>
          <w:cantSplit/>
          <w:cantSplit/>
        </w:trPr>
        <w:tc>
          <w:tcPr>
            <w:tcW w:type="dxa" w:w="2592"/>
            <w:vAlign w:val="top"/>
          </w:tcPr>
          <w:p>
            <w:pPr>
              <w:spacing w:after="0" w:before="0"/>
            </w:pPr>
            <w:r/>
            <w:r>
              <w:rPr>
                <w:b w:val="0"/>
                <w:sz w:val="17"/>
              </w:rPr>
              <w:t>device_cache</w:t>
            </w:r>
          </w:p>
        </w:tc>
        <w:tc>
          <w:tcPr>
            <w:tcW w:type="dxa" w:w="4104"/>
            <w:vAlign w:val="top"/>
          </w:tcPr>
          <w:p>
            <w:pPr>
              <w:spacing w:after="0" w:before="0"/>
            </w:pPr>
            <w:r/>
            <w:r>
              <w:rPr>
                <w:b w:val="0"/>
                <w:sz w:val="17"/>
              </w:rPr>
              <w:t>L1/L2 cache hierarchy.</w:t>
            </w:r>
          </w:p>
        </w:tc>
        <w:tc>
          <w:tcPr>
            <w:tcW w:type="dxa" w:w="4104"/>
            <w:vAlign w:val="top"/>
          </w:tcPr>
          <w:p>
            <w:pPr>
              <w:spacing w:after="0" w:before="0"/>
            </w:pPr>
            <w:r/>
            <w:r>
              <w:rPr>
                <w:b w:val="0"/>
                <w:sz w:val="17"/>
              </w:rPr>
              <w:t>Target-exposed cache behavior if available.</w:t>
            </w:r>
          </w:p>
        </w:tc>
      </w:tr>
      <w:tr>
        <w:trPr>
          <w:cantSplit/>
          <w:cantSplit/>
        </w:trPr>
        <w:tc>
          <w:tcPr>
            <w:tcW w:type="dxa" w:w="2592"/>
            <w:vAlign w:val="top"/>
          </w:tcPr>
          <w:p>
            <w:pPr>
              <w:spacing w:after="0" w:before="0"/>
            </w:pPr>
            <w:r/>
            <w:r>
              <w:rPr>
                <w:b w:val="0"/>
                <w:sz w:val="17"/>
              </w:rPr>
              <w:t>device_memory</w:t>
            </w:r>
          </w:p>
        </w:tc>
        <w:tc>
          <w:tcPr>
            <w:tcW w:type="dxa" w:w="4104"/>
            <w:vAlign w:val="top"/>
          </w:tcPr>
          <w:p>
            <w:pPr>
              <w:spacing w:after="0" w:before="0"/>
            </w:pPr>
            <w:r/>
            <w:r>
              <w:rPr>
                <w:b w:val="0"/>
                <w:sz w:val="17"/>
              </w:rPr>
              <w:t>GPU HBM.</w:t>
            </w:r>
          </w:p>
        </w:tc>
        <w:tc>
          <w:tcPr>
            <w:tcW w:type="dxa" w:w="4104"/>
            <w:vAlign w:val="top"/>
          </w:tcPr>
          <w:p>
            <w:pPr>
              <w:spacing w:after="0" w:before="0"/>
            </w:pPr>
            <w:r/>
            <w:r>
              <w:rPr>
                <w:b w:val="0"/>
                <w:sz w:val="17"/>
              </w:rPr>
              <w:t>TPU HBM.</w:t>
            </w:r>
          </w:p>
        </w:tc>
      </w:tr>
      <w:tr>
        <w:trPr>
          <w:cantSplit/>
          <w:cantSplit/>
        </w:trPr>
        <w:tc>
          <w:tcPr>
            <w:tcW w:type="dxa" w:w="2592"/>
            <w:vAlign w:val="top"/>
          </w:tcPr>
          <w:p>
            <w:pPr>
              <w:spacing w:after="0" w:before="0"/>
            </w:pPr>
            <w:r/>
            <w:r>
              <w:rPr>
                <w:b w:val="0"/>
                <w:sz w:val="17"/>
              </w:rPr>
              <w:t>scale_up_remote_memory</w:t>
            </w:r>
          </w:p>
        </w:tc>
        <w:tc>
          <w:tcPr>
            <w:tcW w:type="dxa" w:w="4104"/>
            <w:vAlign w:val="top"/>
          </w:tcPr>
          <w:p>
            <w:pPr>
              <w:spacing w:after="0" w:before="0"/>
            </w:pPr>
            <w:r/>
            <w:r>
              <w:rPr>
                <w:b w:val="0"/>
                <w:sz w:val="17"/>
              </w:rPr>
              <w:t>Peer GPU HBM over NVLink/NVSwitch.</w:t>
            </w:r>
          </w:p>
        </w:tc>
        <w:tc>
          <w:tcPr>
            <w:tcW w:type="dxa" w:w="4104"/>
            <w:vAlign w:val="top"/>
          </w:tcPr>
          <w:p>
            <w:pPr>
              <w:spacing w:after="0" w:before="0"/>
            </w:pPr>
            <w:r/>
            <w:r>
              <w:rPr>
                <w:b w:val="0"/>
                <w:sz w:val="17"/>
              </w:rPr>
              <w:t>Remote TPU HBM over ICI.</w:t>
            </w:r>
          </w:p>
        </w:tc>
      </w:tr>
      <w:tr>
        <w:trPr>
          <w:cantSplit/>
          <w:cantSplit/>
        </w:trPr>
        <w:tc>
          <w:tcPr>
            <w:tcW w:type="dxa" w:w="2592"/>
            <w:vAlign w:val="top"/>
          </w:tcPr>
          <w:p>
            <w:pPr>
              <w:spacing w:after="0" w:before="0"/>
            </w:pPr>
            <w:r/>
            <w:r>
              <w:rPr>
                <w:b w:val="0"/>
                <w:sz w:val="17"/>
              </w:rPr>
              <w:t>scale_out_remote_memory</w:t>
            </w:r>
          </w:p>
        </w:tc>
        <w:tc>
          <w:tcPr>
            <w:tcW w:type="dxa" w:w="4104"/>
            <w:vAlign w:val="top"/>
          </w:tcPr>
          <w:p>
            <w:pPr>
              <w:spacing w:after="0" w:before="0"/>
            </w:pPr>
            <w:r/>
            <w:r>
              <w:rPr>
                <w:b w:val="0"/>
                <w:sz w:val="17"/>
              </w:rPr>
              <w:t>Remote GPU memory over InfiniBand/RDMA or Ethernet.</w:t>
            </w:r>
          </w:p>
        </w:tc>
        <w:tc>
          <w:tcPr>
            <w:tcW w:type="dxa" w:w="4104"/>
            <w:vAlign w:val="top"/>
          </w:tcPr>
          <w:p>
            <w:pPr>
              <w:spacing w:after="0" w:before="0"/>
            </w:pPr>
            <w:r/>
            <w:r>
              <w:rPr>
                <w:b w:val="0"/>
                <w:sz w:val="17"/>
              </w:rPr>
              <w:t>Remote slice memory over DCN and host path.</w:t>
            </w:r>
          </w:p>
        </w:tc>
      </w:tr>
      <w:tr>
        <w:trPr>
          <w:cantSplit/>
          <w:cantSplit/>
        </w:trPr>
        <w:tc>
          <w:tcPr>
            <w:tcW w:type="dxa" w:w="2592"/>
            <w:vAlign w:val="top"/>
          </w:tcPr>
          <w:p>
            <w:pPr>
              <w:spacing w:after="0" w:before="0"/>
            </w:pPr>
            <w:r/>
            <w:r>
              <w:rPr>
                <w:b w:val="0"/>
                <w:sz w:val="17"/>
              </w:rPr>
              <w:t>host_memory</w:t>
            </w:r>
          </w:p>
        </w:tc>
        <w:tc>
          <w:tcPr>
            <w:tcW w:type="dxa" w:w="4104"/>
            <w:vAlign w:val="top"/>
          </w:tcPr>
          <w:p>
            <w:pPr>
              <w:spacing w:after="0" w:before="0"/>
            </w:pPr>
            <w:r/>
            <w:r>
              <w:rPr>
                <w:b w:val="0"/>
                <w:sz w:val="17"/>
              </w:rPr>
              <w:t>CPU/Grace memory.</w:t>
            </w:r>
          </w:p>
        </w:tc>
        <w:tc>
          <w:tcPr>
            <w:tcW w:type="dxa" w:w="4104"/>
            <w:vAlign w:val="top"/>
          </w:tcPr>
          <w:p>
            <w:pPr>
              <w:spacing w:after="0" w:before="0"/>
            </w:pPr>
            <w:r/>
            <w:r>
              <w:rPr>
                <w:b w:val="0"/>
                <w:sz w:val="17"/>
              </w:rPr>
              <w:t>Host VM memory.</w:t>
            </w:r>
          </w:p>
        </w:tc>
      </w:tr>
    </w:tbl>
    <w:p>
      <w:pPr>
        <w:spacing w:after="80"/>
      </w:pPr>
    </w:p>
    <w:p>
      <w:pPr>
        <w:spacing w:before="0" w:after="120"/>
      </w:pPr>
      <w:r>
        <w:rPr>
          <w:b w:val="0"/>
          <w:i w:val="0"/>
        </w:rPr>
        <w:t>MemoryHierarchyIR should track home tier, working tier, movement path, residency lifetime, reuse distance, prefetch policy, spill policy, and whether the movement is on the critical path. These properties should feed ScheduleIR and gatekeeper diagnostics.</w:t>
      </w:r>
    </w:p>
    <w:p>
      <w:pPr>
        <w:pStyle w:val="CodeBlock"/>
        <w:spacing w:before="60" w:after="120"/>
      </w:pPr>
      <w:r>
        <w:rPr>
          <w:rFonts w:ascii="Consolas" w:hAnsi="Consolas" w:eastAsia="Consolas"/>
          <w:sz w:val="17"/>
        </w:rPr>
        <w:t>memory_descriptor:</w:t>
        <w:br/>
        <w:t xml:space="preserve">  home_tier: device_hbm</w:t>
        <w:br/>
        <w:t xml:space="preserve">  working_tier: local_scratchpad</w:t>
        <w:br/>
        <w:t xml:space="preserve">  movement_path: hbm -&gt; scratchpad -&gt; matrix_fragment</w:t>
        <w:br/>
        <w:t xml:space="preserve">  reuse_distance: tile_local</w:t>
        <w:br/>
        <w:t xml:space="preserve">  prefetch: enabled</w:t>
        <w:br/>
        <w:t xml:space="preserve">  spill_allowed: false</w:t>
        <w:br/>
        <w:t xml:space="preserve">  critical_path: true</w:t>
      </w:r>
    </w:p>
    <w:p>
      <w:pPr>
        <w:pStyle w:val="Heading2"/>
        <w:spacing w:before="0" w:after="120"/>
      </w:pPr>
      <w:r>
        <w:rPr>
          <w:b w:val="0"/>
          <w:i w:val="0"/>
        </w:rPr>
        <w:t>D.6 Single TENSOR_KIND with Composable Tensor Traits</w:t>
      </w:r>
    </w:p>
    <w:p>
      <w:pPr>
        <w:spacing w:before="0" w:after="120"/>
      </w:pPr>
      <w:r>
        <w:rPr>
          <w:b w:val="0"/>
          <w:i w:val="0"/>
        </w:rPr>
        <w:t>The tensor type system should keep the top-level value kind flat. All tensor-like values should use one universal kind, TENSOR_KIND. Semantic contracts should be represented as composable TensorTrait objects. Representation state should be represented through descriptors and metadata transitions, not by creating additional *_KIND enumerators.</w:t>
      </w:r>
    </w:p>
    <w:p>
      <w:pPr>
        <w:pStyle w:val="CodeBlock"/>
        <w:spacing w:before="60" w:after="120"/>
      </w:pPr>
      <w:r>
        <w:rPr>
          <w:rFonts w:ascii="Consolas" w:hAnsi="Consolas" w:eastAsia="Consolas"/>
          <w:sz w:val="17"/>
        </w:rPr>
        <w:t>TENSOR_KIND defines the universal tensor object.</w:t>
        <w:br/>
        <w:t>TensorTrait defines the contract role.</w:t>
        <w:br/>
        <w:t>Tensor descriptors define representation state.</w:t>
        <w:br/>
        <w:t>Tensor metadata records transformation history.</w:t>
      </w:r>
    </w:p>
    <w:tbl>
      <w:tblPr>
        <w:tblStyle w:val="TableGrid"/>
        <w:tblW w:type="auto" w:w="0"/>
        <w:jc w:val="center"/>
        <w:tblLook w:firstColumn="1" w:firstRow="1" w:lastColumn="0" w:lastRow="0" w:noHBand="0" w:noVBand="1" w:val="04A0"/>
      </w:tblPr>
      <w:tblGrid>
        <w:gridCol w:w="3312"/>
        <w:gridCol w:w="3312"/>
        <w:gridCol w:w="3312"/>
      </w:tblGrid>
      <w:tr>
        <w:trPr>
          <w:cantSplit/>
          <w:tblHeader/>
          <w:cantSplit/>
          <w:tblHeader w:val="true"/>
        </w:trPr>
        <w:tc>
          <w:tcPr>
            <w:tcW w:type="dxa" w:w="2232"/>
            <w:vAlign w:val="top"/>
            <w:shd w:fill="D9EAF7"/>
          </w:tcPr>
          <w:p>
            <w:pPr>
              <w:spacing w:after="0" w:before="0"/>
            </w:pPr>
            <w:r/>
            <w:r>
              <w:rPr>
                <w:b/>
                <w:sz w:val="17"/>
              </w:rPr>
              <w:t>Category</w:t>
            </w:r>
          </w:p>
        </w:tc>
        <w:tc>
          <w:tcPr>
            <w:tcW w:type="dxa" w:w="6624"/>
            <w:vAlign w:val="top"/>
            <w:shd w:fill="D9EAF7"/>
          </w:tcPr>
          <w:p>
            <w:pPr>
              <w:spacing w:after="0" w:before="0"/>
            </w:pPr>
            <w:r/>
            <w:r>
              <w:rPr>
                <w:b/>
                <w:sz w:val="17"/>
              </w:rPr>
              <w:t>Examples</w:t>
            </w:r>
          </w:p>
        </w:tc>
        <w:tc>
          <w:tcPr>
            <w:tcW w:type="dxa" w:w="2088"/>
            <w:vAlign w:val="top"/>
            <w:shd w:fill="D9EAF7"/>
          </w:tcPr>
          <w:p>
            <w:pPr>
              <w:spacing w:after="0" w:before="0"/>
            </w:pPr>
            <w:r/>
            <w:r>
              <w:rPr>
                <w:b/>
                <w:sz w:val="17"/>
              </w:rPr>
              <w:t>Should Change TENSOR_KIND?</w:t>
            </w:r>
          </w:p>
        </w:tc>
      </w:tr>
      <w:tr>
        <w:trPr>
          <w:cantSplit/>
          <w:cantSplit/>
        </w:trPr>
        <w:tc>
          <w:tcPr>
            <w:tcW w:type="dxa" w:w="2232"/>
            <w:vAlign w:val="top"/>
          </w:tcPr>
          <w:p>
            <w:pPr>
              <w:spacing w:after="0" w:before="0"/>
            </w:pPr>
            <w:r/>
            <w:r>
              <w:rPr>
                <w:b w:val="0"/>
                <w:sz w:val="17"/>
              </w:rPr>
              <w:t>Contract traits</w:t>
            </w:r>
          </w:p>
        </w:tc>
        <w:tc>
          <w:tcPr>
            <w:tcW w:type="dxa" w:w="6624"/>
            <w:vAlign w:val="top"/>
          </w:tcPr>
          <w:p>
            <w:pPr>
              <w:spacing w:after="0" w:before="0"/>
            </w:pPr>
            <w:r/>
            <w:r>
              <w:rPr>
                <w:b w:val="0"/>
                <w:sz w:val="16"/>
              </w:rPr>
              <w:t>WeightTensorTrait, ActivationTensorTrait, RouterLogitsTensorTrait, SequenceTokenTensorTrait, KVCacheStateTensorTrait, ExpertDispatchTensorTrait.</w:t>
            </w:r>
          </w:p>
        </w:tc>
        <w:tc>
          <w:tcPr>
            <w:tcW w:type="dxa" w:w="2088"/>
            <w:vAlign w:val="top"/>
          </w:tcPr>
          <w:p>
            <w:pPr>
              <w:spacing w:after="0" w:before="0"/>
            </w:pPr>
            <w:r/>
            <w:r>
              <w:rPr>
                <w:b w:val="0"/>
                <w:sz w:val="17"/>
              </w:rPr>
              <w:t>No. Add or refine traits.</w:t>
            </w:r>
          </w:p>
        </w:tc>
      </w:tr>
      <w:tr>
        <w:trPr>
          <w:cantSplit/>
          <w:cantSplit/>
        </w:trPr>
        <w:tc>
          <w:tcPr>
            <w:tcW w:type="dxa" w:w="2232"/>
            <w:vAlign w:val="top"/>
          </w:tcPr>
          <w:p>
            <w:pPr>
              <w:spacing w:after="0" w:before="0"/>
            </w:pPr>
            <w:r/>
            <w:r>
              <w:rPr>
                <w:b w:val="0"/>
                <w:sz w:val="17"/>
              </w:rPr>
              <w:t>Representation descriptors</w:t>
            </w:r>
          </w:p>
        </w:tc>
        <w:tc>
          <w:tcPr>
            <w:tcW w:type="dxa" w:w="6624"/>
            <w:vAlign w:val="top"/>
          </w:tcPr>
          <w:p>
            <w:pPr>
              <w:spacing w:after="0" w:before="0"/>
            </w:pPr>
            <w:r/>
            <w:r>
              <w:rPr>
                <w:b w:val="0"/>
                <w:sz w:val="16"/>
              </w:rPr>
              <w:t>Sharded, replicated, tiled, paged, swizzled, packed, quantized, placed on GPU/TPU, resident in HBM or VMEM.</w:t>
            </w:r>
          </w:p>
        </w:tc>
        <w:tc>
          <w:tcPr>
            <w:tcW w:type="dxa" w:w="2088"/>
            <w:vAlign w:val="top"/>
          </w:tcPr>
          <w:p>
            <w:pPr>
              <w:spacing w:after="0" w:before="0"/>
            </w:pPr>
            <w:r/>
            <w:r>
              <w:rPr>
                <w:b w:val="0"/>
                <w:sz w:val="17"/>
              </w:rPr>
              <w:t>No. Update descriptors.</w:t>
            </w:r>
          </w:p>
        </w:tc>
      </w:tr>
      <w:tr>
        <w:trPr>
          <w:cantSplit/>
          <w:cantSplit/>
        </w:trPr>
        <w:tc>
          <w:tcPr>
            <w:tcW w:type="dxa" w:w="2232"/>
            <w:vAlign w:val="top"/>
          </w:tcPr>
          <w:p>
            <w:pPr>
              <w:spacing w:after="0" w:before="0"/>
            </w:pPr>
            <w:r/>
            <w:r>
              <w:rPr>
                <w:b w:val="0"/>
                <w:sz w:val="17"/>
              </w:rPr>
              <w:t>Semantic transformation</w:t>
            </w:r>
          </w:p>
        </w:tc>
        <w:tc>
          <w:tcPr>
            <w:tcW w:type="dxa" w:w="6624"/>
            <w:vAlign w:val="top"/>
          </w:tcPr>
          <w:p>
            <w:pPr>
              <w:spacing w:after="0" w:before="0"/>
            </w:pPr>
            <w:r/>
            <w:r>
              <w:rPr>
                <w:b w:val="0"/>
                <w:sz w:val="16"/>
              </w:rPr>
              <w:t>Router logits transformed into expert dispatch indices; logits transformed into logprobs; token IDs transformed into position IDs.</w:t>
            </w:r>
          </w:p>
        </w:tc>
        <w:tc>
          <w:tcPr>
            <w:tcW w:type="dxa" w:w="2088"/>
            <w:vAlign w:val="top"/>
          </w:tcPr>
          <w:p>
            <w:pPr>
              <w:spacing w:after="0" w:before="0"/>
            </w:pPr>
            <w:r/>
            <w:r>
              <w:rPr>
                <w:b w:val="0"/>
                <w:sz w:val="17"/>
              </w:rPr>
              <w:t>No top-level kind change; update verified trait set.</w:t>
            </w:r>
          </w:p>
        </w:tc>
      </w:tr>
      <w:tr>
        <w:trPr>
          <w:cantSplit/>
          <w:cantSplit/>
        </w:trPr>
        <w:tc>
          <w:tcPr>
            <w:tcW w:type="dxa" w:w="2232"/>
            <w:vAlign w:val="top"/>
          </w:tcPr>
          <w:p>
            <w:pPr>
              <w:spacing w:after="0" w:before="0"/>
            </w:pPr>
            <w:r/>
            <w:r>
              <w:rPr>
                <w:b w:val="0"/>
                <w:sz w:val="17"/>
              </w:rPr>
              <w:t>Runtime metadata object</w:t>
            </w:r>
          </w:p>
        </w:tc>
        <w:tc>
          <w:tcPr>
            <w:tcW w:type="dxa" w:w="6624"/>
            <w:vAlign w:val="top"/>
          </w:tcPr>
          <w:p>
            <w:pPr>
              <w:spacing w:after="0" w:before="0"/>
            </w:pPr>
            <w:r/>
            <w:r>
              <w:rPr>
                <w:b w:val="0"/>
                <w:sz w:val="16"/>
              </w:rPr>
              <w:t>KV block table, prefix index, allocation metadata, quantization scale, zero point.</w:t>
            </w:r>
          </w:p>
        </w:tc>
        <w:tc>
          <w:tcPr>
            <w:tcW w:type="dxa" w:w="2088"/>
            <w:vAlign w:val="top"/>
          </w:tcPr>
          <w:p>
            <w:pPr>
              <w:spacing w:after="0" w:before="0"/>
            </w:pPr>
            <w:r/>
            <w:r>
              <w:rPr>
                <w:b w:val="0"/>
                <w:sz w:val="17"/>
              </w:rPr>
              <w:t>Still TENSOR_KIND with metadata/runtime traits.</w:t>
            </w:r>
          </w:p>
        </w:tc>
      </w:tr>
    </w:tbl>
    <w:p>
      <w:pPr>
        <w:spacing w:after="80"/>
      </w:pPr>
    </w:p>
    <w:p>
      <w:pPr>
        <w:spacing w:before="0" w:after="120"/>
      </w:pPr>
      <w:r>
        <w:rPr>
          <w:b w:val="0"/>
          <w:i w:val="0"/>
        </w:rPr>
        <w:t>This keeps the IR flat while preserving contract precision. A tensor may carry multiple traits, such as WeightTensorTrait, AttentionProjectionWeightTrait, CheckpointLoadableTrait, and ShardableTrait. Lowering passes may add, remove, or refine traits only through verified transformations.</w:t>
      </w:r>
    </w:p>
    <w:p>
      <w:pPr>
        <w:pStyle w:val="CodeBlock"/>
        <w:spacing w:before="60" w:after="120"/>
      </w:pPr>
      <w:r>
        <w:rPr>
          <w:rFonts w:ascii="Consolas" w:hAnsi="Consolas" w:eastAsia="Consolas"/>
          <w:sz w:val="17"/>
        </w:rPr>
        <w:t>tensor:</w:t>
        <w:br/>
        <w:t xml:space="preserve">  kind: TENSOR_KIND</w:t>
        <w:br/>
        <w:t xml:space="preserve">  name: transformer.layer.0.attn.q_proj.weight</w:t>
        <w:br/>
        <w:t xml:space="preserve">  traits:</w:t>
        <w:br/>
        <w:t xml:space="preserve">    - WeightTensorTrait</w:t>
        <w:br/>
        <w:t xml:space="preserve">    - AttentionProjectionWeightTrait</w:t>
        <w:br/>
        <w:t xml:space="preserve">    - CheckpointLoadableTrait</w:t>
        <w:br/>
        <w:t xml:space="preserve">    - ShardableTrait</w:t>
        <w:br/>
        <w:t xml:space="preserve">  element_type: bf16</w:t>
        <w:br/>
        <w:t xml:space="preserve">  logical_shape: [hidden_dim, hidden_dim]</w:t>
      </w:r>
    </w:p>
    <w:p>
      <w:pPr>
        <w:pStyle w:val="Heading2"/>
        <w:spacing w:before="0" w:after="120"/>
      </w:pPr>
      <w:r>
        <w:rPr>
          <w:b w:val="0"/>
          <w:i w:val="0"/>
        </w:rPr>
        <w:t>D.7 Tensor Descriptor and Metadata Transition Model</w:t>
      </w:r>
    </w:p>
    <w:p>
      <w:pPr>
        <w:spacing w:before="0" w:after="120"/>
      </w:pPr>
      <w:r>
        <w:rPr>
          <w:b w:val="0"/>
          <w:i w:val="0"/>
        </w:rPr>
        <w:t>Every semantic or physical transformation should have a corresponding tensor descriptor transition. This makes sharding, placement, memory residency, quantization, and target-specific layout auditable by the gatekeeper.</w:t>
      </w:r>
    </w:p>
    <w:p>
      <w:pPr>
        <w:pStyle w:val="CodeBlock"/>
        <w:spacing w:before="60" w:after="120"/>
      </w:pPr>
      <w:r>
        <w:rPr>
          <w:rFonts w:ascii="Consolas" w:hAnsi="Consolas" w:eastAsia="Consolas"/>
          <w:sz w:val="17"/>
        </w:rPr>
        <w:t>TensorDescriptorIR</w:t>
        <w:br/>
        <w:t xml:space="preserve">  -&gt; TensorSemanticType</w:t>
        <w:br/>
        <w:t xml:space="preserve">  -&gt; TensorTraitSet</w:t>
        <w:br/>
        <w:t xml:space="preserve">  -&gt; TensorElementType</w:t>
        <w:br/>
        <w:t xml:space="preserve">  -&gt; TensorShapeDescriptor</w:t>
        <w:br/>
        <w:t xml:space="preserve">  -&gt; TensorLayoutDescriptor</w:t>
        <w:br/>
        <w:t xml:space="preserve">  -&gt; TensorShardingDescriptor</w:t>
        <w:br/>
        <w:t xml:space="preserve">  -&gt; TensorPlacementDescriptor</w:t>
        <w:br/>
        <w:t xml:space="preserve">  -&gt; TensorMemoryDescriptor</w:t>
        <w:br/>
        <w:t xml:space="preserve">  -&gt; TensorLifetimeDescriptor</w:t>
        <w:br/>
        <w:t xml:space="preserve">  -&gt; TensorAliasDescriptor</w:t>
        <w:br/>
        <w:t xml:space="preserve">  -&gt; TensorQuantizationDescriptor</w:t>
        <w:br/>
        <w:t xml:space="preserve">  -&gt; TensorRuntimeHandleDescriptor</w:t>
        <w:br/>
        <w:t xml:space="preserve">  -&gt; TensorLineageMetadata</w:t>
      </w:r>
    </w:p>
    <w:p>
      <w:pPr>
        <w:spacing w:before="0" w:after="120"/>
      </w:pPr>
      <w:r>
        <w:rPr>
          <w:b w:val="0"/>
          <w:i w:val="0"/>
        </w:rPr>
        <w:t>During sharding, the global shape remains stable, but local shape, ownership, placement, communication requirements, aliasing, lifetime, checkpoint layout, and runtime handle metadata may change. These changes should be explicit and verifiable.</w:t>
      </w:r>
    </w:p>
    <w:p>
      <w:pPr>
        <w:pStyle w:val="CodeBlock"/>
        <w:spacing w:before="60" w:after="120"/>
      </w:pPr>
      <w:r>
        <w:rPr>
          <w:rFonts w:ascii="Consolas" w:hAnsi="Consolas" w:eastAsia="Consolas"/>
          <w:sz w:val="17"/>
        </w:rPr>
        <w:t>metadata_transition:</w:t>
        <w:br/>
        <w:t xml:space="preserve">  tensor: activation.hidden_state</w:t>
        <w:br/>
        <w:t xml:space="preserve">  from:</w:t>
        <w:br/>
        <w:t xml:space="preserve">    traits: [ActivationTensorTrait]</w:t>
        <w:br/>
        <w:t xml:space="preserve">    sharding: replicated</w:t>
        <w:br/>
        <w:t xml:space="preserve">    placement: abstract</w:t>
        <w:br/>
        <w:t xml:space="preserve">  to:</w:t>
        <w:br/>
        <w:t xml:space="preserve">    traits: [ActivationTensorTrait]</w:t>
        <w:br/>
        <w:t xml:space="preserve">    global_shape: [batch, seq, hidden]</w:t>
        <w:br/>
        <w:t xml:space="preserve">    local_shape: [batch, seq, hidden / tp_size]</w:t>
        <w:br/>
        <w:t xml:space="preserve">    sharding: hidden_dim_sharded</w:t>
        <w:br/>
        <w:t xml:space="preserve">    placement: scale_up_domain</w:t>
        <w:br/>
        <w:t xml:space="preserve">  introduces:</w:t>
        <w:br/>
        <w:t xml:space="preserve">    communication: all_gather_before_consumer</w:t>
        <w:br/>
        <w:t xml:space="preserve">  semantic_preserving: true</w:t>
      </w:r>
    </w:p>
    <w:p>
      <w:pPr>
        <w:pStyle w:val="Heading2"/>
        <w:spacing w:before="0" w:after="120"/>
      </w:pPr>
      <w:r>
        <w:rPr>
          <w:b w:val="0"/>
          <w:i w:val="0"/>
        </w:rPr>
        <w:t>D.8 Example: Unified Lowering of Sharded Attention State</w:t>
      </w:r>
    </w:p>
    <w:p>
      <w:pPr>
        <w:spacing w:before="0" w:after="120"/>
      </w:pPr>
      <w:r>
        <w:rPr>
          <w:b w:val="0"/>
          <w:i w:val="0"/>
        </w:rPr>
        <w:t>Long-context inference and RL rollout require the same factoring discipline. A KV cache or linear-attention recurrent state should remain a TENSOR_KIND value with runtime-state and attention-state traits. Sharding and paging should be represented through descriptors; runtime-specific page tables and prefix indices should be tensors with metadata traits.</w:t>
      </w:r>
    </w:p>
    <w:p>
      <w:pPr>
        <w:pStyle w:val="CodeBlock"/>
        <w:spacing w:before="60" w:after="120"/>
      </w:pPr>
      <w:r>
        <w:rPr>
          <w:rFonts w:ascii="Consolas" w:hAnsi="Consolas" w:eastAsia="Consolas"/>
          <w:sz w:val="17"/>
        </w:rPr>
        <w:t>tensor:</w:t>
        <w:br/>
        <w:t xml:space="preserve">  kind: TENSOR_KIND</w:t>
        <w:br/>
        <w:t xml:space="preserve">  name: runtime_state.kv_cache.layer_12</w:t>
        <w:br/>
        <w:t xml:space="preserve">  traits:</w:t>
        <w:br/>
        <w:t xml:space="preserve">    - RuntimeStateTensorTrait</w:t>
        <w:br/>
        <w:t xml:space="preserve">    - AttentionStateTensorTrait</w:t>
        <w:br/>
        <w:t xml:space="preserve">    - KVCacheStateTensorTrait</w:t>
        <w:br/>
        <w:t xml:space="preserve">    - RequestScopedTensorTrait</w:t>
        <w:br/>
        <w:t xml:space="preserve">  logical_shape: [request, layer, kv_head, sequence, head_dim]</w:t>
        <w:br/>
        <w:t xml:space="preserve">  sharding:</w:t>
        <w:br/>
        <w:t xml:space="preserve">    shard_axes: [sequence, kv_head]</w:t>
        <w:br/>
        <w:t xml:space="preserve">    placement_domain: scale_up_required_for_decode</w:t>
        <w:br/>
        <w:t xml:space="preserve">  runtime_layout:</w:t>
        <w:br/>
        <w:t xml:space="preserve">    representation: paged_block_cache</w:t>
        <w:br/>
        <w:t xml:space="preserve">    prefix_reuse: shard_aware</w:t>
      </w:r>
    </w:p>
    <w:p>
      <w:pPr>
        <w:spacing w:before="0" w:after="120"/>
      </w:pPr>
      <w:r>
        <w:rPr>
          <w:b w:val="0"/>
          <w:i w:val="0"/>
        </w:rPr>
        <w:t>NVIDIA backends may lower this to paged KV cache structures managed by SGLang, TensorRT-LLM, or Dynamo-like routing layers. TPU-like backends may lower it to XLA/GSPMD sharding across an ICI slice. The common IR remains the same until target runtime and physical placement are selected.</w:t>
      </w:r>
    </w:p>
    <w:p>
      <w:pPr>
        <w:pStyle w:val="Heading2"/>
        <w:spacing w:before="0" w:after="120"/>
      </w:pPr>
      <w:r>
        <w:rPr>
          <w:b w:val="0"/>
          <w:i w:val="0"/>
        </w:rPr>
        <w:t>D.9 New Verification and Diagnostic Families</w:t>
      </w:r>
    </w:p>
    <w:p>
      <w:pPr>
        <w:spacing w:before="0" w:after="120"/>
      </w:pPr>
      <w:r>
        <w:rPr>
          <w:b w:val="0"/>
          <w:i w:val="0"/>
        </w:rPr>
        <w:t>The gatekeeper should verify sharding, memory placement, trait legality, and tensor metadata transitions in addition to semantic model contracts. A schedule can be semantically legal while still being performance-invalid for a target because it places latency-critical state on scale-out fabric or requires an unsupported memory movement path.</w:t>
      </w:r>
    </w:p>
    <w:tbl>
      <w:tblPr>
        <w:tblStyle w:val="TableGrid"/>
        <w:tblW w:type="auto" w:w="0"/>
        <w:jc w:val="center"/>
        <w:tblLook w:firstColumn="1" w:firstRow="1" w:lastColumn="0" w:lastRow="0" w:noHBand="0" w:noVBand="1" w:val="04A0"/>
      </w:tblPr>
      <w:tblGrid>
        <w:gridCol w:w="3312"/>
        <w:gridCol w:w="3312"/>
        <w:gridCol w:w="3312"/>
      </w:tblGrid>
      <w:tr>
        <w:trPr>
          <w:cantSplit/>
          <w:tblHeader/>
          <w:cantSplit/>
          <w:tblHeader w:val="true"/>
        </w:trPr>
        <w:tc>
          <w:tcPr>
            <w:tcW w:type="dxa" w:w="1944"/>
            <w:vAlign w:val="top"/>
            <w:shd w:fill="D9EAF7"/>
          </w:tcPr>
          <w:p>
            <w:pPr>
              <w:spacing w:after="0" w:before="0"/>
            </w:pPr>
            <w:r/>
            <w:r>
              <w:rPr>
                <w:b/>
                <w:sz w:val="17"/>
              </w:rPr>
              <w:t>Diagnostic Family</w:t>
            </w:r>
          </w:p>
        </w:tc>
        <w:tc>
          <w:tcPr>
            <w:tcW w:type="dxa" w:w="3672"/>
            <w:vAlign w:val="top"/>
            <w:shd w:fill="D9EAF7"/>
          </w:tcPr>
          <w:p>
            <w:pPr>
              <w:spacing w:after="0" w:before="0"/>
            </w:pPr>
            <w:r/>
            <w:r>
              <w:rPr>
                <w:b/>
                <w:sz w:val="17"/>
              </w:rPr>
              <w:t>Purpose</w:t>
            </w:r>
          </w:p>
        </w:tc>
        <w:tc>
          <w:tcPr>
            <w:tcW w:type="dxa" w:w="5184"/>
            <w:vAlign w:val="top"/>
            <w:shd w:fill="D9EAF7"/>
          </w:tcPr>
          <w:p>
            <w:pPr>
              <w:spacing w:after="0" w:before="0"/>
            </w:pPr>
            <w:r/>
            <w:r>
              <w:rPr>
                <w:b/>
                <w:sz w:val="17"/>
              </w:rPr>
              <w:t>Examples</w:t>
            </w:r>
          </w:p>
        </w:tc>
      </w:tr>
      <w:tr>
        <w:trPr>
          <w:cantSplit/>
          <w:cantSplit/>
        </w:trPr>
        <w:tc>
          <w:tcPr>
            <w:tcW w:type="dxa" w:w="1944"/>
            <w:vAlign w:val="top"/>
          </w:tcPr>
          <w:p>
            <w:pPr>
              <w:spacing w:after="0" w:before="0"/>
            </w:pPr>
            <w:r/>
            <w:r>
              <w:rPr>
                <w:b w:val="0"/>
                <w:sz w:val="17"/>
              </w:rPr>
              <w:t>CLOWER-*</w:t>
            </w:r>
          </w:p>
        </w:tc>
        <w:tc>
          <w:tcPr>
            <w:tcW w:type="dxa" w:w="3672"/>
            <w:vAlign w:val="top"/>
          </w:tcPr>
          <w:p>
            <w:pPr>
              <w:spacing w:after="0" w:before="0"/>
            </w:pPr>
            <w:r/>
            <w:r>
              <w:rPr>
                <w:b w:val="0"/>
                <w:sz w:val="17"/>
              </w:rPr>
              <w:t>Detect premature or invalid target specialization.</w:t>
            </w:r>
          </w:p>
        </w:tc>
        <w:tc>
          <w:tcPr>
            <w:tcW w:type="dxa" w:w="5184"/>
            <w:vAlign w:val="top"/>
          </w:tcPr>
          <w:p>
            <w:pPr>
              <w:spacing w:after="0" w:before="0"/>
            </w:pPr>
            <w:r/>
            <w:r>
              <w:rPr>
                <w:b w:val="0"/>
                <w:sz w:val="16"/>
              </w:rPr>
              <w:t>CLOWER-001 PrematureTargetSpecialization; CLOWER-006 ScheduleRequiresUnsupportedTargetFeature.</w:t>
            </w:r>
          </w:p>
        </w:tc>
      </w:tr>
      <w:tr>
        <w:trPr>
          <w:cantSplit/>
          <w:cantSplit/>
        </w:trPr>
        <w:tc>
          <w:tcPr>
            <w:tcW w:type="dxa" w:w="1944"/>
            <w:vAlign w:val="top"/>
          </w:tcPr>
          <w:p>
            <w:pPr>
              <w:spacing w:after="0" w:before="0"/>
            </w:pPr>
            <w:r/>
            <w:r>
              <w:rPr>
                <w:b w:val="0"/>
                <w:sz w:val="17"/>
              </w:rPr>
              <w:t>CSHARD-*</w:t>
            </w:r>
          </w:p>
        </w:tc>
        <w:tc>
          <w:tcPr>
            <w:tcW w:type="dxa" w:w="3672"/>
            <w:vAlign w:val="top"/>
          </w:tcPr>
          <w:p>
            <w:pPr>
              <w:spacing w:after="0" w:before="0"/>
            </w:pPr>
            <w:r/>
            <w:r>
              <w:rPr>
                <w:b w:val="0"/>
                <w:sz w:val="17"/>
              </w:rPr>
              <w:t>Verify shard axes, placement, transitions, and collectives.</w:t>
            </w:r>
          </w:p>
        </w:tc>
        <w:tc>
          <w:tcPr>
            <w:tcW w:type="dxa" w:w="5184"/>
            <w:vAlign w:val="top"/>
          </w:tcPr>
          <w:p>
            <w:pPr>
              <w:spacing w:after="0" w:before="0"/>
            </w:pPr>
            <w:r/>
            <w:r>
              <w:rPr>
                <w:b w:val="0"/>
                <w:sz w:val="16"/>
              </w:rPr>
              <w:t>CSHARD-003 ScaleOutUsedForLatencyCriticalShard; CSHARD-005 CollectiveRequiredButUnsupported.</w:t>
            </w:r>
          </w:p>
        </w:tc>
      </w:tr>
      <w:tr>
        <w:trPr>
          <w:cantSplit/>
          <w:cantSplit/>
        </w:trPr>
        <w:tc>
          <w:tcPr>
            <w:tcW w:type="dxa" w:w="1944"/>
            <w:vAlign w:val="top"/>
          </w:tcPr>
          <w:p>
            <w:pPr>
              <w:spacing w:after="0" w:before="0"/>
            </w:pPr>
            <w:r/>
            <w:r>
              <w:rPr>
                <w:b w:val="0"/>
                <w:sz w:val="17"/>
              </w:rPr>
              <w:t>CMEM-*</w:t>
            </w:r>
          </w:p>
        </w:tc>
        <w:tc>
          <w:tcPr>
            <w:tcW w:type="dxa" w:w="3672"/>
            <w:vAlign w:val="top"/>
          </w:tcPr>
          <w:p>
            <w:pPr>
              <w:spacing w:after="0" w:before="0"/>
            </w:pPr>
            <w:r/>
            <w:r>
              <w:rPr>
                <w:b w:val="0"/>
                <w:sz w:val="17"/>
              </w:rPr>
              <w:t>Verify memory tier, residency, movement path, spill, and prefetch legality.</w:t>
            </w:r>
          </w:p>
        </w:tc>
        <w:tc>
          <w:tcPr>
            <w:tcW w:type="dxa" w:w="5184"/>
            <w:vAlign w:val="top"/>
          </w:tcPr>
          <w:p>
            <w:pPr>
              <w:spacing w:after="0" w:before="0"/>
            </w:pPr>
            <w:r/>
            <w:r>
              <w:rPr>
                <w:b w:val="0"/>
                <w:sz w:val="17"/>
              </w:rPr>
              <w:t>CMEM-002 UnsupportedMemoryTier; CMEM-006 CriticalPathRemoteMemoryAccess.</w:t>
            </w:r>
          </w:p>
        </w:tc>
      </w:tr>
      <w:tr>
        <w:trPr>
          <w:cantSplit/>
          <w:cantSplit/>
        </w:trPr>
        <w:tc>
          <w:tcPr>
            <w:tcW w:type="dxa" w:w="1944"/>
            <w:vAlign w:val="top"/>
          </w:tcPr>
          <w:p>
            <w:pPr>
              <w:spacing w:after="0" w:before="0"/>
            </w:pPr>
            <w:r/>
            <w:r>
              <w:rPr>
                <w:b w:val="0"/>
                <w:sz w:val="17"/>
              </w:rPr>
              <w:t>CTRAIT-*</w:t>
            </w:r>
          </w:p>
        </w:tc>
        <w:tc>
          <w:tcPr>
            <w:tcW w:type="dxa" w:w="3672"/>
            <w:vAlign w:val="top"/>
          </w:tcPr>
          <w:p>
            <w:pPr>
              <w:spacing w:after="0" w:before="0"/>
            </w:pPr>
            <w:r/>
            <w:r>
              <w:rPr>
                <w:b w:val="0"/>
                <w:sz w:val="17"/>
              </w:rPr>
              <w:t>Verify tensor trait combinations and trait transitions.</w:t>
            </w:r>
          </w:p>
        </w:tc>
        <w:tc>
          <w:tcPr>
            <w:tcW w:type="dxa" w:w="5184"/>
            <w:vAlign w:val="top"/>
          </w:tcPr>
          <w:p>
            <w:pPr>
              <w:spacing w:after="0" w:before="0"/>
            </w:pPr>
            <w:r/>
            <w:r>
              <w:rPr>
                <w:b w:val="0"/>
                <w:sz w:val="17"/>
              </w:rPr>
              <w:t>CTRAIT-002 IllegalTraitCombination; CTRAIT-003 IllegalTraitTransition.</w:t>
            </w:r>
          </w:p>
        </w:tc>
      </w:tr>
      <w:tr>
        <w:trPr>
          <w:cantSplit/>
          <w:cantSplit/>
        </w:trPr>
        <w:tc>
          <w:tcPr>
            <w:tcW w:type="dxa" w:w="1944"/>
            <w:vAlign w:val="top"/>
          </w:tcPr>
          <w:p>
            <w:pPr>
              <w:spacing w:after="0" w:before="0"/>
            </w:pPr>
            <w:r/>
            <w:r>
              <w:rPr>
                <w:b w:val="0"/>
                <w:sz w:val="17"/>
              </w:rPr>
              <w:t>CTENSOR-*</w:t>
            </w:r>
          </w:p>
        </w:tc>
        <w:tc>
          <w:tcPr>
            <w:tcW w:type="dxa" w:w="3672"/>
            <w:vAlign w:val="top"/>
          </w:tcPr>
          <w:p>
            <w:pPr>
              <w:spacing w:after="0" w:before="0"/>
            </w:pPr>
            <w:r/>
            <w:r>
              <w:rPr>
                <w:b w:val="0"/>
                <w:sz w:val="16"/>
              </w:rPr>
              <w:t>Verify tensor shape, descriptor, lineage, aliasing, runtime handles, and metadata consistency.</w:t>
            </w:r>
          </w:p>
        </w:tc>
        <w:tc>
          <w:tcPr>
            <w:tcW w:type="dxa" w:w="5184"/>
            <w:vAlign w:val="top"/>
          </w:tcPr>
          <w:p>
            <w:pPr>
              <w:spacing w:after="0" w:before="0"/>
            </w:pPr>
            <w:r/>
            <w:r>
              <w:rPr>
                <w:b w:val="0"/>
                <w:sz w:val="17"/>
              </w:rPr>
              <w:t>CTENSOR-004 GlobalLocalShapeMismatch; CTENSOR-010 RuntimeHandleMetadataMismatch.</w:t>
            </w:r>
          </w:p>
        </w:tc>
      </w:tr>
    </w:tbl>
    <w:p>
      <w:pPr>
        <w:spacing w:after="80"/>
      </w:pPr>
    </w:p>
    <w:p>
      <w:pPr>
        <w:pStyle w:val="CodeBlock"/>
        <w:spacing w:before="60" w:after="120"/>
      </w:pPr>
      <w:r>
        <w:rPr>
          <w:rFonts w:ascii="Consolas" w:hAnsi="Consolas" w:eastAsia="Consolas"/>
          <w:sz w:val="17"/>
        </w:rPr>
        <w:t>Example gatekeeper rule:</w:t>
        <w:br/>
        <w:t xml:space="preserve">  if tensor has KVCacheStateTensorTrait and decode path is latency-critical:</w:t>
        <w:br/>
        <w:t xml:space="preserve">      require placement_domain != scale_out unless disaggregated mode declares latency budget</w:t>
        <w:br/>
        <w:t xml:space="preserve">      require shard-aware prefix reuse metadata</w:t>
        <w:br/>
        <w:t xml:space="preserve">      require runtime support for selected page/state layout</w:t>
      </w:r>
    </w:p>
    <w:p>
      <w:pPr>
        <w:pStyle w:val="Heading2"/>
        <w:spacing w:before="0" w:after="120"/>
      </w:pPr>
      <w:r>
        <w:rPr>
          <w:b w:val="0"/>
          <w:i w:val="0"/>
        </w:rPr>
        <w:t>D.10 Architectural Summary</w:t>
      </w:r>
    </w:p>
    <w:p>
      <w:pPr>
        <w:spacing w:before="0" w:after="120"/>
      </w:pPr>
      <w:r>
        <w:rPr>
          <w:b w:val="0"/>
          <w:i w:val="0"/>
        </w:rPr>
        <w:t>The compiler should use a single flat TENSOR_KIND, composable tensor traits, explicit sharding, explicit memory hierarchy, and auditable tensor metadata transitions. This supports the broader goal of maximizing common lowering across NVIDIA, TPU-like, edge, and cloud targets while still allowing target-specific schedules to exploit warps, Tensor Cores, NVLink/NCCL, MXUs, VMEM/SMEM, ICI/GSPMD, and runtime-specific serving engines.</w:t>
      </w:r>
    </w:p>
    <w:p>
      <w:pPr>
        <w:pStyle w:val="CodeBlock"/>
        <w:spacing w:before="60" w:after="120"/>
      </w:pPr>
      <w:r>
        <w:rPr>
          <w:rFonts w:ascii="Consolas" w:hAnsi="Consolas" w:eastAsia="Consolas"/>
          <w:sz w:val="17"/>
        </w:rPr>
        <w:t>One model contract</w:t>
        <w:br/>
        <w:t xml:space="preserve">  -&gt; one semantic lowering</w:t>
        <w:br/>
        <w:t xml:space="preserve">    -&gt; one tensor/trait/sharding/memory lowering</w:t>
        <w:br/>
        <w:t xml:space="preserve">      -&gt; many target schedules</w:t>
        <w:br/>
        <w:t xml:space="preserve">        -&gt; many backend runtimes</w:t>
      </w:r>
    </w:p>
    <w:p>
      <w:pPr>
        <w:spacing w:before="0" w:after="120"/>
      </w:pPr>
      <w:r>
        <w:rPr>
          <w:b w:val="0"/>
          <w:i w:val="0"/>
        </w:rPr>
        <w:t>The resulting design hides hardware details at the model-authoring level while preserving the performance facts the compiler needs for scheduling, placement, data movement, and runtime integration.</w:t>
      </w:r>
    </w:p>
    <w:p>
      <w:pPr/>
      <w:r>
        <w:br w:type="page"/>
      </w:r>
    </w:p>
    <w:p>
      <w:pPr>
        <w:pStyle w:val="Heading2"/>
      </w:pPr>
      <w:r>
        <w:t>D.11 ParallelizationChoiceIR and DispatchReduceIR</w:t>
      </w:r>
    </w:p>
    <w:p>
      <w:r>
        <w:t>ParallelizationChoiceIR and DispatchReduceIR extend DataShardingIR with compiler-selected execution decisions and target-independent communication operations. DataShardingIR describes what is partitioned. ParallelizationChoiceIR records why a partitioning was selected and where it should be placed. DispatchReduceIR materializes the data movement, dispatch, recomposition, reduction, and order-restoration operations required by the selected parallelization.</w:t>
      </w:r>
    </w:p>
    <w:p>
      <w:pPr>
        <w:pStyle w:val="CodeBlock"/>
      </w:pPr>
      <w:r>
        <w:rPr>
          <w:rFonts w:ascii="Consolas" w:hAnsi="Consolas" w:eastAsia="Consolas"/>
          <w:sz w:val="17"/>
        </w:rPr>
        <w:t>DataShardingIR:</w:t>
        <w:br/>
        <w:t xml:space="preserve">  object: hidden_state</w:t>
        <w:br/>
        <w:t xml:space="preserve">  shard_axis: hidden_dim</w:t>
        <w:br/>
        <w:t xml:space="preserve">  placement_domain: scale_up</w:t>
        <w:br/>
        <w:br/>
        <w:t>ParallelizationChoiceIR:</w:t>
        <w:br/>
        <w:t xml:space="preserve">  type: tensor_parallel</w:t>
        <w:br/>
        <w:t xml:space="preserve">  group_size: 8</w:t>
        <w:br/>
        <w:t xml:space="preserve">  selected_by: compiler_cost_model</w:t>
        <w:br/>
        <w:br/>
        <w:t>DispatchReduceIR:</w:t>
        <w:br/>
        <w:t xml:space="preserve">  generated_ops:</w:t>
        <w:br/>
        <w:t xml:space="preserve">    - local_matmul</w:t>
        <w:br/>
        <w:t xml:space="preserve">    - reduce_scatter_or_all_reduce</w:t>
        <w:br/>
        <w:t xml:space="preserve">    - all_gather_before_full_consumer</w:t>
      </w:r>
    </w:p>
    <w:p>
      <w:r>
        <w:t>This structure prevents premature specialization. The common compiler represents dispatch and reduction as semantic data movement. NVIDIA, TPU-like, and edge target backends then map the common operations to their collective libraries, runtime APIs, and kernel implementations.</w:t>
      </w:r>
    </w:p>
    <w:p>
      <w:pPr>
        <w:pStyle w:val="Heading2"/>
      </w:pPr>
      <w:r>
        <w:t>D.12 Static and Adaptive Parallelization Policies</w:t>
      </w:r>
    </w:p>
    <w:p>
      <w:r>
        <w:t>The IR should represent both static parallelization plans and runtime-adaptive policies. Static plans are appropriate for fixed model partitioning and kernel layout. Runtime-adaptive policies are required when serving behavior, cache pressure, expert load, or request distribution changes at runtime.</w:t>
      </w:r>
    </w:p>
    <w:p>
      <w:pPr>
        <w:pStyle w:val="CodeBlock"/>
      </w:pPr>
      <w:r>
        <w:rPr>
          <w:rFonts w:ascii="Consolas" w:hAnsi="Consolas" w:eastAsia="Consolas"/>
          <w:sz w:val="17"/>
        </w:rPr>
        <w:t>static_parallel_plan:</w:t>
        <w:br/>
        <w:t xml:space="preserve">  tensor_parallel_size: 8</w:t>
        <w:br/>
        <w:t xml:space="preserve">  expert_parallel_size: 4</w:t>
        <w:br/>
        <w:t xml:space="preserve">  placement_domain: scale_up</w:t>
        <w:br/>
        <w:br/>
        <w:t>runtime_adaptive_policy:</w:t>
        <w:br/>
        <w:t xml:space="preserve">  if kv_cache_pressure &gt; threshold:</w:t>
        <w:br/>
        <w:t xml:space="preserve">    migrate_or_evict_prefix_blocks</w:t>
        <w:br/>
        <w:t xml:space="preserve">  if hot_expert_load &gt; threshold:</w:t>
        <w:br/>
        <w:t xml:space="preserve">    rebalance_expert_groups</w:t>
        <w:br/>
        <w:t xml:space="preserve">  if decode_latency_slo_at_risk:</w:t>
        <w:br/>
        <w:t xml:space="preserve">    avoid_scale_out_resharding</w:t>
      </w:r>
    </w:p>
    <w:p>
      <w:r>
        <w:t>The runtime policy should be generated from the same semantic contracts and target capability model as the static plan. This keeps runtime adaptation within the gatekeeper-certified envelope.</w:t>
      </w:r>
    </w:p>
    <w:p>
      <w:pPr>
        <w:pStyle w:val="Heading2"/>
      </w:pPr>
      <w:r>
        <w:t>D.13 Additional Performance-Portability Diagnostics</w:t>
      </w:r>
    </w:p>
    <w:p>
      <w:r>
        <w:t>The following diagnostics should be added to the existing lowering, sharding, memory, trait, and tensor diagnostics.</w:t>
      </w:r>
    </w:p>
    <w:p>
      <w:pPr>
        <w:pStyle w:val="CodeBlock"/>
      </w:pPr>
      <w:r>
        <w:rPr>
          <w:rFonts w:ascii="Consolas" w:hAnsi="Consolas" w:eastAsia="Consolas"/>
          <w:sz w:val="17"/>
        </w:rPr>
        <w:t>CPERF-001 ParallelizationChoiceUnsupported</w:t>
        <w:br/>
        <w:t>CPERF-002 DispatchReducePlanMissing</w:t>
        <w:br/>
        <w:t>CPERF-003 CollectiveCostModelMissing</w:t>
        <w:br/>
        <w:t>CPERF-004 ScaleOutUsedForLatencyCriticalPath</w:t>
        <w:br/>
        <w:t>CPERF-005 RuntimeAdaptivePolicyRequired</w:t>
        <w:br/>
        <w:t>CPERF-006 ParallelizationBreaksSemanticContract</w:t>
        <w:br/>
        <w:t>CPERF-007 ShardTransitionRequiresUnsupportedCollective</w:t>
        <w:br/>
        <w:t>CPERF-008 SelectedScheduleBelowPerformanceFloor</w:t>
      </w:r>
    </w:p>
    <w:p>
      <w:r>
        <w:t>These diagnostics allow the compiler to distinguish semantic validity from performance validity. A model may be executable on a target, but the selected parallelization may still be rejected if it violates latency, bandwidth, runtime capability, or cost-model requirements.</w:t>
      </w:r>
    </w:p>
    <w:p>
      <w:pPr>
        <w:pStyle w:val="Heading2"/>
      </w:pPr>
      <w:r>
        <w:t>D.14 Hybrid Static-Dynamic Compilation IR</w:t>
      </w:r>
    </w:p>
    <w:p>
      <w:pPr/>
      <w:r>
        <w:t>Hybrid static-dynamic execution requires explicit IR support so that runtime decisions remain inside compiler-certified boundaries. The common IR should represent dynamic shape facts, shape buckets, runtime guards, kernel variants, online specialization constraints, and runtime feedback separately from target-specific CUDA, TensorRT-LLM, SGLang, XLA, GSPMD, Pallas, or edge-runtime lowering.</w:t>
      </w:r>
    </w:p>
    <w:p>
      <w:pPr>
        <w:pStyle w:val="CodeBlock"/>
      </w:pPr>
      <w:r>
        <w:t>DynamicShapeContractIR:</w:t>
        <w:br/>
        <w:t xml:space="preserve">  dynamic_dimensions:</w:t>
        <w:br/>
        <w:t xml:space="preserve">    - active_batch</w:t>
        <w:br/>
        <w:t xml:space="preserve">    - request_seq_len</w:t>
        <w:br/>
        <w:t xml:space="preserve">    - kv_block_count</w:t>
        <w:br/>
        <w:t xml:space="preserve">    - prefix_cache_hit_set</w:t>
        <w:br/>
        <w:t xml:space="preserve">  bounds:</w:t>
        <w:br/>
        <w:t xml:space="preserve">    max_context_length: target_or_model_contract</w:t>
        <w:br/>
        <w:t xml:space="preserve">    max_active_batch: runtime_profile</w:t>
        <w:br/>
        <w:t xml:space="preserve">    max_kv_blocks: memory_budget</w:t>
        <w:br/>
        <w:t xml:space="preserve">  required_guards:</w:t>
        <w:br/>
        <w:t xml:space="preserve">    - seq_len_within_bucket</w:t>
        <w:br/>
        <w:t xml:space="preserve">    - kv_blocks_within_profile</w:t>
        <w:br/>
        <w:t xml:space="preserve">    - placement_domain_allowed</w:t>
        <w:br/>
        <w:t xml:space="preserve">    - runtime_state_layout_matches_contract</w:t>
      </w:r>
    </w:p>
    <w:p>
      <w:pPr/>
      <w:r>
        <w:t>ShapeBucketIR groups runtime states into optimization profiles. For decode, the bucket key may include active batch, current sequence-length range, KV page count, head dimension, dtype, tensor-parallel degree, context-parallel degree, runtime backend, and whether CUDA Graph capture, XLA compilation cache, or other target-specific variant reuse is available.</w:t>
      </w:r>
    </w:p>
    <w:p>
      <w:pPr/>
      <w:r>
        <w:t>KernelVariantIR records the prebuilt or dynamically specialized execution variant associated with a shape bucket. It must carry the semantic contract it preserves, tensor trait requirements, memory hierarchy assumptions, sharding assumptions, communication operations, runtime backend, target capability requirements, and fallback variant.</w:t>
      </w:r>
    </w:p>
    <w:p>
      <w:pPr>
        <w:pStyle w:val="CodeBlock"/>
      </w:pPr>
      <w:r>
        <w:t>RuntimeDispatchPolicyIR:</w:t>
        <w:br/>
        <w:t xml:space="preserve">  select_variant_using:</w:t>
        <w:br/>
        <w:t xml:space="preserve">    - active_batch</w:t>
        <w:br/>
        <w:t xml:space="preserve">    - sequence_length_bucket</w:t>
        <w:br/>
        <w:t xml:space="preserve">    - kv_cache_pressure</w:t>
        <w:br/>
        <w:t xml:space="preserve">    - prefix_reuse_rate</w:t>
        <w:br/>
        <w:t xml:space="preserve">    - latency_budget</w:t>
        <w:br/>
        <w:t xml:space="preserve">    - collective_cost</w:t>
        <w:br/>
        <w:t xml:space="preserve">  fallback_order:</w:t>
        <w:br/>
        <w:t xml:space="preserve">    - nearest_larger_shape_bucket</w:t>
        <w:br/>
        <w:t xml:space="preserve">    - generic_safe_decode_variant</w:t>
        <w:br/>
        <w:t xml:space="preserve">    - compiler_defined_error_or_throttle_policy</w:t>
        <w:br/>
        <w:t xml:space="preserve">  forbidden_paths:</w:t>
        <w:br/>
        <w:t xml:space="preserve">    - scale_out_for_latency_critical_decode_without_explicit_contract</w:t>
      </w:r>
    </w:p>
    <w:p>
      <w:pPr/>
      <w:r>
        <w:t>RuntimeFeedbackIR records observed latency, bandwidth, HBM use, KV cache hit rate, collective cost, kernel occupancy or MXU utilization, shape distribution, guard failures, and fallback frequency. This feedback can drive profile-guided recompilation, revised bucket boundaries, improved sharding choices, and more accurate target cost models.</w:t>
      </w:r>
    </w:p>
    <w:p>
      <w:pPr>
        <w:pStyle w:val="Heading2"/>
      </w:pPr>
      <w:r>
        <w:t>D.15 Dynamic Decode and Hybrid Compilation Diagnostics</w:t>
      </w:r>
    </w:p>
    <w:p>
      <w:pPr/>
      <w:r>
        <w:t>The gatekeeper should distinguish semantic legality from dynamic performance validity. A schedule may be semantically valid yet performance-invalid if it assumes a static sequence length during decode, lacks a bucket for a common runtime shape, or places per-token communication on scale-out fabric.</w:t>
      </w:r>
    </w:p>
    <w:p>
      <w:pPr>
        <w:pStyle w:val="CodeBlock"/>
      </w:pPr>
      <w:r>
        <w:t>CDYN-001 DecodeSequenceLengthAssumedStatic</w:t>
        <w:br/>
        <w:t>CDYN-002 MissingSequenceLengthUpperBound</w:t>
        <w:br/>
        <w:t>CDYN-003 DynamicShapeBucketMissing</w:t>
        <w:br/>
        <w:t>CDYN-004 RuntimeShapeGuardFailed</w:t>
        <w:br/>
        <w:t>CDYN-005 KVBlockCountExceedsProfile</w:t>
        <w:br/>
        <w:t>CDYN-006 DecodeKernelVariantMissing</w:t>
        <w:br/>
        <w:t>CDYN-007 RuntimeDispatchPolicyMissing</w:t>
        <w:br/>
        <w:t>CDYN-008 ShapeBucketPerformanceRegression</w:t>
        <w:br/>
        <w:t>CDYN-009 ScaleOutCommunicationInDecodeCriticalPath</w:t>
        <w:br/>
        <w:t>CDYN-010 DynamicShapeBreaksRolloutInferenceEquivalence</w:t>
        <w:br/>
        <w:t>CDYN-011 OnlineSpecializationOutsideCertifiedBounds</w:t>
        <w:br/>
        <w:t>CDYN-012 RuntimeFeedbackMissingForProfileGuidedOptimization</w:t>
      </w:r>
    </w:p>
    <w:p>
      <w:pPr>
        <w:pStyle w:val="Heading2"/>
      </w:pPr>
      <w:r>
        <w:t>D.16 Dynamic Shape Representation in the Tensor Type System</w:t>
      </w:r>
    </w:p>
    <w:p>
      <w:pPr/>
      <w:r>
        <w:t>Dynamic shape is a first-class type-system concern. The compiler must not treat decode-time sequence length, active batch membership, KV/state block count, or data-dependent routing sizes as informal runtime metadata. These facts must be represented in TensorDescriptorIR so that legality checks, sharding, memory planning, dispatch/reduce generation, runtime variant selection, and performance modeling all operate on the same typed information.</w:t>
      </w:r>
    </w:p>
    <w:p>
      <w:pPr>
        <w:pStyle w:val="CodeBlock"/>
      </w:pPr>
      <w:r>
        <w:t>Design rule:</w:t>
        <w:br/>
        <w:t xml:space="preserve">  TENSOR_KIND stays flat.</w:t>
        <w:br/>
        <w:t xml:space="preserve">  TensorTraitSet expresses semantic contracts.</w:t>
        <w:br/>
        <w:t xml:space="preserve">  TensorShapeDescriptor expresses static, symbolic, bounded dynamic, runtime-evolving, derived, and data-dependent dimensions.</w:t>
        <w:br/>
        <w:t xml:space="preserve">  RuntimeShapeStateIR records the live values observed by the runtime.</w:t>
        <w:br/>
        <w:t xml:space="preserve">  ShapeGuardIR and ShapeBucketIR bind dynamic execution to compiler-certified bounds.</w:t>
      </w:r>
    </w:p>
    <w:p>
      <w:pPr/>
      <w:r>
        <w:t>The tensor descriptor should therefore contain a shape subsystem rather than a single opaque shape field.</w:t>
      </w:r>
    </w:p>
    <w:p>
      <w:pPr>
        <w:pStyle w:val="CodeBlock"/>
      </w:pPr>
      <w:r>
        <w:t>TensorDescriptorIR:</w:t>
        <w:br/>
        <w:t xml:space="preserve">  kind: TENSOR_KIND</w:t>
        <w:br/>
        <w:t xml:space="preserve">  traits: TensorTraitSet</w:t>
        <w:br/>
        <w:t xml:space="preserve">  element_type: ElementType</w:t>
        <w:br/>
        <w:t xml:space="preserve">  shape: TensorShapeDescriptor</w:t>
        <w:br/>
        <w:t xml:space="preserve">  sharding: TensorShardingDescriptor</w:t>
        <w:br/>
        <w:t xml:space="preserve">  placement: TensorPlacementDescriptor</w:t>
        <w:br/>
        <w:t xml:space="preserve">  memory: TensorMemoryDescriptor</w:t>
        <w:br/>
        <w:t xml:space="preserve">  runtime_state: RuntimeShapeStateDescriptor</w:t>
        <w:br/>
        <w:t xml:space="preserve">  metadata: TensorLineageMetadata</w:t>
      </w:r>
    </w:p>
    <w:p>
      <w:pPr/>
      <w:r>
        <w:t>TensorShapeDescriptor classifies each dimension according to how the compiler may reason about it. This avoids confusing a truly static shape, a symbolic model parameter, a bounded runtime value, a decode-time evolving value, a derived block count, and a data-dependent MoE routing count.</w:t>
      </w:r>
    </w:p>
    <w:p>
      <w:pPr>
        <w:pStyle w:val="CodeBlock"/>
      </w:pPr>
      <w:r>
        <w:t>Dimension classes:</w:t>
        <w:br/>
        <w:t xml:space="preserve">  StaticDim: known at compile time, such as head_dim = 128.</w:t>
        <w:br/>
        <w:t xml:space="preserve">  SymbolicDim: compile-time symbolic, such as hidden_dim = H.</w:t>
        <w:br/>
        <w:t xml:space="preserve">  BoundedDynamicDim: runtime value with min/max bounds, such as active_batch in [1, B_max].</w:t>
        <w:br/>
        <w:t xml:space="preserve">  RuntimeEvolvingDim: changes during execution, such as S_req(t) during decode.</w:t>
        <w:br/>
        <w:t xml:space="preserve">  DerivedDynamicDim: computed from other symbols, such as K_blocks = ceil(S_req / block_size).</w:t>
        <w:br/>
        <w:t xml:space="preserve">  DataDependentDim: depends on tensor values, such as number of tokens routed to an MoE expert.</w:t>
      </w:r>
    </w:p>
    <w:p>
      <w:pPr/>
      <w:r>
        <w:t>Decode sequence length should be modeled as RuntimeEvolvingDim with an explicit update rule. The type system should say that the shape evolves monotonically per request and remains bounded by the model and runtime contract.</w:t>
      </w:r>
    </w:p>
    <w:p>
      <w:pPr>
        <w:pStyle w:val="CodeBlock"/>
      </w:pPr>
      <w:r>
        <w:t>dimension:</w:t>
        <w:br/>
        <w:t xml:space="preserve">  name: sequence_position</w:t>
        <w:br/>
        <w:t xml:space="preserve">  class: RuntimeEvolvingDim</w:t>
        <w:br/>
        <w:t xml:space="preserve">  symbol: S_req</w:t>
        <w:br/>
        <w:t xml:space="preserve">  bounds: [prompt_len, max_context_length]</w:t>
        <w:br/>
        <w:t xml:space="preserve">  update_rule: S_req(t + 1) = S_req(t) + generated_tokens_per_step</w:t>
        <w:br/>
        <w:t xml:space="preserve">  monotonic: true</w:t>
      </w:r>
    </w:p>
    <w:p>
      <w:pPr/>
      <w:r>
        <w:t>Shape symbols and derived formulas must be available to sharding, memory planning, and scheduling. For example, a paged KV cache does not have one static dense sequence dimension; it has a logical sequence length and a physical block count derived from that sequence length.</w:t>
      </w:r>
    </w:p>
    <w:p>
      <w:pPr>
        <w:pStyle w:val="CodeBlock"/>
      </w:pPr>
      <w:r>
        <w:t>shape_symbols:</w:t>
        <w:br/>
        <w:t xml:space="preserve">  B_active:</w:t>
        <w:br/>
        <w:t xml:space="preserve">    meaning: active decode batch size</w:t>
        <w:br/>
        <w:t xml:space="preserve">    class: BoundedDynamicDim</w:t>
        <w:br/>
        <w:t xml:space="preserve">    bounds: [1, B_max]</w:t>
        <w:br/>
        <w:br/>
        <w:t xml:space="preserve">  S_req:</w:t>
        <w:br/>
        <w:t xml:space="preserve">    meaning: current request sequence length</w:t>
        <w:br/>
        <w:t xml:space="preserve">    class: RuntimeEvolvingDim</w:t>
        <w:br/>
        <w:t xml:space="preserve">    bounds: [0, max_context_length]</w:t>
        <w:br/>
        <w:br/>
        <w:t xml:space="preserve">  K_blocks:</w:t>
        <w:br/>
        <w:t xml:space="preserve">    meaning: KV cache physical block count</w:t>
        <w:br/>
        <w:t xml:space="preserve">    class: DerivedDynamicDim</w:t>
        <w:br/>
        <w:t xml:space="preserve">    expression: ceil(S_req / kv_block_size)</w:t>
      </w:r>
    </w:p>
    <w:p>
      <w:pPr/>
      <w:r>
        <w:t>Sharding must preserve these formulas. If the sequence dimension is sharded for context parallelism, the global sequence symbol remains S_req while the local sequence length becomes a derived expression.</w:t>
      </w:r>
    </w:p>
    <w:p>
      <w:pPr>
        <w:pStyle w:val="CodeBlock"/>
      </w:pPr>
      <w:r>
        <w:t>context_parallel_sharding:</w:t>
        <w:br/>
        <w:t xml:space="preserve">  global_shape:</w:t>
        <w:br/>
        <w:t xml:space="preserve">    sequence: S_req</w:t>
        <w:br/>
        <w:t xml:space="preserve">  shard_axis: sequence</w:t>
        <w:br/>
        <w:t xml:space="preserve">  partitions: CP</w:t>
        <w:br/>
        <w:t xml:space="preserve">  local_shape:</w:t>
        <w:br/>
        <w:t xml:space="preserve">    sequence: ceil_div(S_req, CP)</w:t>
        <w:br/>
        <w:t xml:space="preserve">  constraints:</w:t>
        <w:br/>
        <w:t xml:space="preserve">    - S_req &lt;= max_context_length</w:t>
        <w:br/>
        <w:t xml:space="preserve">    - CP chosen by ParallelizationChoiceIR</w:t>
        <w:br/>
        <w:t xml:space="preserve">    - padding_or_remainder_policy declared</w:t>
      </w:r>
    </w:p>
    <w:p>
      <w:pPr/>
      <w:r>
        <w:t>For decode KV/state tensors, the type system must distinguish logical dynamic shape from physical runtime layout. The logical type describes request, layer, head, sequence, and head dimension. The physical layout describes pages, blocks, block tables, prefix hashes, and allocation handles.</w:t>
      </w:r>
    </w:p>
    <w:p>
      <w:pPr>
        <w:pStyle w:val="CodeBlock"/>
      </w:pPr>
      <w:r>
        <w:t>tensor:</w:t>
        <w:br/>
        <w:t xml:space="preserve">  kind: TENSOR_KIND</w:t>
        <w:br/>
        <w:t xml:space="preserve">  traits:</w:t>
        <w:br/>
        <w:t xml:space="preserve">    - RuntimeStateTensorTrait</w:t>
        <w:br/>
        <w:t xml:space="preserve">    - AttentionStateTensorTrait</w:t>
        <w:br/>
        <w:t xml:space="preserve">    - KVCacheStateTensorTrait</w:t>
        <w:br/>
        <w:t xml:space="preserve">    - DynamicSequenceLengthTrait</w:t>
        <w:br/>
        <w:t xml:space="preserve">    - RequestScopedTensorTrait</w:t>
        <w:br/>
        <w:br/>
        <w:t xml:space="preserve">  logical_shape:</w:t>
        <w:br/>
        <w:t xml:space="preserve">    request: B_active</w:t>
        <w:br/>
        <w:t xml:space="preserve">    layer: L</w:t>
        <w:br/>
        <w:t xml:space="preserve">    kv_head: H_kv</w:t>
        <w:br/>
        <w:t xml:space="preserve">    sequence: S_req</w:t>
        <w:br/>
        <w:t xml:space="preserve">    head_dim: D</w:t>
        <w:br/>
        <w:br/>
        <w:t xml:space="preserve">  runtime_layout:</w:t>
        <w:br/>
        <w:t xml:space="preserve">    representation: paged_block_cache</w:t>
        <w:br/>
        <w:t xml:space="preserve">    block_size: kv_block_size</w:t>
        <w:br/>
        <w:t xml:space="preserve">    block_count: K_blocks</w:t>
        <w:br/>
        <w:t xml:space="preserve">    physical_blocks: runtime_allocated</w:t>
        <w:br/>
        <w:t xml:space="preserve">    block_table: runtime_state_handle</w:t>
        <w:br/>
        <w:t xml:space="preserve">    prefix_hash: runtime_state_handle</w:t>
      </w:r>
    </w:p>
    <w:p>
      <w:pPr/>
      <w:r>
        <w:t>Dynamic shape contracts should carry bounds, buckets, and guards. The compiler generates optimized shape-family variants, and the runtime selects only among variants whose guards are satisfied.</w:t>
      </w:r>
    </w:p>
    <w:p>
      <w:pPr>
        <w:pStyle w:val="CodeBlock"/>
      </w:pPr>
      <w:r>
        <w:t>dynamic_shape_contract:</w:t>
        <w:br/>
        <w:t xml:space="preserve">  max_batch: B_max</w:t>
        <w:br/>
        <w:t xml:space="preserve">  max_context_length: S_max</w:t>
        <w:br/>
        <w:t xml:space="preserve">  kv_block_size: block_size</w:t>
        <w:br/>
        <w:t xml:space="preserve">  max_kv_blocks_per_request: ceil(S_max / block_size)</w:t>
        <w:br/>
        <w:t xml:space="preserve">  supported_decode_buckets:</w:t>
        <w:br/>
        <w:t xml:space="preserve">    - seq_len: [0, 512]</w:t>
        <w:br/>
        <w:t xml:space="preserve">    - seq_len: [513, 2048]</w:t>
        <w:br/>
        <w:t xml:space="preserve">    - seq_len: [2049, 8192]</w:t>
        <w:br/>
        <w:t xml:space="preserve">    - seq_len: [8193, 32768]</w:t>
        <w:br/>
        <w:t xml:space="preserve">    - seq_len: [32769, S_max]</w:t>
        <w:br/>
        <w:t xml:space="preserve">  guards:</w:t>
        <w:br/>
        <w:t xml:space="preserve">    - B_active &lt;= B_max</w:t>
        <w:br/>
        <w:t xml:space="preserve">    - S_req &lt;= S_max</w:t>
        <w:br/>
        <w:t xml:space="preserve">    - K_blocks &lt;= max_kv_blocks_per_request</w:t>
      </w:r>
    </w:p>
    <w:p>
      <w:pPr/>
      <w:r>
        <w:t>Dynamic shape traits identify tensors that participate in dynamic shape contracts. The trait declares the contract role; the descriptor carries the actual symbols, formulas, bounds, and guards. Dynamic shape should not introduce a new tensor kind.</w:t>
      </w:r>
    </w:p>
    <w:p>
      <w:pPr>
        <w:pStyle w:val="CodeBlock"/>
      </w:pPr>
      <w:r>
        <w:t>Valid structure:</w:t>
        <w:br/>
        <w:t xml:space="preserve">  kind: TENSOR_KIND</w:t>
        <w:br/>
        <w:t xml:space="preserve">  traits:</w:t>
        <w:br/>
        <w:t xml:space="preserve">    - ActivationTensorTrait</w:t>
        <w:br/>
        <w:t xml:space="preserve">    - DynamicSequenceLengthTrait</w:t>
        <w:br/>
        <w:t xml:space="preserve">  shape:</w:t>
        <w:br/>
        <w:t xml:space="preserve">    sequence: S_req</w:t>
        <w:br/>
        <w:t xml:space="preserve">    bounds: [0, max_context_length]</w:t>
        <w:br/>
        <w:br/>
        <w:t>Invalid structure:</w:t>
        <w:br/>
        <w:t xml:space="preserve">  kind: DYNAMIC_SEQUENCE_TENSOR_KIND</w:t>
      </w:r>
    </w:p>
    <w:p>
      <w:pPr/>
      <w:r>
        <w:t>Every transformation that changes shape facts must emit a TensorMetadataTransitionIR entry. Decode append, sharding, resharding, MoE routing, KV block allocation, and runtime fallback all update the shape descriptor or runtime shape state.</w:t>
      </w:r>
    </w:p>
    <w:p>
      <w:pPr>
        <w:pStyle w:val="CodeBlock"/>
      </w:pPr>
      <w:r>
        <w:t>shape_transition:</w:t>
        <w:br/>
        <w:t xml:space="preserve">  operation: decode_append_token</w:t>
        <w:br/>
        <w:t xml:space="preserve">  tensor: kv_cache.layer_0</w:t>
        <w:br/>
        <w:t xml:space="preserve">  from:</w:t>
        <w:br/>
        <w:t xml:space="preserve">    sequence: S_req(t)</w:t>
        <w:br/>
        <w:t xml:space="preserve">  to:</w:t>
        <w:br/>
        <w:t xml:space="preserve">    sequence: S_req(t) + 1</w:t>
        <w:br/>
        <w:t xml:space="preserve">    kv_blocks: ceil((S_req(t) + 1) / kv_block_size)</w:t>
        <w:br/>
        <w:t xml:space="preserve">  metadata_update:</w:t>
        <w:br/>
        <w:t xml:space="preserve">    - update_request_seq_len</w:t>
        <w:br/>
        <w:t xml:space="preserve">    - allocate_new_block_if_needed</w:t>
        <w:br/>
        <w:t xml:space="preserve">    - update_block_table</w:t>
        <w:br/>
        <w:t xml:space="preserve">    - update_prefix_hash</w:t>
      </w:r>
    </w:p>
    <w:p>
      <w:pPr/>
      <w:r>
        <w:t>The gatekeeper should add a CSHAPE diagnostic family to distinguish type-system dynamic shape failures from runtime performance-policy failures.</w:t>
      </w:r>
    </w:p>
    <w:p>
      <w:pPr>
        <w:pStyle w:val="CodeBlock"/>
      </w:pPr>
      <w:r>
        <w:t>CSHAPE-001 MissingDynamicShapeDescriptor</w:t>
        <w:br/>
        <w:t>CSHAPE-002 RuntimeEvolvingDimMissingUpdateRule</w:t>
        <w:br/>
        <w:t>CSHAPE-003 MissingUpperBoundForDynamicDim</w:t>
        <w:br/>
        <w:t>CSHAPE-004 DerivedDynamicDimFormulaMissing</w:t>
        <w:br/>
        <w:t>CSHAPE-005 ShardedDynamicDimLocalShapeInvalid</w:t>
        <w:br/>
        <w:t>CSHAPE-006 ShapeGuardMissing</w:t>
        <w:br/>
        <w:t>CSHAPE-007 RuntimeShapeStateNotBound</w:t>
        <w:br/>
        <w:t>CSHAPE-008 DynamicShapeProfileMissing</w:t>
        <w:br/>
        <w:t>CSHAPE-009 DynamicShapeTraitDescriptorMismatch</w:t>
        <w:br/>
        <w:t>CSHAPE-010 DecodeSequenceLengthAssumedStatic</w:t>
      </w:r>
    </w:p>
    <w:p>
      <w:pPr/>
      <w:r>
        <w:t>The result is a flat but precise type system: one TENSOR_KIND, composable TensorTraits, and a rich TensorShapeDescriptor that carries dynamic shape as typed, bounded, guarded, and transformation-tracked information.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cantSplit/>
          <w:tblHeader w:val="true"/>
        </w:trPr>
        <w:tc>
          <w:tcPr>
            <w:tcW w:type="dxa" w:w="2088"/>
            <w:vAlign w:val="center"/>
            <w:shd w:fill="1F2937"/>
          </w:tcPr>
          <w:p>
            <w:r/>
            <w:r>
              <w:rPr>
                <w:rFonts w:ascii="Aptos" w:hAnsi="Aptos"/>
                <w:b/>
                <w:color w:val="FFFFFF"/>
                <w:sz w:val="18"/>
              </w:rPr>
              <w:t>ResNet element</w:t>
            </w:r>
          </w:p>
        </w:tc>
        <w:tc>
          <w:tcPr>
            <w:tcW w:type="dxa" w:w="3888"/>
            <w:vAlign w:val="center"/>
            <w:shd w:fill="1F2937"/>
          </w:tcPr>
          <w:p>
            <w:r/>
            <w:r>
              <w:rPr>
                <w:rFonts w:ascii="Aptos" w:hAnsi="Aptos"/>
                <w:b/>
                <w:color w:val="FFFFFF"/>
                <w:sz w:val="18"/>
              </w:rPr>
              <w:t>CNN-domain semantic representation</w:t>
            </w:r>
          </w:p>
        </w:tc>
        <w:tc>
          <w:tcPr>
            <w:tcW w:type="dxa" w:w="4536"/>
            <w:vAlign w:val="center"/>
            <w:shd w:fill="1F2937"/>
          </w:tcPr>
          <w:p>
            <w:r/>
            <w:r>
              <w:rPr>
                <w:rFonts w:ascii="Aptos" w:hAnsi="Aptos"/>
                <w:b/>
                <w:color w:val="FFFFFF"/>
                <w:sz w:val="18"/>
              </w:rPr>
              <w:t>Why it matters</w:t>
            </w:r>
          </w:p>
        </w:tc>
      </w:tr>
      <w:tr>
        <w:trPr>
          <w:cantSplit/>
          <w:cantSplit/>
        </w:trPr>
        <w:tc>
          <w:tcPr>
            <w:tcW w:type="dxa" w:w="2088"/>
            <w:vAlign w:val="center"/>
          </w:tcPr>
          <w:p>
            <w:r/>
            <w:r>
              <w:rPr>
                <w:rFonts w:ascii="Aptos" w:hAnsi="Aptos"/>
                <w:b w:val="0"/>
                <w:sz w:val="18"/>
              </w:rPr>
              <w:t>Input image</w:t>
            </w:r>
          </w:p>
        </w:tc>
        <w:tc>
          <w:tcPr>
            <w:tcW w:type="dxa" w:w="3888"/>
            <w:vAlign w:val="center"/>
          </w:tcPr>
          <w:p>
            <w:r/>
            <w:r>
              <w:rPr>
                <w:rFonts w:ascii="Aptos" w:hAnsi="Aptos"/>
                <w:b w:val="0"/>
                <w:sz w:val="18"/>
              </w:rPr>
              <w:t>cnn.input_image + cnn.preprocess_contract</w:t>
            </w:r>
          </w:p>
        </w:tc>
        <w:tc>
          <w:tcPr>
            <w:tcW w:type="dxa" w:w="4536"/>
            <w:vAlign w:val="center"/>
          </w:tcPr>
          <w:p>
            <w:r/>
            <w:r>
              <w:rPr>
                <w:rFonts w:ascii="Aptos" w:hAnsi="Aptos"/>
                <w:b w:val="0"/>
                <w:sz w:val="18"/>
              </w:rPr>
              <w:t>Defines RGB/BGR, layout, dtype, resize/crop/normalization ABI.</w:t>
            </w:r>
          </w:p>
        </w:tc>
      </w:tr>
      <w:tr>
        <w:trPr>
          <w:cantSplit/>
          <w:cantSplit/>
        </w:trPr>
        <w:tc>
          <w:tcPr>
            <w:tcW w:type="dxa" w:w="2088"/>
            <w:vAlign w:val="center"/>
          </w:tcPr>
          <w:p>
            <w:r/>
            <w:r>
              <w:rPr>
                <w:rFonts w:ascii="Aptos" w:hAnsi="Aptos"/>
                <w:b w:val="0"/>
                <w:sz w:val="18"/>
              </w:rPr>
              <w:t>Stem convolution</w:t>
            </w:r>
          </w:p>
        </w:tc>
        <w:tc>
          <w:tcPr>
            <w:tcW w:type="dxa" w:w="3888"/>
            <w:vAlign w:val="center"/>
          </w:tcPr>
          <w:p>
            <w:r/>
            <w:r>
              <w:rPr>
                <w:rFonts w:ascii="Aptos" w:hAnsi="Aptos"/>
                <w:b w:val="0"/>
                <w:sz w:val="18"/>
              </w:rPr>
              <w:t>cnn.conv2d + cnn.batch_norm_infer + cnn.relu + cnn.max_pool2d</w:t>
            </w:r>
          </w:p>
        </w:tc>
        <w:tc>
          <w:tcPr>
            <w:tcW w:type="dxa" w:w="4536"/>
            <w:vAlign w:val="center"/>
          </w:tcPr>
          <w:p>
            <w:r/>
            <w:r>
              <w:rPr>
                <w:rFonts w:ascii="Aptos" w:hAnsi="Aptos"/>
                <w:b w:val="0"/>
                <w:sz w:val="18"/>
              </w:rPr>
              <w:t>Preserves conv/padding/stride/layout and initial downsampling.</w:t>
            </w:r>
          </w:p>
        </w:tc>
      </w:tr>
      <w:tr>
        <w:trPr>
          <w:cantSplit/>
          <w:cantSplit/>
        </w:trPr>
        <w:tc>
          <w:tcPr>
            <w:tcW w:type="dxa" w:w="2088"/>
            <w:vAlign w:val="center"/>
          </w:tcPr>
          <w:p>
            <w:r/>
            <w:r>
              <w:rPr>
                <w:rFonts w:ascii="Aptos" w:hAnsi="Aptos"/>
                <w:b w:val="0"/>
                <w:sz w:val="18"/>
              </w:rPr>
              <w:t>BasicBlock</w:t>
            </w:r>
          </w:p>
        </w:tc>
        <w:tc>
          <w:tcPr>
            <w:tcW w:type="dxa" w:w="3888"/>
            <w:vAlign w:val="center"/>
          </w:tcPr>
          <w:p>
            <w:r/>
            <w:r>
              <w:rPr>
                <w:rFonts w:ascii="Aptos" w:hAnsi="Aptos"/>
                <w:b w:val="0"/>
                <w:sz w:val="18"/>
              </w:rPr>
              <w:t>cnn.basic_block macro + executable conv/bn/relu/residual ops</w:t>
            </w:r>
          </w:p>
        </w:tc>
        <w:tc>
          <w:tcPr>
            <w:tcW w:type="dxa" w:w="4536"/>
            <w:vAlign w:val="center"/>
          </w:tcPr>
          <w:p>
            <w:r/>
            <w:r>
              <w:rPr>
                <w:rFonts w:ascii="Aptos" w:hAnsi="Aptos"/>
                <w:b w:val="0"/>
                <w:sz w:val="18"/>
              </w:rPr>
              <w:t>Preserves ResNet-18/34 residual block structure.</w:t>
            </w:r>
          </w:p>
        </w:tc>
      </w:tr>
      <w:tr>
        <w:trPr>
          <w:cantSplit/>
          <w:cantSplit/>
        </w:trPr>
        <w:tc>
          <w:tcPr>
            <w:tcW w:type="dxa" w:w="2088"/>
            <w:vAlign w:val="center"/>
          </w:tcPr>
          <w:p>
            <w:r/>
            <w:r>
              <w:rPr>
                <w:rFonts w:ascii="Aptos" w:hAnsi="Aptos"/>
                <w:b w:val="0"/>
                <w:sz w:val="18"/>
              </w:rPr>
              <w:t>Bottleneck</w:t>
            </w:r>
          </w:p>
        </w:tc>
        <w:tc>
          <w:tcPr>
            <w:tcW w:type="dxa" w:w="3888"/>
            <w:vAlign w:val="center"/>
          </w:tcPr>
          <w:p>
            <w:r/>
            <w:r>
              <w:rPr>
                <w:rFonts w:ascii="Aptos" w:hAnsi="Aptos"/>
                <w:b w:val="0"/>
                <w:sz w:val="18"/>
              </w:rPr>
              <w:t>cnn.bottleneck_block macro + 1x1/3x3/1x1 convs</w:t>
            </w:r>
          </w:p>
        </w:tc>
        <w:tc>
          <w:tcPr>
            <w:tcW w:type="dxa" w:w="4536"/>
            <w:vAlign w:val="center"/>
          </w:tcPr>
          <w:p>
            <w:r/>
            <w:r>
              <w:rPr>
                <w:rFonts w:ascii="Aptos" w:hAnsi="Aptos"/>
                <w:b w:val="0"/>
                <w:sz w:val="18"/>
              </w:rPr>
              <w:t>Preserves ResNet-50/101/152 bottleneck expansion and projection semantics.</w:t>
            </w:r>
          </w:p>
        </w:tc>
      </w:tr>
      <w:tr>
        <w:trPr>
          <w:cantSplit/>
          <w:cantSplit/>
        </w:trPr>
        <w:tc>
          <w:tcPr>
            <w:tcW w:type="dxa" w:w="2088"/>
            <w:vAlign w:val="center"/>
          </w:tcPr>
          <w:p>
            <w:r/>
            <w:r>
              <w:rPr>
                <w:rFonts w:ascii="Aptos" w:hAnsi="Aptos"/>
                <w:b w:val="0"/>
                <w:sz w:val="18"/>
              </w:rPr>
              <w:t>Shortcut branch</w:t>
            </w:r>
          </w:p>
        </w:tc>
        <w:tc>
          <w:tcPr>
            <w:tcW w:type="dxa" w:w="3888"/>
            <w:vAlign w:val="center"/>
          </w:tcPr>
          <w:p>
            <w:r/>
            <w:r>
              <w:rPr>
                <w:rFonts w:ascii="Aptos" w:hAnsi="Aptos"/>
                <w:b w:val="0"/>
                <w:sz w:val="18"/>
              </w:rPr>
              <w:t>cnn.identity_shortcut or cnn.projection_shortcut</w:t>
            </w:r>
          </w:p>
        </w:tc>
        <w:tc>
          <w:tcPr>
            <w:tcW w:type="dxa" w:w="4536"/>
            <w:vAlign w:val="center"/>
          </w:tcPr>
          <w:p>
            <w:r/>
            <w:r>
              <w:rPr>
                <w:rFonts w:ascii="Aptos" w:hAnsi="Aptos"/>
                <w:b w:val="0"/>
                <w:sz w:val="18"/>
              </w:rPr>
              <w:t>Ensures residual branch shape alignment.</w:t>
            </w:r>
          </w:p>
        </w:tc>
      </w:tr>
      <w:tr>
        <w:trPr>
          <w:cantSplit/>
          <w:cantSplit/>
        </w:trPr>
        <w:tc>
          <w:tcPr>
            <w:tcW w:type="dxa" w:w="2088"/>
            <w:vAlign w:val="center"/>
          </w:tcPr>
          <w:p>
            <w:r/>
            <w:r>
              <w:rPr>
                <w:rFonts w:ascii="Aptos" w:hAnsi="Aptos"/>
                <w:b w:val="0"/>
                <w:sz w:val="18"/>
              </w:rPr>
              <w:t>Residual merge</w:t>
            </w:r>
          </w:p>
        </w:tc>
        <w:tc>
          <w:tcPr>
            <w:tcW w:type="dxa" w:w="3888"/>
            <w:vAlign w:val="center"/>
          </w:tcPr>
          <w:p>
            <w:r/>
            <w:r>
              <w:rPr>
                <w:rFonts w:ascii="Aptos" w:hAnsi="Aptos"/>
                <w:b w:val="0"/>
                <w:sz w:val="18"/>
              </w:rPr>
              <w:t>cnn.residual_add + cnn.residual_post_activation</w:t>
            </w:r>
          </w:p>
        </w:tc>
        <w:tc>
          <w:tcPr>
            <w:tcW w:type="dxa" w:w="4536"/>
            <w:vAlign w:val="center"/>
          </w:tcPr>
          <w:p>
            <w:r/>
            <w:r>
              <w:rPr>
                <w:rFonts w:ascii="Aptos" w:hAnsi="Aptos"/>
                <w:b w:val="0"/>
                <w:sz w:val="18"/>
              </w:rPr>
              <w:t>Preserves branch merge semantics.</w:t>
            </w:r>
          </w:p>
        </w:tc>
      </w:tr>
      <w:tr>
        <w:trPr>
          <w:cantSplit/>
          <w:cantSplit/>
        </w:trPr>
        <w:tc>
          <w:tcPr>
            <w:tcW w:type="dxa" w:w="2088"/>
            <w:vAlign w:val="center"/>
          </w:tcPr>
          <w:p>
            <w:r/>
            <w:r>
              <w:rPr>
                <w:rFonts w:ascii="Aptos" w:hAnsi="Aptos"/>
                <w:b w:val="0"/>
                <w:sz w:val="18"/>
              </w:rPr>
              <w:t>Classifier head</w:t>
            </w:r>
          </w:p>
        </w:tc>
        <w:tc>
          <w:tcPr>
            <w:tcW w:type="dxa" w:w="3888"/>
            <w:vAlign w:val="center"/>
          </w:tcPr>
          <w:p>
            <w:r/>
            <w:r>
              <w:rPr>
                <w:rFonts w:ascii="Aptos" w:hAnsi="Aptos"/>
                <w:b w:val="0"/>
                <w:sz w:val="18"/>
              </w:rPr>
              <w:t>cnn.adaptive_avg_pool2d + cnn.flatten + cnn.linear + cnn.output_logits</w:t>
            </w:r>
          </w:p>
        </w:tc>
        <w:tc>
          <w:tcPr>
            <w:tcW w:type="dxa" w:w="4536"/>
            <w:vAlign w:val="center"/>
          </w:tcPr>
          <w:p>
            <w:r/>
            <w:r>
              <w:rPr>
                <w:rFonts w:ascii="Aptos" w:hAnsi="Aptos"/>
                <w:b w:val="0"/>
                <w:sz w:val="18"/>
              </w:rPr>
              <w:t>Preserves global pooling and logits interpretation.</w:t>
            </w:r>
          </w:p>
        </w:tc>
      </w:tr>
    </w:tbl>
    <w:tbl>
      <w:tblPr>
        <w:tblStyle w:val="TableGrid"/>
        <w:tblW w:type="auto" w:w="0"/>
        <w:jc w:val="center"/>
        <w:tblLook w:firstColumn="1" w:firstRow="1" w:lastColumn="0" w:lastRow="0" w:noHBand="0" w:noVBand="1" w:val="04A0"/>
      </w:tblPr>
      <w:tblGrid>
        <w:gridCol w:w="3360"/>
        <w:gridCol w:w="3360"/>
        <w:gridCol w:w="3360"/>
      </w:tblGrid>
      <w:tr>
        <w:trPr>
          <w:tblHeader w:val="true"/>
          <w:cantSplit/>
          <w:cantSplit/>
          <w:tblHeader w:val="true"/>
        </w:trPr>
        <w:tc>
          <w:tcPr>
            <w:tcW w:type="dxa" w:w="2304"/>
            <w:vAlign w:val="center"/>
            <w:shd w:fill="1F2937"/>
          </w:tcPr>
          <w:p>
            <w:r/>
            <w:r>
              <w:rPr>
                <w:rFonts w:ascii="Aptos" w:hAnsi="Aptos"/>
                <w:b/>
                <w:color w:val="FFFFFF"/>
                <w:sz w:val="18"/>
              </w:rPr>
              <w:t>Category</w:t>
            </w:r>
          </w:p>
        </w:tc>
        <w:tc>
          <w:tcPr>
            <w:tcW w:type="dxa" w:w="4464"/>
            <w:vAlign w:val="center"/>
            <w:shd w:fill="1F2937"/>
          </w:tcPr>
          <w:p>
            <w:r/>
            <w:r>
              <w:rPr>
                <w:rFonts w:ascii="Aptos" w:hAnsi="Aptos"/>
                <w:b/>
                <w:color w:val="FFFFFF"/>
                <w:sz w:val="18"/>
              </w:rPr>
              <w:t>Examples</w:t>
            </w:r>
          </w:p>
        </w:tc>
        <w:tc>
          <w:tcPr>
            <w:tcW w:type="dxa" w:w="3744"/>
            <w:vAlign w:val="center"/>
            <w:shd w:fill="1F2937"/>
          </w:tcPr>
          <w:p>
            <w:r/>
            <w:r>
              <w:rPr>
                <w:rFonts w:ascii="Aptos" w:hAnsi="Aptos"/>
                <w:b/>
                <w:color w:val="FFFFFF"/>
                <w:sz w:val="18"/>
              </w:rPr>
              <w:t>Execution meaning</w:t>
            </w:r>
          </w:p>
        </w:tc>
      </w:tr>
      <w:tr>
        <w:trPr>
          <w:cantSplit/>
          <w:cantSplit/>
        </w:trPr>
        <w:tc>
          <w:tcPr>
            <w:tcW w:type="dxa" w:w="2304"/>
            <w:vAlign w:val="center"/>
          </w:tcPr>
          <w:p>
            <w:r/>
            <w:r>
              <w:rPr>
                <w:rFonts w:ascii="Aptos" w:hAnsi="Aptos"/>
                <w:b w:val="0"/>
                <w:sz w:val="18"/>
              </w:rPr>
              <w:t>Executable compute/dataflow opcodes</w:t>
            </w:r>
          </w:p>
        </w:tc>
        <w:tc>
          <w:tcPr>
            <w:tcW w:type="dxa" w:w="4464"/>
            <w:vAlign w:val="center"/>
          </w:tcPr>
          <w:p>
            <w:r/>
            <w:r>
              <w:rPr>
                <w:rFonts w:ascii="Aptos" w:hAnsi="Aptos"/>
                <w:b w:val="0"/>
                <w:sz w:val="18"/>
              </w:rPr>
              <w:t>cnn.conv2d, cnn.batch_norm_infer, cnn.relu, cnn.max_pool2d, cnn.residual_add, cnn.linear</w:t>
            </w:r>
          </w:p>
        </w:tc>
        <w:tc>
          <w:tcPr>
            <w:tcW w:type="dxa" w:w="3744"/>
            <w:vAlign w:val="center"/>
          </w:tcPr>
          <w:p>
            <w:r/>
            <w:r>
              <w:rPr>
                <w:rFonts w:ascii="Aptos" w:hAnsi="Aptos"/>
                <w:b w:val="0"/>
                <w:sz w:val="18"/>
              </w:rPr>
              <w:t>Perform numerical computation or data movement.</w:t>
            </w:r>
          </w:p>
        </w:tc>
      </w:tr>
      <w:tr>
        <w:trPr>
          <w:cantSplit/>
          <w:cantSplit/>
        </w:trPr>
        <w:tc>
          <w:tcPr>
            <w:tcW w:type="dxa" w:w="2304"/>
            <w:vAlign w:val="center"/>
          </w:tcPr>
          <w:p>
            <w:r/>
            <w:r>
              <w:rPr>
                <w:rFonts w:ascii="Aptos" w:hAnsi="Aptos"/>
                <w:b w:val="0"/>
                <w:sz w:val="18"/>
              </w:rPr>
              <w:t>Declaration / boundary ops</w:t>
            </w:r>
          </w:p>
        </w:tc>
        <w:tc>
          <w:tcPr>
            <w:tcW w:type="dxa" w:w="4464"/>
            <w:vAlign w:val="center"/>
          </w:tcPr>
          <w:p>
            <w:r/>
            <w:r>
              <w:rPr>
                <w:rFonts w:ascii="Aptos" w:hAnsi="Aptos"/>
                <w:b w:val="0"/>
                <w:sz w:val="18"/>
              </w:rPr>
              <w:t>cnn.model, cnn.stage, cnn.input_image, cnn.output_logits, cnn.feature_map</w:t>
            </w:r>
          </w:p>
        </w:tc>
        <w:tc>
          <w:tcPr>
            <w:tcW w:type="dxa" w:w="3744"/>
            <w:vAlign w:val="center"/>
          </w:tcPr>
          <w:p>
            <w:r/>
            <w:r>
              <w:rPr>
                <w:rFonts w:ascii="Aptos" w:hAnsi="Aptos"/>
                <w:b w:val="0"/>
                <w:sz w:val="18"/>
              </w:rPr>
              <w:t>Declare model structure or boundary tensors; usually no runtime math.</w:t>
            </w:r>
          </w:p>
        </w:tc>
      </w:tr>
      <w:tr>
        <w:trPr>
          <w:cantSplit/>
          <w:cantSplit/>
        </w:trPr>
        <w:tc>
          <w:tcPr>
            <w:tcW w:type="dxa" w:w="2304"/>
            <w:vAlign w:val="center"/>
          </w:tcPr>
          <w:p>
            <w:r/>
            <w:r>
              <w:rPr>
                <w:rFonts w:ascii="Aptos" w:hAnsi="Aptos"/>
                <w:b w:val="0"/>
                <w:sz w:val="18"/>
              </w:rPr>
              <w:t>Contract / verifier ops</w:t>
            </w:r>
          </w:p>
        </w:tc>
        <w:tc>
          <w:tcPr>
            <w:tcW w:type="dxa" w:w="4464"/>
            <w:vAlign w:val="center"/>
          </w:tcPr>
          <w:p>
            <w:r/>
            <w:r>
              <w:rPr>
                <w:rFonts w:ascii="Aptos" w:hAnsi="Aptos"/>
                <w:b w:val="0"/>
                <w:sz w:val="18"/>
              </w:rPr>
              <w:t>cnn.preprocess_contract, cnn.residual_shape_check, cnn.layout_contract_check</w:t>
            </w:r>
          </w:p>
        </w:tc>
        <w:tc>
          <w:tcPr>
            <w:tcW w:type="dxa" w:w="3744"/>
            <w:vAlign w:val="center"/>
          </w:tcPr>
          <w:p>
            <w:r/>
            <w:r>
              <w:rPr>
                <w:rFonts w:ascii="Aptos" w:hAnsi="Aptos"/>
                <w:b w:val="0"/>
                <w:sz w:val="18"/>
              </w:rPr>
              <w:t>Define compatibility obligations and checks.</w:t>
            </w:r>
          </w:p>
        </w:tc>
      </w:tr>
      <w:tr>
        <w:trPr>
          <w:cantSplit/>
          <w:cantSplit/>
        </w:trPr>
        <w:tc>
          <w:tcPr>
            <w:tcW w:type="dxa" w:w="2304"/>
            <w:vAlign w:val="center"/>
          </w:tcPr>
          <w:p>
            <w:r/>
            <w:r>
              <w:rPr>
                <w:rFonts w:ascii="Aptos" w:hAnsi="Aptos"/>
                <w:b w:val="0"/>
                <w:sz w:val="18"/>
              </w:rPr>
              <w:t>Lowering-policy ops</w:t>
            </w:r>
          </w:p>
        </w:tc>
        <w:tc>
          <w:tcPr>
            <w:tcW w:type="dxa" w:w="4464"/>
            <w:vAlign w:val="center"/>
          </w:tcPr>
          <w:p>
            <w:r/>
            <w:r>
              <w:rPr>
                <w:rFonts w:ascii="Aptos" w:hAnsi="Aptos"/>
                <w:b w:val="0"/>
                <w:sz w:val="18"/>
              </w:rPr>
              <w:t>cnn.conv_algorithm_choice, cnn.fusion_contract, cnn.quantization_contract</w:t>
            </w:r>
          </w:p>
        </w:tc>
        <w:tc>
          <w:tcPr>
            <w:tcW w:type="dxa" w:w="3744"/>
            <w:vAlign w:val="center"/>
          </w:tcPr>
          <w:p>
            <w:r/>
            <w:r>
              <w:rPr>
                <w:rFonts w:ascii="Aptos" w:hAnsi="Aptos"/>
                <w:b w:val="0"/>
                <w:sz w:val="18"/>
              </w:rPr>
              <w:t>Select or constrain implementation strategy without changing semantics.</w:t>
            </w:r>
          </w:p>
        </w:tc>
      </w:tr>
    </w:tbl>
    <w:tbl>
      <w:tblPr>
        <w:tblStyle w:val="TableGrid"/>
        <w:tblW w:type="auto" w:w="0"/>
        <w:jc w:val="center"/>
        <w:tblLook w:firstColumn="1" w:firstRow="1" w:lastColumn="0" w:lastRow="0" w:noHBand="0" w:noVBand="1" w:val="04A0"/>
      </w:tblPr>
      <w:tblGrid>
        <w:gridCol w:w="5040"/>
        <w:gridCol w:w="5040"/>
      </w:tblGrid>
      <w:tr>
        <w:trPr>
          <w:tblHeader w:val="true"/>
          <w:cantSplit/>
          <w:cantSplit/>
          <w:tblHeader w:val="true"/>
        </w:trPr>
        <w:tc>
          <w:tcPr>
            <w:tcW w:type="dxa" w:w="2160"/>
            <w:vAlign w:val="center"/>
            <w:shd w:fill="1F2937"/>
          </w:tcPr>
          <w:p>
            <w:r/>
            <w:r>
              <w:rPr>
                <w:rFonts w:ascii="Aptos" w:hAnsi="Aptos"/>
                <w:b/>
                <w:color w:val="FFFFFF"/>
                <w:sz w:val="18"/>
              </w:rPr>
              <w:t>Model family</w:t>
            </w:r>
          </w:p>
        </w:tc>
        <w:tc>
          <w:tcPr>
            <w:tcW w:type="dxa" w:w="8640"/>
            <w:vAlign w:val="center"/>
            <w:shd w:fill="1F2937"/>
          </w:tcPr>
          <w:p>
            <w:r/>
            <w:r>
              <w:rPr>
                <w:rFonts w:ascii="Aptos" w:hAnsi="Aptos"/>
                <w:b/>
                <w:color w:val="FFFFFF"/>
                <w:sz w:val="18"/>
              </w:rPr>
              <w:t>Required CNN-domain constructs</w:t>
            </w:r>
          </w:p>
        </w:tc>
      </w:tr>
      <w:tr>
        <w:trPr>
          <w:cantSplit/>
          <w:cantSplit/>
        </w:trPr>
        <w:tc>
          <w:tcPr>
            <w:tcW w:type="dxa" w:w="2160"/>
            <w:vAlign w:val="center"/>
          </w:tcPr>
          <w:p>
            <w:r/>
            <w:r>
              <w:rPr>
                <w:rFonts w:ascii="Aptos" w:hAnsi="Aptos"/>
                <w:b w:val="0"/>
                <w:sz w:val="18"/>
              </w:rPr>
              <w:t>ResNet-18/34</w:t>
            </w:r>
          </w:p>
        </w:tc>
        <w:tc>
          <w:tcPr>
            <w:tcW w:type="dxa" w:w="8640"/>
            <w:vAlign w:val="center"/>
          </w:tcPr>
          <w:p>
            <w:r/>
            <w:r>
              <w:rPr>
                <w:rFonts w:ascii="Aptos" w:hAnsi="Aptos"/>
                <w:b w:val="0"/>
                <w:sz w:val="18"/>
              </w:rPr>
              <w:t>cnn.input_image, cnn.preprocess_contract, cnn.conv2d, cnn.batch_norm_infer, cnn.relu, cnn.max_pool2d, cnn.basic_block, cnn.identity_shortcut, cnn.projection_shortcut, cnn.residual_add, cnn.adaptive_avg_pool2d, cnn.flatten, cnn.linear, cnn.output_logits</w:t>
            </w:r>
          </w:p>
        </w:tc>
      </w:tr>
      <w:tr>
        <w:trPr>
          <w:cantSplit/>
          <w:cantSplit/>
        </w:trPr>
        <w:tc>
          <w:tcPr>
            <w:tcW w:type="dxa" w:w="2160"/>
            <w:vAlign w:val="center"/>
          </w:tcPr>
          <w:p>
            <w:r/>
            <w:r>
              <w:rPr>
                <w:rFonts w:ascii="Aptos" w:hAnsi="Aptos"/>
                <w:b w:val="0"/>
                <w:sz w:val="18"/>
              </w:rPr>
              <w:t>ResNet-50/101/152</w:t>
            </w:r>
          </w:p>
        </w:tc>
        <w:tc>
          <w:tcPr>
            <w:tcW w:type="dxa" w:w="8640"/>
            <w:vAlign w:val="center"/>
          </w:tcPr>
          <w:p>
            <w:r/>
            <w:r>
              <w:rPr>
                <w:rFonts w:ascii="Aptos" w:hAnsi="Aptos"/>
                <w:b w:val="0"/>
                <w:sz w:val="18"/>
              </w:rPr>
              <w:t>ResNet-18/34 set plus cnn.bottleneck_block, cnn.pointwise_conv2d, cnn.strided_conv2d, cnn.dilated_conv2d</w:t>
            </w:r>
          </w:p>
        </w:tc>
      </w:tr>
      <w:tr>
        <w:trPr>
          <w:cantSplit/>
          <w:cantSplit/>
        </w:trPr>
        <w:tc>
          <w:tcPr>
            <w:tcW w:type="dxa" w:w="2160"/>
            <w:vAlign w:val="center"/>
          </w:tcPr>
          <w:p>
            <w:r/>
            <w:r>
              <w:rPr>
                <w:rFonts w:ascii="Aptos" w:hAnsi="Aptos"/>
                <w:b w:val="0"/>
                <w:sz w:val="18"/>
              </w:rPr>
              <w:t>ResNeXt variants</w:t>
            </w:r>
          </w:p>
        </w:tc>
        <w:tc>
          <w:tcPr>
            <w:tcW w:type="dxa" w:w="8640"/>
            <w:vAlign w:val="center"/>
          </w:tcPr>
          <w:p>
            <w:r/>
            <w:r>
              <w:rPr>
                <w:rFonts w:ascii="Aptos" w:hAnsi="Aptos"/>
                <w:b w:val="0"/>
                <w:sz w:val="18"/>
              </w:rPr>
              <w:t>ResNet-50 set plus cnn.group_conv2d and group/channel contract metadata</w:t>
            </w:r>
          </w:p>
        </w:tc>
      </w:tr>
      <w:tr>
        <w:trPr>
          <w:cantSplit/>
          <w:cantSplit/>
        </w:trPr>
        <w:tc>
          <w:tcPr>
            <w:tcW w:type="dxa" w:w="2160"/>
            <w:vAlign w:val="center"/>
          </w:tcPr>
          <w:p>
            <w:r/>
            <w:r>
              <w:rPr>
                <w:rFonts w:ascii="Aptos" w:hAnsi="Aptos"/>
                <w:b w:val="0"/>
                <w:sz w:val="18"/>
              </w:rPr>
              <w:t>Quantized ResNet</w:t>
            </w:r>
          </w:p>
        </w:tc>
        <w:tc>
          <w:tcPr>
            <w:tcW w:type="dxa" w:w="8640"/>
            <w:vAlign w:val="center"/>
          </w:tcPr>
          <w:p>
            <w:r/>
            <w:r>
              <w:rPr>
                <w:rFonts w:ascii="Aptos" w:hAnsi="Aptos"/>
                <w:b w:val="0"/>
                <w:sz w:val="18"/>
              </w:rPr>
              <w:t>Core set plus cnn.quantize, cnn.dequantize, cnn.quantized_conv2d, cnn.quantized_linear, cnn.quantization_contract</w:t>
            </w:r>
          </w:p>
        </w:tc>
      </w:tr>
      <w:tr>
        <w:trPr>
          <w:cantSplit/>
          <w:cantSplit/>
        </w:trPr>
        <w:tc>
          <w:tcPr>
            <w:tcW w:type="dxa" w:w="2160"/>
            <w:vAlign w:val="center"/>
          </w:tcPr>
          <w:p>
            <w:r/>
            <w:r>
              <w:rPr>
                <w:rFonts w:ascii="Aptos" w:hAnsi="Aptos"/>
                <w:b w:val="0"/>
                <w:sz w:val="18"/>
              </w:rPr>
              <w:t>Spatially sharded ResNet</w:t>
            </w:r>
          </w:p>
        </w:tc>
        <w:tc>
          <w:tcPr>
            <w:tcW w:type="dxa" w:w="8640"/>
            <w:vAlign w:val="center"/>
          </w:tcPr>
          <w:p>
            <w:r/>
            <w:r>
              <w:rPr>
                <w:rFonts w:ascii="Aptos" w:hAnsi="Aptos"/>
                <w:b w:val="0"/>
                <w:sz w:val="18"/>
              </w:rPr>
              <w:t>Core set plus cnn.spatial_shard, cnn.halo_exchange, cnn.spatial_merge, cnn.residual_shape_check</w:t>
            </w:r>
          </w:p>
        </w:tc>
      </w:tr>
    </w:tbl>
    <w:tbl>
      <w:tblPr>
        <w:tblStyle w:val="TableGrid"/>
        <w:tblW w:type="auto" w:w="0"/>
        <w:jc w:val="center"/>
        <w:tblLook w:firstColumn="1" w:firstRow="1" w:lastColumn="0" w:lastRow="0" w:noHBand="0" w:noVBand="1" w:val="04A0"/>
      </w:tblPr>
      <w:tblGrid>
        <w:gridCol w:w="3360"/>
        <w:gridCol w:w="3360"/>
        <w:gridCol w:w="3360"/>
      </w:tblGrid>
      <w:tr>
        <w:trPr>
          <w:tblHeader w:val="true"/>
          <w:cantSplit/>
          <w:cantSplit/>
          <w:tblHeader w:val="true"/>
        </w:trPr>
        <w:tc>
          <w:tcPr>
            <w:tcW w:type="dxa" w:w="2232"/>
            <w:vAlign w:val="center"/>
            <w:shd w:fill="1F2937"/>
          </w:tcPr>
          <w:p>
            <w:r/>
            <w:r>
              <w:rPr>
                <w:rFonts w:ascii="Aptos" w:hAnsi="Aptos"/>
                <w:b/>
                <w:color w:val="FFFFFF"/>
                <w:sz w:val="18"/>
              </w:rPr>
              <w:t>Sharding case</w:t>
            </w:r>
          </w:p>
        </w:tc>
        <w:tc>
          <w:tcPr>
            <w:tcW w:type="dxa" w:w="3744"/>
            <w:vAlign w:val="center"/>
            <w:shd w:fill="1F2937"/>
          </w:tcPr>
          <w:p>
            <w:r/>
            <w:r>
              <w:rPr>
                <w:rFonts w:ascii="Aptos" w:hAnsi="Aptos"/>
                <w:b/>
                <w:color w:val="FFFFFF"/>
                <w:sz w:val="18"/>
              </w:rPr>
              <w:t>Compiler action</w:t>
            </w:r>
          </w:p>
        </w:tc>
        <w:tc>
          <w:tcPr>
            <w:tcW w:type="dxa" w:w="4464"/>
            <w:vAlign w:val="center"/>
            <w:shd w:fill="1F2937"/>
          </w:tcPr>
          <w:p>
            <w:r/>
            <w:r>
              <w:rPr>
                <w:rFonts w:ascii="Aptos" w:hAnsi="Aptos"/>
                <w:b/>
                <w:color w:val="FFFFFF"/>
                <w:sz w:val="18"/>
              </w:rPr>
              <w:t>Communication implication</w:t>
            </w:r>
          </w:p>
        </w:tc>
      </w:tr>
      <w:tr>
        <w:trPr>
          <w:cantSplit/>
          <w:cantSplit/>
        </w:trPr>
        <w:tc>
          <w:tcPr>
            <w:tcW w:type="dxa" w:w="2232"/>
            <w:vAlign w:val="center"/>
          </w:tcPr>
          <w:p>
            <w:r/>
            <w:r>
              <w:rPr>
                <w:rFonts w:ascii="Aptos" w:hAnsi="Aptos"/>
                <w:b w:val="0"/>
                <w:sz w:val="18"/>
              </w:rPr>
              <w:t>Batch sharding</w:t>
            </w:r>
          </w:p>
        </w:tc>
        <w:tc>
          <w:tcPr>
            <w:tcW w:type="dxa" w:w="3744"/>
            <w:vAlign w:val="center"/>
          </w:tcPr>
          <w:p>
            <w:r/>
            <w:r>
              <w:rPr>
                <w:rFonts w:ascii="Aptos" w:hAnsi="Aptos"/>
                <w:b w:val="0"/>
                <w:sz w:val="18"/>
              </w:rPr>
              <w:t>Split N dimension</w:t>
            </w:r>
          </w:p>
        </w:tc>
        <w:tc>
          <w:tcPr>
            <w:tcW w:type="dxa" w:w="4464"/>
            <w:vAlign w:val="center"/>
          </w:tcPr>
          <w:p>
            <w:r/>
            <w:r>
              <w:rPr>
                <w:rFonts w:ascii="Aptos" w:hAnsi="Aptos"/>
                <w:b w:val="0"/>
                <w:sz w:val="18"/>
              </w:rPr>
              <w:t>Usually data-parallel; reduce gradients if training.</w:t>
            </w:r>
          </w:p>
        </w:tc>
      </w:tr>
      <w:tr>
        <w:trPr>
          <w:cantSplit/>
          <w:cantSplit/>
        </w:trPr>
        <w:tc>
          <w:tcPr>
            <w:tcW w:type="dxa" w:w="2232"/>
            <w:vAlign w:val="center"/>
          </w:tcPr>
          <w:p>
            <w:r/>
            <w:r>
              <w:rPr>
                <w:rFonts w:ascii="Aptos" w:hAnsi="Aptos"/>
                <w:b w:val="0"/>
                <w:sz w:val="18"/>
              </w:rPr>
              <w:t>Output-channel sharding</w:t>
            </w:r>
          </w:p>
        </w:tc>
        <w:tc>
          <w:tcPr>
            <w:tcW w:type="dxa" w:w="3744"/>
            <w:vAlign w:val="center"/>
          </w:tcPr>
          <w:p>
            <w:r/>
            <w:r>
              <w:rPr>
                <w:rFonts w:ascii="Aptos" w:hAnsi="Aptos"/>
                <w:b w:val="0"/>
                <w:sz w:val="18"/>
              </w:rPr>
              <w:t>Split C_out / filter output channels</w:t>
            </w:r>
          </w:p>
        </w:tc>
        <w:tc>
          <w:tcPr>
            <w:tcW w:type="dxa" w:w="4464"/>
            <w:vAlign w:val="center"/>
          </w:tcPr>
          <w:p>
            <w:r/>
            <w:r>
              <w:rPr>
                <w:rFonts w:ascii="Aptos" w:hAnsi="Aptos"/>
                <w:b w:val="0"/>
                <w:sz w:val="18"/>
              </w:rPr>
              <w:t>Often no immediate reduction; later consumers may gather or remain channel-sharded.</w:t>
            </w:r>
          </w:p>
        </w:tc>
      </w:tr>
      <w:tr>
        <w:trPr>
          <w:cantSplit/>
          <w:cantSplit/>
        </w:trPr>
        <w:tc>
          <w:tcPr>
            <w:tcW w:type="dxa" w:w="2232"/>
            <w:vAlign w:val="center"/>
          </w:tcPr>
          <w:p>
            <w:r/>
            <w:r>
              <w:rPr>
                <w:rFonts w:ascii="Aptos" w:hAnsi="Aptos"/>
                <w:b w:val="0"/>
                <w:sz w:val="18"/>
              </w:rPr>
              <w:t>Input-channel sharding</w:t>
            </w:r>
          </w:p>
        </w:tc>
        <w:tc>
          <w:tcPr>
            <w:tcW w:type="dxa" w:w="3744"/>
            <w:vAlign w:val="center"/>
          </w:tcPr>
          <w:p>
            <w:r/>
            <w:r>
              <w:rPr>
                <w:rFonts w:ascii="Aptos" w:hAnsi="Aptos"/>
                <w:b w:val="0"/>
                <w:sz w:val="18"/>
              </w:rPr>
              <w:t>Split C_in and compute partial sums</w:t>
            </w:r>
          </w:p>
        </w:tc>
        <w:tc>
          <w:tcPr>
            <w:tcW w:type="dxa" w:w="4464"/>
            <w:vAlign w:val="center"/>
          </w:tcPr>
          <w:p>
            <w:r/>
            <w:r>
              <w:rPr>
                <w:rFonts w:ascii="Aptos" w:hAnsi="Aptos"/>
                <w:b w:val="0"/>
                <w:sz w:val="18"/>
              </w:rPr>
              <w:t>Requires channel_reduce or all-reduce over partial output feature maps.</w:t>
            </w:r>
          </w:p>
        </w:tc>
      </w:tr>
      <w:tr>
        <w:trPr>
          <w:cantSplit/>
          <w:cantSplit/>
        </w:trPr>
        <w:tc>
          <w:tcPr>
            <w:tcW w:type="dxa" w:w="2232"/>
            <w:vAlign w:val="center"/>
          </w:tcPr>
          <w:p>
            <w:r/>
            <w:r>
              <w:rPr>
                <w:rFonts w:ascii="Aptos" w:hAnsi="Aptos"/>
                <w:b w:val="0"/>
                <w:sz w:val="18"/>
              </w:rPr>
              <w:t>Spatial H/W sharding</w:t>
            </w:r>
          </w:p>
        </w:tc>
        <w:tc>
          <w:tcPr>
            <w:tcW w:type="dxa" w:w="3744"/>
            <w:vAlign w:val="center"/>
          </w:tcPr>
          <w:p>
            <w:r/>
            <w:r>
              <w:rPr>
                <w:rFonts w:ascii="Aptos" w:hAnsi="Aptos"/>
                <w:b w:val="0"/>
                <w:sz w:val="18"/>
              </w:rPr>
              <w:t>Split feature-map spatial tiles</w:t>
            </w:r>
          </w:p>
        </w:tc>
        <w:tc>
          <w:tcPr>
            <w:tcW w:type="dxa" w:w="4464"/>
            <w:vAlign w:val="center"/>
          </w:tcPr>
          <w:p>
            <w:r/>
            <w:r>
              <w:rPr>
                <w:rFonts w:ascii="Aptos" w:hAnsi="Aptos"/>
                <w:b w:val="0"/>
                <w:sz w:val="18"/>
              </w:rPr>
              <w:t>Requires halo_exchange before convolution and possible spatial_merge later.</w:t>
            </w:r>
          </w:p>
        </w:tc>
      </w:tr>
      <w:tr>
        <w:trPr>
          <w:cantSplit/>
          <w:cantSplit/>
        </w:trPr>
        <w:tc>
          <w:tcPr>
            <w:tcW w:type="dxa" w:w="2232"/>
            <w:vAlign w:val="center"/>
          </w:tcPr>
          <w:p>
            <w:r/>
            <w:r>
              <w:rPr>
                <w:rFonts w:ascii="Aptos" w:hAnsi="Aptos"/>
                <w:b w:val="0"/>
                <w:sz w:val="18"/>
              </w:rPr>
              <w:t>Group sharding</w:t>
            </w:r>
          </w:p>
        </w:tc>
        <w:tc>
          <w:tcPr>
            <w:tcW w:type="dxa" w:w="3744"/>
            <w:vAlign w:val="center"/>
          </w:tcPr>
          <w:p>
            <w:r/>
            <w:r>
              <w:rPr>
                <w:rFonts w:ascii="Aptos" w:hAnsi="Aptos"/>
                <w:b w:val="0"/>
                <w:sz w:val="18"/>
              </w:rPr>
              <w:t>Map groups or experts of convolution to ranks</w:t>
            </w:r>
          </w:p>
        </w:tc>
        <w:tc>
          <w:tcPr>
            <w:tcW w:type="dxa" w:w="4464"/>
            <w:vAlign w:val="center"/>
          </w:tcPr>
          <w:p>
            <w:r/>
            <w:r>
              <w:rPr>
                <w:rFonts w:ascii="Aptos" w:hAnsi="Aptos"/>
                <w:b w:val="0"/>
                <w:sz w:val="18"/>
              </w:rPr>
              <w:t>Requires group ownership and dispatch metadata.</w:t>
            </w:r>
          </w:p>
        </w:tc>
      </w:tr>
    </w:tbl>
    <w:p>
      <w:pPr>
        <w:pStyle w:val="Heading1"/>
        <w:pageBreakBefore/>
      </w:pPr>
      <w:r>
        <w:t>Appendix E. CNN Domain and ResNet Ingestion Opcode Set</w:t>
      </w:r>
    </w:p>
    <w:p>
      <w:pPr>
        <w:pStyle w:val="Heading2"/>
      </w:pPr>
      <w:r>
        <w:t>E.1 Purpose and Scope</w:t>
      </w:r>
    </w:p>
    <w:p>
      <w:pPr/>
      <w:r>
        <w:t>This appendix defines the pruned CNN-domain opcode set after introducing the Common Compiler Substrate and the promotion policy in Chapter 6. The CNN domain no longer owns generic tensor ops such as add, reshape, flatten, linear, layout_cast, quantize, dequantize, or generic shape assertions. Those constructs are inherited from the common substrate. The CNN domain owns only image, convolution, pooling, residual-block, spatial-sharding, halo-exchange, and CNN-specific ABI contracts.</w:t>
      </w:r>
    </w:p>
    <w:p>
      <w:pPr>
        <w:pStyle w:val="Heading2"/>
      </w:pPr>
      <w:r>
        <w:t>E.2 CNN Domain Placement</w:t>
      </w:r>
    </w:p>
    <w:p>
      <w:pPr>
        <w:spacing w:before="40" w:after="100"/>
        <w:ind w:left="360"/>
      </w:pPr>
      <w:r>
        <w:rPr>
          <w:rFonts w:ascii="Courier New" w:hAnsi="Courier New" w:eastAsia="Courier New"/>
          <w:sz w:val="16"/>
        </w:rPr>
        <w:t>ant::domain::cnn</w:t>
        <w:br/>
        <w:t xml:space="preserve">  convolution</w:t>
        <w:br/>
        <w:t xml:space="preserve">  pooling</w:t>
        <w:br/>
        <w:t xml:space="preserve">  image_layout</w:t>
        <w:br/>
        <w:t xml:space="preserve">  preprocessing</w:t>
        <w:br/>
        <w:t xml:space="preserve">  residual_blocks</w:t>
        <w:br/>
        <w:t xml:space="preserve">  spatial_sharding</w:t>
        <w:br/>
        <w:t xml:space="preserve">  halo_exchange</w:t>
        <w:br/>
        <w:t xml:space="preserve">  cnn_quantization_contract</w:t>
        <w:br/>
        <w:t xml:space="preserve">  cnn_fusion_contract</w:t>
      </w:r>
    </w:p>
    <w:p>
      <w:pPr>
        <w:pStyle w:val="Heading2"/>
      </w:pPr>
      <w:r>
        <w:t>E.3 ResNet Semantic Coverage</w:t>
      </w:r>
    </w:p>
    <w:p>
      <w:pPr/>
      <w:r>
        <w:t>A ResNet ingestion path must preserve the model-level residual structure: image input contract, initial convolution, normalization, activation, max pooling, residual stages, optional projection shortcuts, global/adaptive average pooling, classifier head, and logits output. Generic arithmetic and tensor movement are delegated to the Common Compiler Substrate; ResNet-specific structure remains visible until gatekeeper checks complete.</w:t>
      </w:r>
    </w:p>
    <w:p>
      <w:pPr>
        <w:spacing w:before="40" w:after="100"/>
        <w:ind w:left="360"/>
      </w:pPr>
      <w:r>
        <w:rPr>
          <w:rFonts w:ascii="Courier New" w:hAnsi="Courier New" w:eastAsia="Courier New"/>
          <w:sz w:val="16"/>
        </w:rPr>
        <w:t>input image contract</w:t>
        <w:br/>
        <w:t xml:space="preserve">  -&gt; cnn.conv2d + cnn.batch_norm_infer + common.relu</w:t>
        <w:br/>
        <w:t xml:space="preserve">  -&gt; cnn.max_pool2d</w:t>
        <w:br/>
        <w:t xml:space="preserve">  -&gt; cnn.basic_block or cnn.bottleneck_block stages</w:t>
        <w:br/>
        <w:t xml:space="preserve">       -&gt; cnn.conv2d / cnn.pointwise_conv2d / cnn.batch_norm_infer</w:t>
        <w:br/>
        <w:t xml:space="preserve">       -&gt; cnn.identity_shortcut or cnn.projection_shortcut</w:t>
        <w:br/>
        <w:t xml:space="preserve">       -&gt; common.residual_add + common.relu</w:t>
        <w:br/>
        <w:t xml:space="preserve">  -&gt; cnn.adaptive_avg_pool2d</w:t>
        <w:br/>
        <w:t xml:space="preserve">  -&gt; common.flatten</w:t>
        <w:br/>
        <w:t xml:space="preserve">  -&gt; common.linear</w:t>
        <w:br/>
        <w:t xml:space="preserve">  -&gt; common.output_logits</w:t>
      </w:r>
    </w:p>
    <w:p>
      <w:pPr>
        <w:pStyle w:val="Heading2"/>
      </w:pPr>
      <w:r>
        <w:t>E.4 Pruned CNN-Domain Opcode Families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top"/>
            <w:shd w:fill="D9EAF7"/>
          </w:tcPr>
          <w:p>
            <w:pPr>
              <w:spacing w:after="40"/>
            </w:pPr>
            <w:r>
              <w:rPr>
                <w:b/>
                <w:sz w:val="13"/>
              </w:rPr>
              <w:t>Family</w:t>
            </w:r>
          </w:p>
        </w:tc>
        <w:tc>
          <w:tcPr>
            <w:tcW w:type="dxa" w:w="4968"/>
            <w:vAlign w:val="top"/>
            <w:shd w:fill="D9EAF7"/>
          </w:tcPr>
          <w:p>
            <w:pPr>
              <w:spacing w:after="40"/>
            </w:pPr>
            <w:r>
              <w:rPr>
                <w:b/>
                <w:sz w:val="13"/>
              </w:rPr>
              <w:t>CNN-owned opcodes and constructs</w:t>
            </w:r>
          </w:p>
        </w:tc>
      </w:tr>
      <w:tr>
        <w:trPr>
          <w:cantSplit/>
        </w:trPr>
        <w:tc>
          <w:tcPr>
            <w:tcW w:type="dxa" w:w="4968"/>
            <w:vAlign w:val="top"/>
          </w:tcPr>
          <w:p>
            <w:pPr>
              <w:spacing w:after="40"/>
            </w:pPr>
            <w:r>
              <w:rPr>
                <w:b w:val="0"/>
                <w:sz w:val="13"/>
              </w:rPr>
              <w:t>Model structure</w:t>
            </w:r>
          </w:p>
        </w:tc>
        <w:tc>
          <w:tcPr>
            <w:tcW w:type="dxa" w:w="4968"/>
            <w:vAlign w:val="top"/>
          </w:tcPr>
          <w:p>
            <w:pPr>
              <w:spacing w:after="40"/>
            </w:pPr>
            <w:r>
              <w:rPr>
                <w:b w:val="0"/>
                <w:sz w:val="13"/>
              </w:rPr>
              <w:t>cnn.model, cnn.stage, cnn.basic_block, cnn.bottleneck_block, cnn.residual_block</w:t>
            </w:r>
          </w:p>
        </w:tc>
      </w:tr>
      <w:tr>
        <w:trPr>
          <w:cantSplit/>
        </w:trPr>
        <w:tc>
          <w:tcPr>
            <w:tcW w:type="dxa" w:w="4968"/>
            <w:vAlign w:val="top"/>
          </w:tcPr>
          <w:p>
            <w:pPr>
              <w:spacing w:after="40"/>
            </w:pPr>
            <w:r>
              <w:rPr>
                <w:b w:val="0"/>
                <w:sz w:val="13"/>
              </w:rPr>
              <w:t>Boundary and ABI</w:t>
            </w:r>
          </w:p>
        </w:tc>
        <w:tc>
          <w:tcPr>
            <w:tcW w:type="dxa" w:w="4968"/>
            <w:vAlign w:val="top"/>
          </w:tcPr>
          <w:p>
            <w:pPr>
              <w:spacing w:after="40"/>
            </w:pPr>
            <w:r>
              <w:rPr>
                <w:b w:val="0"/>
                <w:sz w:val="13"/>
              </w:rPr>
              <w:t>cnn.input_image, cnn.preprocess_contract, cnn.image_layout_contract, cnn.feature_map_contract</w:t>
            </w:r>
          </w:p>
        </w:tc>
      </w:tr>
      <w:tr>
        <w:trPr>
          <w:cantSplit/>
        </w:trPr>
        <w:tc>
          <w:tcPr>
            <w:tcW w:type="dxa" w:w="4968"/>
            <w:vAlign w:val="top"/>
          </w:tcPr>
          <w:p>
            <w:pPr>
              <w:spacing w:after="40"/>
            </w:pPr>
            <w:r>
              <w:rPr>
                <w:b w:val="0"/>
                <w:sz w:val="13"/>
              </w:rPr>
              <w:t>Convolution</w:t>
            </w:r>
          </w:p>
        </w:tc>
        <w:tc>
          <w:tcPr>
            <w:tcW w:type="dxa" w:w="4968"/>
            <w:vAlign w:val="top"/>
          </w:tcPr>
          <w:p>
            <w:pPr>
              <w:spacing w:after="40"/>
            </w:pPr>
            <w:r>
              <w:rPr>
                <w:b w:val="0"/>
                <w:sz w:val="13"/>
              </w:rPr>
              <w:t>cnn.conv2d, cnn.group_conv2d, cnn.depthwise_conv2d, cnn.pointwise_conv2d, cnn.dilated_conv2d, cnn.strided_conv2d, cnn.conv_shape_formula, cnn.conv_algorithm_choice</w:t>
            </w:r>
          </w:p>
        </w:tc>
      </w:tr>
      <w:tr>
        <w:trPr>
          <w:cantSplit/>
        </w:trPr>
        <w:tc>
          <w:tcPr>
            <w:tcW w:type="dxa" w:w="4968"/>
            <w:vAlign w:val="top"/>
          </w:tcPr>
          <w:p>
            <w:pPr>
              <w:spacing w:after="40"/>
            </w:pPr>
            <w:r>
              <w:rPr>
                <w:b w:val="0"/>
                <w:sz w:val="13"/>
              </w:rPr>
              <w:t>Normalization</w:t>
            </w:r>
          </w:p>
        </w:tc>
        <w:tc>
          <w:tcPr>
            <w:tcW w:type="dxa" w:w="4968"/>
            <w:vAlign w:val="top"/>
          </w:tcPr>
          <w:p>
            <w:pPr>
              <w:spacing w:after="40"/>
            </w:pPr>
            <w:r>
              <w:rPr>
                <w:b w:val="0"/>
                <w:sz w:val="13"/>
              </w:rPr>
              <w:t>cnn.batch_norm_infer, cnn.batch_norm_train, cnn.batch_norm_fold, cnn.batch_norm_contract</w:t>
            </w:r>
          </w:p>
        </w:tc>
      </w:tr>
      <w:tr>
        <w:trPr>
          <w:cantSplit/>
        </w:trPr>
        <w:tc>
          <w:tcPr>
            <w:tcW w:type="dxa" w:w="4968"/>
            <w:vAlign w:val="top"/>
          </w:tcPr>
          <w:p>
            <w:pPr>
              <w:spacing w:after="40"/>
            </w:pPr>
            <w:r>
              <w:rPr>
                <w:b w:val="0"/>
                <w:sz w:val="13"/>
              </w:rPr>
              <w:t>Pooling</w:t>
            </w:r>
          </w:p>
        </w:tc>
        <w:tc>
          <w:tcPr>
            <w:tcW w:type="dxa" w:w="4968"/>
            <w:vAlign w:val="top"/>
          </w:tcPr>
          <w:p>
            <w:pPr>
              <w:spacing w:after="40"/>
            </w:pPr>
            <w:r>
              <w:rPr>
                <w:b w:val="0"/>
                <w:sz w:val="13"/>
              </w:rPr>
              <w:t>cnn.max_pool2d, cnn.avg_pool2d, cnn.global_avg_pool2d, cnn.adaptive_avg_pool2d, cnn.pool_shape_formula, cnn.pool_padding_contract</w:t>
            </w:r>
          </w:p>
        </w:tc>
      </w:tr>
      <w:tr>
        <w:trPr>
          <w:cantSplit/>
        </w:trPr>
        <w:tc>
          <w:tcPr>
            <w:tcW w:type="dxa" w:w="4968"/>
            <w:vAlign w:val="top"/>
          </w:tcPr>
          <w:p>
            <w:pPr>
              <w:spacing w:after="40"/>
            </w:pPr>
            <w:r>
              <w:rPr>
                <w:b w:val="0"/>
                <w:sz w:val="13"/>
              </w:rPr>
              <w:t>Residual semantics</w:t>
            </w:r>
          </w:p>
        </w:tc>
        <w:tc>
          <w:tcPr>
            <w:tcW w:type="dxa" w:w="4968"/>
            <w:vAlign w:val="top"/>
          </w:tcPr>
          <w:p>
            <w:pPr>
              <w:spacing w:after="40"/>
            </w:pPr>
            <w:r>
              <w:rPr>
                <w:b w:val="0"/>
                <w:sz w:val="13"/>
              </w:rPr>
              <w:t>cnn.identity_shortcut, cnn.projection_shortcut, cnn.residual_path_contract, cnn.residual_block_contract</w:t>
            </w:r>
          </w:p>
        </w:tc>
      </w:tr>
      <w:tr>
        <w:trPr>
          <w:cantSplit/>
        </w:trPr>
        <w:tc>
          <w:tcPr>
            <w:tcW w:type="dxa" w:w="4968"/>
            <w:vAlign w:val="top"/>
          </w:tcPr>
          <w:p>
            <w:pPr>
              <w:spacing w:after="40"/>
            </w:pPr>
            <w:r>
              <w:rPr>
                <w:b w:val="0"/>
                <w:sz w:val="13"/>
              </w:rPr>
              <w:t>Spatial parallelism</w:t>
            </w:r>
          </w:p>
        </w:tc>
        <w:tc>
          <w:tcPr>
            <w:tcW w:type="dxa" w:w="4968"/>
            <w:vAlign w:val="top"/>
          </w:tcPr>
          <w:p>
            <w:pPr>
              <w:spacing w:after="40"/>
            </w:pPr>
            <w:r>
              <w:rPr>
                <w:b w:val="0"/>
                <w:sz w:val="13"/>
              </w:rPr>
              <w:t>cnn.spatial_shard, cnn.channel_shard, cnn.halo_exchange, cnn.halo_contract</w:t>
            </w:r>
          </w:p>
        </w:tc>
      </w:tr>
      <w:tr>
        <w:trPr>
          <w:cantSplit/>
        </w:trPr>
        <w:tc>
          <w:tcPr>
            <w:tcW w:type="dxa" w:w="4968"/>
            <w:vAlign w:val="top"/>
          </w:tcPr>
          <w:p>
            <w:pPr>
              <w:spacing w:after="40"/>
            </w:pPr>
            <w:r>
              <w:rPr>
                <w:b w:val="0"/>
                <w:sz w:val="13"/>
              </w:rPr>
              <w:t>CNN-specific policies</w:t>
            </w:r>
          </w:p>
        </w:tc>
        <w:tc>
          <w:tcPr>
            <w:tcW w:type="dxa" w:w="4968"/>
            <w:vAlign w:val="top"/>
          </w:tcPr>
          <w:p>
            <w:pPr>
              <w:spacing w:after="40"/>
            </w:pPr>
            <w:r>
              <w:rPr>
                <w:b w:val="0"/>
                <w:sz w:val="13"/>
              </w:rPr>
              <w:t>cnn.cnn_quantization_contract, cnn.cnn_fusion_contract</w:t>
            </w:r>
          </w:p>
        </w:tc>
      </w:tr>
    </w:tbl>
    <w:p>
      <w:pPr>
        <w:pStyle w:val="Heading2"/>
      </w:pPr>
      <w:r>
        <w:t>E.5 Common Ops Inherited by CNN</w:t>
      </w:r>
    </w:p>
    <w:p>
      <w:pPr/>
      <w:r>
        <w:t>The following constructs should not appear as CNN-owned opcodes except as domain wrappers. They belong to the Common Compiler Substrate.</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top"/>
            <w:shd w:fill="D9EAF7"/>
          </w:tcPr>
          <w:p>
            <w:pPr>
              <w:spacing w:after="40"/>
            </w:pPr>
            <w:r>
              <w:rPr>
                <w:b/>
                <w:sz w:val="15"/>
              </w:rPr>
              <w:t>Former CNN-listed construct</w:t>
            </w:r>
          </w:p>
        </w:tc>
        <w:tc>
          <w:tcPr>
            <w:tcW w:type="dxa" w:w="4968"/>
            <w:vAlign w:val="top"/>
            <w:shd w:fill="D9EAF7"/>
          </w:tcPr>
          <w:p>
            <w:pPr>
              <w:spacing w:after="40"/>
            </w:pPr>
            <w:r>
              <w:rPr>
                <w:b/>
                <w:sz w:val="15"/>
              </w:rPr>
              <w:t>Common substrate owner</w:t>
            </w:r>
          </w:p>
        </w:tc>
      </w:tr>
      <w:tr>
        <w:trPr>
          <w:cantSplit/>
        </w:trPr>
        <w:tc>
          <w:tcPr>
            <w:tcW w:type="dxa" w:w="4968"/>
            <w:vAlign w:val="top"/>
          </w:tcPr>
          <w:p>
            <w:pPr>
              <w:spacing w:after="40"/>
            </w:pPr>
            <w:r>
              <w:rPr>
                <w:b w:val="0"/>
                <w:sz w:val="15"/>
              </w:rPr>
              <w:t>relu, gelu, silu</w:t>
            </w:r>
          </w:p>
        </w:tc>
        <w:tc>
          <w:tcPr>
            <w:tcW w:type="dxa" w:w="4968"/>
            <w:vAlign w:val="top"/>
          </w:tcPr>
          <w:p>
            <w:pPr>
              <w:spacing w:after="40"/>
            </w:pPr>
            <w:r>
              <w:rPr>
                <w:b w:val="0"/>
                <w:sz w:val="15"/>
              </w:rPr>
              <w:t>common.activation / common.relu / common.gelu / common.silu</w:t>
            </w:r>
          </w:p>
        </w:tc>
      </w:tr>
      <w:tr>
        <w:trPr>
          <w:cantSplit/>
        </w:trPr>
        <w:tc>
          <w:tcPr>
            <w:tcW w:type="dxa" w:w="4968"/>
            <w:vAlign w:val="top"/>
          </w:tcPr>
          <w:p>
            <w:pPr>
              <w:spacing w:after="40"/>
            </w:pPr>
            <w:r>
              <w:rPr>
                <w:b w:val="0"/>
                <w:sz w:val="15"/>
              </w:rPr>
              <w:t>elementwise_add, bias_add</w:t>
            </w:r>
          </w:p>
        </w:tc>
        <w:tc>
          <w:tcPr>
            <w:tcW w:type="dxa" w:w="4968"/>
            <w:vAlign w:val="top"/>
          </w:tcPr>
          <w:p>
            <w:pPr>
              <w:spacing w:after="40"/>
            </w:pPr>
            <w:r>
              <w:rPr>
                <w:b w:val="0"/>
                <w:sz w:val="15"/>
              </w:rPr>
              <w:t>common.add / common.bias_add</w:t>
            </w:r>
          </w:p>
        </w:tc>
      </w:tr>
      <w:tr>
        <w:trPr>
          <w:cantSplit/>
        </w:trPr>
        <w:tc>
          <w:tcPr>
            <w:tcW w:type="dxa" w:w="4968"/>
            <w:vAlign w:val="top"/>
          </w:tcPr>
          <w:p>
            <w:pPr>
              <w:spacing w:after="40"/>
            </w:pPr>
            <w:r>
              <w:rPr>
                <w:b w:val="0"/>
                <w:sz w:val="15"/>
              </w:rPr>
              <w:t>flatten, reshape, transpose, slice, concat</w:t>
            </w:r>
          </w:p>
        </w:tc>
        <w:tc>
          <w:tcPr>
            <w:tcW w:type="dxa" w:w="4968"/>
            <w:vAlign w:val="top"/>
          </w:tcPr>
          <w:p>
            <w:pPr>
              <w:spacing w:after="40"/>
            </w:pPr>
            <w:r>
              <w:rPr>
                <w:b w:val="0"/>
                <w:sz w:val="15"/>
              </w:rPr>
              <w:t>common.flatten / common.reshape / common.transpose / common.slice / common.concat</w:t>
            </w:r>
          </w:p>
        </w:tc>
      </w:tr>
      <w:tr>
        <w:trPr>
          <w:cantSplit/>
        </w:trPr>
        <w:tc>
          <w:tcPr>
            <w:tcW w:type="dxa" w:w="4968"/>
            <w:vAlign w:val="top"/>
          </w:tcPr>
          <w:p>
            <w:pPr>
              <w:spacing w:after="40"/>
            </w:pPr>
            <w:r>
              <w:rPr>
                <w:b w:val="0"/>
                <w:sz w:val="15"/>
              </w:rPr>
              <w:t>linear, gemm</w:t>
            </w:r>
          </w:p>
        </w:tc>
        <w:tc>
          <w:tcPr>
            <w:tcW w:type="dxa" w:w="4968"/>
            <w:vAlign w:val="top"/>
          </w:tcPr>
          <w:p>
            <w:pPr>
              <w:spacing w:after="40"/>
            </w:pPr>
            <w:r>
              <w:rPr>
                <w:b w:val="0"/>
                <w:sz w:val="15"/>
              </w:rPr>
              <w:t>common.linear / common.gemm</w:t>
            </w:r>
          </w:p>
        </w:tc>
      </w:tr>
      <w:tr>
        <w:trPr>
          <w:cantSplit/>
        </w:trPr>
        <w:tc>
          <w:tcPr>
            <w:tcW w:type="dxa" w:w="4968"/>
            <w:vAlign w:val="top"/>
          </w:tcPr>
          <w:p>
            <w:pPr>
              <w:spacing w:after="40"/>
            </w:pPr>
            <w:r>
              <w:rPr>
                <w:b w:val="0"/>
                <w:sz w:val="15"/>
              </w:rPr>
              <w:t>layout_cast, contiguous</w:t>
            </w:r>
          </w:p>
        </w:tc>
        <w:tc>
          <w:tcPr>
            <w:tcW w:type="dxa" w:w="4968"/>
            <w:vAlign w:val="top"/>
          </w:tcPr>
          <w:p>
            <w:pPr>
              <w:spacing w:after="40"/>
            </w:pPr>
            <w:r>
              <w:rPr>
                <w:b w:val="0"/>
                <w:sz w:val="15"/>
              </w:rPr>
              <w:t>common.layout_cast / common.contiguous</w:t>
            </w:r>
          </w:p>
        </w:tc>
      </w:tr>
      <w:tr>
        <w:trPr>
          <w:cantSplit/>
        </w:trPr>
        <w:tc>
          <w:tcPr>
            <w:tcW w:type="dxa" w:w="4968"/>
            <w:vAlign w:val="top"/>
          </w:tcPr>
          <w:p>
            <w:pPr>
              <w:spacing w:after="40"/>
            </w:pPr>
            <w:r>
              <w:rPr>
                <w:b w:val="0"/>
                <w:sz w:val="15"/>
              </w:rPr>
              <w:t>quantize, dequantize, requantize</w:t>
            </w:r>
          </w:p>
        </w:tc>
        <w:tc>
          <w:tcPr>
            <w:tcW w:type="dxa" w:w="4968"/>
            <w:vAlign w:val="top"/>
          </w:tcPr>
          <w:p>
            <w:pPr>
              <w:spacing w:after="40"/>
            </w:pPr>
            <w:r>
              <w:rPr>
                <w:b w:val="0"/>
                <w:sz w:val="15"/>
              </w:rPr>
              <w:t>common.quantize / common.dequantize / common.requantize</w:t>
            </w:r>
          </w:p>
        </w:tc>
      </w:tr>
      <w:tr>
        <w:trPr>
          <w:cantSplit/>
        </w:trPr>
        <w:tc>
          <w:tcPr>
            <w:tcW w:type="dxa" w:w="4968"/>
            <w:vAlign w:val="top"/>
          </w:tcPr>
          <w:p>
            <w:pPr>
              <w:spacing w:after="40"/>
            </w:pPr>
            <w:r>
              <w:rPr>
                <w:b w:val="0"/>
                <w:sz w:val="15"/>
              </w:rPr>
              <w:t>shape_assert, runtime_shape_guard</w:t>
            </w:r>
          </w:p>
        </w:tc>
        <w:tc>
          <w:tcPr>
            <w:tcW w:type="dxa" w:w="4968"/>
            <w:vAlign w:val="top"/>
          </w:tcPr>
          <w:p>
            <w:pPr>
              <w:spacing w:after="40"/>
            </w:pPr>
            <w:r>
              <w:rPr>
                <w:b w:val="0"/>
                <w:sz w:val="15"/>
              </w:rPr>
              <w:t>common.shape_assert / common.runtime_shape_guard</w:t>
            </w:r>
          </w:p>
        </w:tc>
      </w:tr>
      <w:tr>
        <w:trPr>
          <w:cantSplit/>
        </w:trPr>
        <w:tc>
          <w:tcPr>
            <w:tcW w:type="dxa" w:w="4968"/>
            <w:vAlign w:val="top"/>
          </w:tcPr>
          <w:p>
            <w:pPr>
              <w:spacing w:after="40"/>
            </w:pPr>
            <w:r>
              <w:rPr>
                <w:b w:val="0"/>
                <w:sz w:val="15"/>
              </w:rPr>
              <w:t>fusion_group</w:t>
            </w:r>
          </w:p>
        </w:tc>
        <w:tc>
          <w:tcPr>
            <w:tcW w:type="dxa" w:w="4968"/>
            <w:vAlign w:val="top"/>
          </w:tcPr>
          <w:p>
            <w:pPr>
              <w:spacing w:after="40"/>
            </w:pPr>
            <w:r>
              <w:rPr>
                <w:b w:val="0"/>
                <w:sz w:val="15"/>
              </w:rPr>
              <w:t>common.fusion_group</w:t>
            </w:r>
          </w:p>
        </w:tc>
      </w:tr>
    </w:tbl>
    <w:p>
      <w:pPr>
        <w:pStyle w:val="Heading2"/>
      </w:pPr>
      <w:r>
        <w:t>E.6 Key CNN Contracts</w:t>
      </w:r>
    </w:p>
    <w:p>
      <w:pPr/>
      <w:r>
        <w:t>The CNN domain must retain semantic contracts that cannot be recovered from generic tensor ops alone. These contracts are required by the gatekeeper before lowering to common ops or backend kernels.</w:t>
      </w:r>
    </w:p>
    <w:p>
      <w:pPr>
        <w:spacing w:before="40" w:after="100"/>
        <w:ind w:left="360"/>
      </w:pPr>
      <w:r>
        <w:rPr>
          <w:rFonts w:ascii="Courier New" w:hAnsi="Courier New" w:eastAsia="Courier New"/>
          <w:sz w:val="16"/>
        </w:rPr>
        <w:t>cnn.conv2d contract:</w:t>
        <w:br/>
        <w:t xml:space="preserve">  kernel_shape, stride, padding, dilation, groups</w:t>
        <w:br/>
        <w:t xml:space="preserve">  input_layout, weight_layout, optional_bias</w:t>
        <w:br/>
        <w:t xml:space="preserve">  output_shape_formula for H_out and W_out</w:t>
        <w:br/>
        <w:br/>
        <w:t>cnn.batch_norm_infer contract:</w:t>
        <w:br/>
        <w:t xml:space="preserve">  running_mean, running_variance, scale, bias, epsilon, channel_axis, inference_mode</w:t>
        <w:br/>
        <w:br/>
        <w:t>cnn.input_image contract:</w:t>
        <w:br/>
        <w:t xml:space="preserve">  layout, color_space, dtype, H/W bounds, preprocessing ABI</w:t>
        <w:br/>
        <w:br/>
        <w:t>cnn.output boundary:</w:t>
        <w:br/>
        <w:t xml:space="preserve">  common.output_logits with CNN classification metadata and class-index mapping</w:t>
      </w:r>
    </w:p>
    <w:p>
      <w:pPr>
        <w:pStyle w:val="Heading2"/>
      </w:pPr>
      <w:r>
        <w:t>E.7 CNN Sharding and Halo Exchange</w:t>
      </w:r>
    </w:p>
    <w:p>
      <w:pPr/>
      <w:r>
        <w:t>CNN uses DataShardingIR but introduces spatial-specific semantics. Batch sharding and channel sharding often lower to common shard and reduce intent. Spatial sharding requires halo exchange because convolution windows cross tile boundaries. Halo exchange therefore remains CNN-owned at the semantic level and may lower into common neighbor-exchange or collective-intent operations after verification.</w:t>
      </w:r>
    </w:p>
    <w:p>
      <w:pPr>
        <w:spacing w:before="40" w:after="100"/>
        <w:ind w:left="360"/>
      </w:pPr>
      <w:r>
        <w:rPr>
          <w:rFonts w:ascii="Courier New" w:hAnsi="Courier New" w:eastAsia="Courier New"/>
          <w:sz w:val="16"/>
        </w:rPr>
        <w:t>cnn.spatial_shard</w:t>
        <w:br/>
        <w:t xml:space="preserve">  axis: height | width | height_width</w:t>
        <w:br/>
        <w:t xml:space="preserve">  requires: cnn.halo_exchange if convolution window crosses shard boundary</w:t>
        <w:br/>
        <w:br/>
        <w:t>cnn.halo_exchange</w:t>
        <w:br/>
        <w:t xml:space="preserve">  halo_size: derived from kernel, padding, stride, dilation</w:t>
        <w:br/>
        <w:t xml:space="preserve">  placement_domain: scale_up_preferred</w:t>
        <w:br/>
        <w:t xml:space="preserve">  lowers_to: common.dispatch / common.gather / target neighbor exchange</w:t>
      </w:r>
    </w:p>
    <w:p>
      <w:pPr>
        <w:pStyle w:val="Heading2"/>
      </w:pPr>
      <w:r>
        <w:t>E.8 CNN Gatekeeper Diagnostics</w:t>
      </w:r>
    </w:p>
    <w:p>
      <w:pPr>
        <w:spacing w:before="40" w:after="100"/>
        <w:ind w:left="360"/>
      </w:pPr>
      <w:r>
        <w:rPr>
          <w:rFonts w:ascii="Courier New" w:hAnsi="Courier New" w:eastAsia="Courier New"/>
          <w:sz w:val="16"/>
        </w:rPr>
        <w:t>CCNN-001 InputPreprocessingMismatch</w:t>
        <w:br/>
        <w:t>CCNN-002 ImageLayoutMismatch</w:t>
        <w:br/>
        <w:t>CCNN-003 PaddingConventionMismatch</w:t>
        <w:br/>
        <w:t>CCNN-004 StrideDilationMismatch</w:t>
        <w:br/>
        <w:t>CCNN-005 KernelLayoutMismatch</w:t>
        <w:br/>
        <w:t>CCNN-006 GroupConvolutionMismatch</w:t>
        <w:br/>
        <w:t>CCNN-007 BatchNormEpsilonMismatch</w:t>
        <w:br/>
        <w:t>CCNN-008 BatchNormRunningStatsMissing</w:t>
        <w:br/>
        <w:t>CCNN-009 ResidualShapeMismatch</w:t>
        <w:br/>
        <w:t>CCNN-010 ProjectionShortcutMissing</w:t>
        <w:br/>
        <w:t>CCNN-011 PoolingOutputShapeMismatch</w:t>
        <w:br/>
        <w:t>CCNN-012 FlattenAxisMismatch</w:t>
        <w:br/>
        <w:t>CCNN-013 FullyConnectedInputDimMismatch</w:t>
        <w:br/>
        <w:t>CCNN-014 ConvAlgorithmNumericalToleranceExceeded</w:t>
        <w:br/>
        <w:t>CCNN-015 LayoutConversionNotAccounted</w:t>
        <w:br/>
        <w:t>CCNN-016 QuantizationCalibrationMissing</w:t>
        <w:br/>
        <w:t>CCNN-017 SpatialShardHaloMissing</w:t>
        <w:br/>
        <w:t>CCNN-018 DynamicImageShapeOutOfProfile</w:t>
      </w:r>
    </w:p>
    <w:p>
      <w:pPr>
        <w:pStyle w:val="Heading2"/>
      </w:pPr>
      <w:r>
        <w:t>E.9 Summary</w:t>
      </w:r>
    </w:p>
    <w:p>
      <w:pPr/>
      <w:r>
        <w:t>The CNN appendix is intentionally pruned. CNN owns image, convolution, pooling, residual, spatial, and halo semantics. The Common Compiler Substrate owns generic tensor computation, shape, layout, quantization, fusion, and parallel communication primitives. ResNet ingestion becomes a clean demonstration of domain-specific semantics layered over common compiler infrastructure.</w:t>
      </w:r>
    </w:p>
    <w:p>
      <w:pPr>
        <w:pStyle w:val="Heading1"/>
        <w:pageBreakBefore/>
      </w:pPr>
      <w:r>
        <w:t>Appendix F. Transformer Domain Opcode Set and Common-Op Mapping</w:t>
      </w:r>
    </w:p>
    <w:p>
      <w:pPr>
        <w:pStyle w:val="Heading2"/>
      </w:pPr>
      <w:r>
        <w:t>F.1 Purpose and Scope</w:t>
      </w:r>
    </w:p>
    <w:p>
      <w:pPr/>
      <w:r>
        <w:t>This appendix defines the Transformer-domain opcode set after introducing the Common Compiler Substrate and promotion policy. Generic tensor ops such as matmul, add, reshape, quantize, reduce, layout conversion, and common residual add belong to the Common Compiler Substrate. The Transformer domain owns token, position, attention, runtime-state, MoE, generation, logprob, and RL-specific contracts that cannot be safely represented as generic tensor ops before verification.</w:t>
      </w:r>
    </w:p>
    <w:p>
      <w:pPr>
        <w:pStyle w:val="Heading2"/>
      </w:pPr>
      <w:r>
        <w:t>F.2 Transformer Boundary and ABI Declaration Ops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top"/>
            <w:shd w:fill="D9EAF7"/>
          </w:tcPr>
          <w:p>
            <w:pPr>
              <w:spacing w:after="40"/>
            </w:pPr>
            <w:r>
              <w:rPr>
                <w:b/>
                <w:sz w:val="15"/>
              </w:rPr>
              <w:t>Family</w:t>
            </w:r>
          </w:p>
        </w:tc>
        <w:tc>
          <w:tcPr>
            <w:tcW w:type="dxa" w:w="4968"/>
            <w:vAlign w:val="top"/>
            <w:shd w:fill="D9EAF7"/>
          </w:tcPr>
          <w:p>
            <w:pPr>
              <w:spacing w:after="40"/>
            </w:pPr>
            <w:r>
              <w:rPr>
                <w:b/>
                <w:sz w:val="15"/>
              </w:rPr>
              <w:t>Transformer-owned opcodes and constructs</w:t>
            </w:r>
          </w:p>
        </w:tc>
      </w:tr>
      <w:tr>
        <w:trPr>
          <w:cantSplit/>
        </w:trPr>
        <w:tc>
          <w:tcPr>
            <w:tcW w:type="dxa" w:w="4968"/>
            <w:vAlign w:val="top"/>
          </w:tcPr>
          <w:p>
            <w:pPr>
              <w:spacing w:after="40"/>
            </w:pPr>
            <w:r>
              <w:rPr>
                <w:b w:val="0"/>
                <w:sz w:val="15"/>
              </w:rPr>
              <w:t>Model structure</w:t>
            </w:r>
          </w:p>
        </w:tc>
        <w:tc>
          <w:tcPr>
            <w:tcW w:type="dxa" w:w="4968"/>
            <w:vAlign w:val="top"/>
          </w:tcPr>
          <w:p>
            <w:pPr>
              <w:spacing w:after="40"/>
            </w:pPr>
            <w:r>
              <w:rPr>
                <w:b w:val="0"/>
                <w:sz w:val="15"/>
              </w:rPr>
              <w:t>transformer.model, transformer.layer, transformer.block, transformer.checkpoint_abi_contract</w:t>
            </w:r>
          </w:p>
        </w:tc>
      </w:tr>
      <w:tr>
        <w:trPr>
          <w:cantSplit/>
        </w:trPr>
        <w:tc>
          <w:tcPr>
            <w:tcW w:type="dxa" w:w="4968"/>
            <w:vAlign w:val="top"/>
          </w:tcPr>
          <w:p>
            <w:pPr>
              <w:spacing w:after="40"/>
            </w:pPr>
            <w:r>
              <w:rPr>
                <w:b w:val="0"/>
                <w:sz w:val="15"/>
              </w:rPr>
              <w:t>Input boundary</w:t>
            </w:r>
          </w:p>
        </w:tc>
        <w:tc>
          <w:tcPr>
            <w:tcW w:type="dxa" w:w="4968"/>
            <w:vAlign w:val="top"/>
          </w:tcPr>
          <w:p>
            <w:pPr>
              <w:spacing w:after="40"/>
            </w:pPr>
            <w:r>
              <w:rPr>
                <w:b w:val="0"/>
                <w:sz w:val="15"/>
              </w:rPr>
              <w:t>transformer.input_tokens, transformer.input_embeddings, transformer.tokenizer_contract, transformer.chat_template_contract</w:t>
            </w:r>
          </w:p>
        </w:tc>
      </w:tr>
      <w:tr>
        <w:trPr>
          <w:cantSplit/>
        </w:trPr>
        <w:tc>
          <w:tcPr>
            <w:tcW w:type="dxa" w:w="4968"/>
            <w:vAlign w:val="top"/>
          </w:tcPr>
          <w:p>
            <w:pPr>
              <w:spacing w:after="40"/>
            </w:pPr>
            <w:r>
              <w:rPr>
                <w:b w:val="0"/>
                <w:sz w:val="15"/>
              </w:rPr>
              <w:t>Output boundary</w:t>
            </w:r>
          </w:p>
        </w:tc>
        <w:tc>
          <w:tcPr>
            <w:tcW w:type="dxa" w:w="4968"/>
            <w:vAlign w:val="top"/>
          </w:tcPr>
          <w:p>
            <w:pPr>
              <w:spacing w:after="40"/>
            </w:pPr>
            <w:r>
              <w:rPr>
                <w:b w:val="0"/>
                <w:sz w:val="15"/>
              </w:rPr>
              <w:t>transformer.output_logits_contract, transformer.vocab_projection_contract, transformer.generation_output_contract</w:t>
            </w:r>
          </w:p>
        </w:tc>
      </w:tr>
      <w:tr>
        <w:trPr>
          <w:cantSplit/>
        </w:trPr>
        <w:tc>
          <w:tcPr>
            <w:tcW w:type="dxa" w:w="4968"/>
            <w:vAlign w:val="top"/>
          </w:tcPr>
          <w:p>
            <w:pPr>
              <w:spacing w:after="40"/>
            </w:pPr>
            <w:r>
              <w:rPr>
                <w:b w:val="0"/>
                <w:sz w:val="15"/>
              </w:rPr>
              <w:t>Position semantics</w:t>
            </w:r>
          </w:p>
        </w:tc>
        <w:tc>
          <w:tcPr>
            <w:tcW w:type="dxa" w:w="4968"/>
            <w:vAlign w:val="top"/>
          </w:tcPr>
          <w:p>
            <w:pPr>
              <w:spacing w:after="40"/>
            </w:pPr>
            <w:r>
              <w:rPr>
                <w:b w:val="0"/>
                <w:sz w:val="15"/>
              </w:rPr>
              <w:t>transformer.position_encoding_contract, transformer.rope_apply, transformer.alibi_apply, transformer.position_index_contract</w:t>
            </w:r>
          </w:p>
        </w:tc>
      </w:tr>
    </w:tbl>
    <w:p>
      <w:pPr>
        <w:pStyle w:val="Heading2"/>
      </w:pPr>
      <w:r>
        <w:t>F.3 Attention Domain Ops</w:t>
      </w:r>
    </w:p>
    <w:p>
      <w:pPr/>
      <w:r>
        <w:t>Attention remains Transformer-specific because correctness depends on mask semantics, position encoding, head layout, runtime-state type, prefill/decode behavior, and rollout/inference equivalence. Attention may lower to common matmul, softmax, reduction, and layout ops only after the attention contract is verified.</w:t>
      </w:r>
    </w:p>
    <w:p>
      <w:pPr>
        <w:spacing w:before="40" w:after="100"/>
        <w:ind w:left="360"/>
      </w:pPr>
      <w:r>
        <w:rPr>
          <w:rFonts w:ascii="Courier New" w:hAnsi="Courier New" w:eastAsia="Courier New"/>
          <w:sz w:val="16"/>
        </w:rPr>
        <w:t>transformer.attention</w:t>
        <w:br/>
        <w:t>transformer.mha</w:t>
        <w:br/>
        <w:t>transformer.gqa</w:t>
        <w:br/>
        <w:t>transformer.mqa</w:t>
        <w:br/>
        <w:t>transformer.mla</w:t>
        <w:br/>
        <w:t>transformer.linear_attention</w:t>
        <w:br/>
        <w:t>transformer.attention_mask</w:t>
        <w:br/>
        <w:t>transformer.causal_mask</w:t>
        <w:br/>
        <w:t>transformer.sliding_window_mask</w:t>
        <w:br/>
        <w:t>transformer.attention_contract</w:t>
        <w:br/>
        <w:t>transformer.attention_conversion_contract</w:t>
      </w:r>
    </w:p>
    <w:p>
      <w:pPr>
        <w:pStyle w:val="Heading2"/>
      </w:pPr>
      <w:r>
        <w:t>F.4 Runtime-State Ops</w:t>
      </w:r>
    </w:p>
    <w:p>
      <w:pPr>
        <w:spacing w:before="40" w:after="100"/>
        <w:ind w:left="360"/>
      </w:pPr>
      <w:r>
        <w:rPr>
          <w:rFonts w:ascii="Courier New" w:hAnsi="Courier New" w:eastAsia="Courier New"/>
          <w:sz w:val="16"/>
        </w:rPr>
        <w:t>transformer.kv_cache_init</w:t>
        <w:br/>
        <w:t>transformer.kv_cache_append</w:t>
        <w:br/>
        <w:t>transformer.kv_cache_lookup</w:t>
        <w:br/>
        <w:t>transformer.kv_cache_restore</w:t>
        <w:br/>
        <w:t>transformer.kv_cache_evict</w:t>
        <w:br/>
        <w:t>transformer.linear_state_init</w:t>
        <w:br/>
        <w:t>transformer.linear_state_update</w:t>
        <w:br/>
        <w:t>transformer.linear_state_snapshot</w:t>
        <w:br/>
        <w:t>transformer.linear_state_restore</w:t>
        <w:br/>
        <w:t>transformer.prefix_state_restore</w:t>
        <w:br/>
        <w:t>transformer.runtime_state_contract</w:t>
      </w:r>
    </w:p>
    <w:p>
      <w:pPr>
        <w:pStyle w:val="Heading2"/>
      </w:pPr>
      <w:r>
        <w:t>F.5 MLP and Normalization Domain Wrappers</w:t>
      </w:r>
    </w:p>
    <w:p>
      <w:pPr/>
      <w:r>
        <w:t>Dense MLP projections and affine projections lower to common.linear or common.gemm. The Transformer domain keeps wrappers for checkpoint mapping, tensor-parallel shard axes, activation layout, gated-MLP semantics, and norm variants.</w:t>
      </w:r>
    </w:p>
    <w:p>
      <w:pPr>
        <w:spacing w:before="40" w:after="100"/>
        <w:ind w:left="360"/>
      </w:pPr>
      <w:r>
        <w:rPr>
          <w:rFonts w:ascii="Courier New" w:hAnsi="Courier New" w:eastAsia="Courier New"/>
          <w:sz w:val="16"/>
        </w:rPr>
        <w:t>transformer.mlp</w:t>
        <w:br/>
        <w:t>transformer.gated_mlp</w:t>
        <w:br/>
        <w:t>transformer.swiglu_mlp</w:t>
        <w:br/>
        <w:t>transformer.rms_norm</w:t>
        <w:br/>
        <w:t>transformer.layer_norm_contract</w:t>
        <w:br/>
        <w:t>transformer.vocab_projection_contract</w:t>
      </w:r>
    </w:p>
    <w:p>
      <w:pPr>
        <w:pStyle w:val="Heading2"/>
      </w:pPr>
      <w:r>
        <w:t>F.6 MoE Domain Ops</w:t>
      </w:r>
    </w:p>
    <w:p>
      <w:pPr/>
      <w:r>
        <w:t>MoE remains Transformer-specific at the semantic level because routing, expert identity, token dispatch, expert placement, capacity policy, and route replay affect logits and logprobs. Some execution pieces may lower to common dispatch, all-to-all intent, grouped GEMM, and reduce/combine operations.</w:t>
      </w:r>
    </w:p>
    <w:p>
      <w:pPr>
        <w:spacing w:before="40" w:after="100"/>
        <w:ind w:left="360"/>
      </w:pPr>
      <w:r>
        <w:rPr>
          <w:rFonts w:ascii="Courier New" w:hAnsi="Courier New" w:eastAsia="Courier New"/>
          <w:sz w:val="16"/>
        </w:rPr>
        <w:t>transformer.moe_layer</w:t>
        <w:br/>
        <w:t>transformer.moe_router</w:t>
        <w:br/>
        <w:t>transformer.moe_topk</w:t>
        <w:br/>
        <w:t>transformer.moe_dispatch</w:t>
        <w:br/>
        <w:t>transformer.moe_expert_execute</w:t>
        <w:br/>
        <w:t>transformer.moe_combine</w:t>
        <w:br/>
        <w:t>transformer.moe_capacity_policy</w:t>
        <w:br/>
        <w:t>transformer.moe_load_balance_contract</w:t>
        <w:br/>
        <w:t>transformer.moe_route_replay_check</w:t>
      </w:r>
    </w:p>
    <w:p>
      <w:pPr>
        <w:pStyle w:val="Heading2"/>
      </w:pPr>
      <w:r>
        <w:t>F.7 Generation, Logprob, and RL Post-Training Ops</w:t>
      </w:r>
    </w:p>
    <w:p>
      <w:pPr>
        <w:spacing w:before="40" w:after="100"/>
        <w:ind w:left="360"/>
      </w:pPr>
      <w:r>
        <w:rPr>
          <w:rFonts w:ascii="Courier New" w:hAnsi="Courier New" w:eastAsia="Courier New"/>
          <w:sz w:val="16"/>
        </w:rPr>
        <w:t>transformer.prefill</w:t>
        <w:br/>
        <w:t>transformer.decode</w:t>
        <w:br/>
        <w:t>transformer.generate</w:t>
        <w:br/>
        <w:t>transformer.sample</w:t>
        <w:br/>
        <w:t>transformer.stop_check</w:t>
        <w:br/>
        <w:t>transformer.logprob</w:t>
        <w:br/>
        <w:t>transformer.logprob_replay</w:t>
        <w:br/>
        <w:t>transformer.generation_contract</w:t>
        <w:br/>
        <w:t>transformer.rl_rollout</w:t>
        <w:br/>
        <w:t>transformer.old_policy_logprob</w:t>
        <w:br/>
        <w:t>transformer.reference_policy_logprob</w:t>
        <w:br/>
        <w:t>transformer.kl_compute</w:t>
        <w:br/>
        <w:t>transformer.reward_input_contract</w:t>
      </w:r>
    </w:p>
    <w:p>
      <w:pPr>
        <w:pStyle w:val="Heading2"/>
      </w:pPr>
      <w:r>
        <w:t>F.8 Transformer Verification Ops</w:t>
      </w:r>
    </w:p>
    <w:p>
      <w:pPr>
        <w:spacing w:before="40" w:after="100"/>
        <w:ind w:left="360"/>
      </w:pPr>
      <w:r>
        <w:rPr>
          <w:rFonts w:ascii="Courier New" w:hAnsi="Courier New" w:eastAsia="Courier New"/>
          <w:sz w:val="16"/>
        </w:rPr>
        <w:t>transformer.verify_tokenizer_abi</w:t>
        <w:br/>
        <w:t>transformer.verify_chat_template</w:t>
        <w:br/>
        <w:t>transformer.verify_attention_semantics</w:t>
        <w:br/>
        <w:t>transformer.verify_runtime_state_equivalence</w:t>
        <w:br/>
        <w:t>transformer.verify_kv_cache_reuse</w:t>
        <w:br/>
        <w:t>transformer.verify_linear_state_recurrent_decode</w:t>
        <w:br/>
        <w:t>transformer.verify_rollout_inference_equivalence</w:t>
        <w:br/>
        <w:t>transformer.verify_moe_route_replay</w:t>
        <w:br/>
        <w:t>transformer.verify_logprob_replay</w:t>
      </w:r>
    </w:p>
    <w:p>
      <w:pPr>
        <w:pStyle w:val="Heading2"/>
      </w:pPr>
      <w:r>
        <w:t>F.9 Transformer-to-Common Promotion Map</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vAlign w:val="top"/>
            <w:shd w:fill="D9EAF7"/>
          </w:tcPr>
          <w:p>
            <w:pPr>
              <w:spacing w:after="40"/>
            </w:pPr>
            <w:r>
              <w:rPr>
                <w:b/>
                <w:sz w:val="14"/>
              </w:rPr>
              <w:t>Transformer construct</w:t>
            </w:r>
          </w:p>
        </w:tc>
        <w:tc>
          <w:tcPr>
            <w:tcW w:type="dxa" w:w="3312"/>
            <w:vAlign w:val="top"/>
            <w:shd w:fill="D9EAF7"/>
          </w:tcPr>
          <w:p>
            <w:pPr>
              <w:spacing w:after="40"/>
            </w:pPr>
            <w:r>
              <w:rPr>
                <w:b/>
                <w:sz w:val="14"/>
              </w:rPr>
              <w:t>Common lowering or promotion</w:t>
            </w:r>
          </w:p>
        </w:tc>
        <w:tc>
          <w:tcPr>
            <w:tcW w:type="dxa" w:w="3312"/>
            <w:vAlign w:val="top"/>
            <w:shd w:fill="D9EAF7"/>
          </w:tcPr>
          <w:p>
            <w:pPr>
              <w:spacing w:after="40"/>
            </w:pPr>
            <w:r>
              <w:rPr>
                <w:b/>
                <w:sz w:val="14"/>
              </w:rPr>
              <w:t>Policy</w:t>
            </w:r>
          </w:p>
        </w:tc>
      </w:tr>
      <w:tr>
        <w:trPr>
          <w:cantSplit/>
        </w:trPr>
        <w:tc>
          <w:tcPr>
            <w:tcW w:type="dxa" w:w="3312"/>
            <w:vAlign w:val="top"/>
          </w:tcPr>
          <w:p>
            <w:pPr>
              <w:spacing w:after="40"/>
            </w:pPr>
            <w:r>
              <w:rPr>
                <w:b w:val="0"/>
                <w:sz w:val="14"/>
              </w:rPr>
              <w:t>transformer.q_projection / k_projection / v_projection</w:t>
            </w:r>
          </w:p>
        </w:tc>
        <w:tc>
          <w:tcPr>
            <w:tcW w:type="dxa" w:w="3312"/>
            <w:vAlign w:val="top"/>
          </w:tcPr>
          <w:p>
            <w:pPr>
              <w:spacing w:after="40"/>
            </w:pPr>
            <w:r>
              <w:rPr>
                <w:b w:val="0"/>
                <w:sz w:val="14"/>
              </w:rPr>
              <w:t>common.linear / common.gemm</w:t>
            </w:r>
          </w:p>
        </w:tc>
        <w:tc>
          <w:tcPr>
            <w:tcW w:type="dxa" w:w="3312"/>
            <w:vAlign w:val="top"/>
          </w:tcPr>
          <w:p>
            <w:pPr>
              <w:spacing w:after="40"/>
            </w:pPr>
            <w:r>
              <w:rPr>
                <w:b w:val="0"/>
                <w:sz w:val="14"/>
              </w:rPr>
              <w:t>Promote lower projection form; keep checkpoint/head-layout wrapper.</w:t>
            </w:r>
          </w:p>
        </w:tc>
      </w:tr>
      <w:tr>
        <w:trPr>
          <w:cantSplit/>
        </w:trPr>
        <w:tc>
          <w:tcPr>
            <w:tcW w:type="dxa" w:w="3312"/>
            <w:vAlign w:val="top"/>
          </w:tcPr>
          <w:p>
            <w:pPr>
              <w:spacing w:after="40"/>
            </w:pPr>
            <w:r>
              <w:rPr>
                <w:b w:val="0"/>
                <w:sz w:val="14"/>
              </w:rPr>
              <w:t>transformer.mlp projections</w:t>
            </w:r>
          </w:p>
        </w:tc>
        <w:tc>
          <w:tcPr>
            <w:tcW w:type="dxa" w:w="3312"/>
            <w:vAlign w:val="top"/>
          </w:tcPr>
          <w:p>
            <w:pPr>
              <w:spacing w:after="40"/>
            </w:pPr>
            <w:r>
              <w:rPr>
                <w:b w:val="0"/>
                <w:sz w:val="14"/>
              </w:rPr>
              <w:t>common.linear / common.gemm</w:t>
            </w:r>
          </w:p>
        </w:tc>
        <w:tc>
          <w:tcPr>
            <w:tcW w:type="dxa" w:w="3312"/>
            <w:vAlign w:val="top"/>
          </w:tcPr>
          <w:p>
            <w:pPr>
              <w:spacing w:after="40"/>
            </w:pPr>
            <w:r>
              <w:rPr>
                <w:b w:val="0"/>
                <w:sz w:val="14"/>
              </w:rPr>
              <w:t>Promote linear computation; keep MLP/gated-MLP wrapper.</w:t>
            </w:r>
          </w:p>
        </w:tc>
      </w:tr>
      <w:tr>
        <w:trPr>
          <w:cantSplit/>
        </w:trPr>
        <w:tc>
          <w:tcPr>
            <w:tcW w:type="dxa" w:w="3312"/>
            <w:vAlign w:val="top"/>
          </w:tcPr>
          <w:p>
            <w:pPr>
              <w:spacing w:after="40"/>
            </w:pPr>
            <w:r>
              <w:rPr>
                <w:b w:val="0"/>
                <w:sz w:val="14"/>
              </w:rPr>
              <w:t>transformer.residual_add</w:t>
            </w:r>
          </w:p>
        </w:tc>
        <w:tc>
          <w:tcPr>
            <w:tcW w:type="dxa" w:w="3312"/>
            <w:vAlign w:val="top"/>
          </w:tcPr>
          <w:p>
            <w:pPr>
              <w:spacing w:after="40"/>
            </w:pPr>
            <w:r>
              <w:rPr>
                <w:b w:val="0"/>
                <w:sz w:val="14"/>
              </w:rPr>
              <w:t>common.residual_add</w:t>
            </w:r>
          </w:p>
        </w:tc>
        <w:tc>
          <w:tcPr>
            <w:tcW w:type="dxa" w:w="3312"/>
            <w:vAlign w:val="top"/>
          </w:tcPr>
          <w:p>
            <w:pPr>
              <w:spacing w:after="40"/>
            </w:pPr>
            <w:r>
              <w:rPr>
                <w:b w:val="0"/>
                <w:sz w:val="14"/>
              </w:rPr>
              <w:t>Promote residual add with residual lineage contract.</w:t>
            </w:r>
          </w:p>
        </w:tc>
      </w:tr>
      <w:tr>
        <w:trPr>
          <w:cantSplit/>
        </w:trPr>
        <w:tc>
          <w:tcPr>
            <w:tcW w:type="dxa" w:w="3312"/>
            <w:vAlign w:val="top"/>
          </w:tcPr>
          <w:p>
            <w:pPr>
              <w:spacing w:after="40"/>
            </w:pPr>
            <w:r>
              <w:rPr>
                <w:b w:val="0"/>
                <w:sz w:val="14"/>
              </w:rPr>
              <w:t>transformer.rms_norm / layer_norm</w:t>
            </w:r>
          </w:p>
        </w:tc>
        <w:tc>
          <w:tcPr>
            <w:tcW w:type="dxa" w:w="3312"/>
            <w:vAlign w:val="top"/>
          </w:tcPr>
          <w:p>
            <w:pPr>
              <w:spacing w:after="40"/>
            </w:pPr>
            <w:r>
              <w:rPr>
                <w:b w:val="0"/>
                <w:sz w:val="14"/>
              </w:rPr>
              <w:t>common.normalization_base</w:t>
            </w:r>
          </w:p>
        </w:tc>
        <w:tc>
          <w:tcPr>
            <w:tcW w:type="dxa" w:w="3312"/>
            <w:vAlign w:val="top"/>
          </w:tcPr>
          <w:p>
            <w:pPr>
              <w:spacing w:after="40"/>
            </w:pPr>
            <w:r>
              <w:rPr>
                <w:b w:val="0"/>
                <w:sz w:val="14"/>
              </w:rPr>
              <w:t>Partial promotion; keep norm-specific contract.</w:t>
            </w:r>
          </w:p>
        </w:tc>
      </w:tr>
      <w:tr>
        <w:trPr>
          <w:cantSplit/>
        </w:trPr>
        <w:tc>
          <w:tcPr>
            <w:tcW w:type="dxa" w:w="3312"/>
            <w:vAlign w:val="top"/>
          </w:tcPr>
          <w:p>
            <w:pPr>
              <w:spacing w:after="40"/>
            </w:pPr>
            <w:r>
              <w:rPr>
                <w:b w:val="0"/>
                <w:sz w:val="14"/>
              </w:rPr>
              <w:t>transformer.attention</w:t>
            </w:r>
          </w:p>
        </w:tc>
        <w:tc>
          <w:tcPr>
            <w:tcW w:type="dxa" w:w="3312"/>
            <w:vAlign w:val="top"/>
          </w:tcPr>
          <w:p>
            <w:pPr>
              <w:spacing w:after="40"/>
            </w:pPr>
            <w:r>
              <w:rPr>
                <w:b w:val="0"/>
                <w:sz w:val="14"/>
              </w:rPr>
              <w:t>common.matmul + common.softmax + common.matmul</w:t>
            </w:r>
          </w:p>
        </w:tc>
        <w:tc>
          <w:tcPr>
            <w:tcW w:type="dxa" w:w="3312"/>
            <w:vAlign w:val="top"/>
          </w:tcPr>
          <w:p>
            <w:pPr>
              <w:spacing w:after="40"/>
            </w:pPr>
            <w:r>
              <w:rPr>
                <w:b w:val="0"/>
                <w:sz w:val="14"/>
              </w:rPr>
              <w:t>Partial promotion only after attention contract verification.</w:t>
            </w:r>
          </w:p>
        </w:tc>
      </w:tr>
      <w:tr>
        <w:trPr>
          <w:cantSplit/>
        </w:trPr>
        <w:tc>
          <w:tcPr>
            <w:tcW w:type="dxa" w:w="3312"/>
            <w:vAlign w:val="top"/>
          </w:tcPr>
          <w:p>
            <w:pPr>
              <w:spacing w:after="40"/>
            </w:pPr>
            <w:r>
              <w:rPr>
                <w:b w:val="0"/>
                <w:sz w:val="14"/>
              </w:rPr>
              <w:t>transformer.moe_dispatch</w:t>
            </w:r>
          </w:p>
        </w:tc>
        <w:tc>
          <w:tcPr>
            <w:tcW w:type="dxa" w:w="3312"/>
            <w:vAlign w:val="top"/>
          </w:tcPr>
          <w:p>
            <w:pPr>
              <w:spacing w:after="40"/>
            </w:pPr>
            <w:r>
              <w:rPr>
                <w:b w:val="0"/>
                <w:sz w:val="14"/>
              </w:rPr>
              <w:t>common.dispatch / common.all_to_all_intent</w:t>
            </w:r>
          </w:p>
        </w:tc>
        <w:tc>
          <w:tcPr>
            <w:tcW w:type="dxa" w:w="3312"/>
            <w:vAlign w:val="top"/>
          </w:tcPr>
          <w:p>
            <w:pPr>
              <w:spacing w:after="40"/>
            </w:pPr>
            <w:r>
              <w:rPr>
                <w:b w:val="0"/>
                <w:sz w:val="14"/>
              </w:rPr>
              <w:t>Partial promotion; keep route/expert semantics.</w:t>
            </w:r>
          </w:p>
        </w:tc>
      </w:tr>
      <w:tr>
        <w:trPr>
          <w:cantSplit/>
        </w:trPr>
        <w:tc>
          <w:tcPr>
            <w:tcW w:type="dxa" w:w="3312"/>
            <w:vAlign w:val="top"/>
          </w:tcPr>
          <w:p>
            <w:pPr>
              <w:spacing w:after="40"/>
            </w:pPr>
            <w:r>
              <w:rPr>
                <w:b w:val="0"/>
                <w:sz w:val="14"/>
              </w:rPr>
              <w:t>transformer.kv_cache_append</w:t>
            </w:r>
          </w:p>
        </w:tc>
        <w:tc>
          <w:tcPr>
            <w:tcW w:type="dxa" w:w="3312"/>
            <w:vAlign w:val="top"/>
          </w:tcPr>
          <w:p>
            <w:pPr>
              <w:spacing w:after="40"/>
            </w:pPr>
            <w:r>
              <w:rPr>
                <w:b w:val="0"/>
                <w:sz w:val="14"/>
              </w:rPr>
              <w:t>common.runtime_state_handle plus target state ops</w:t>
            </w:r>
          </w:p>
        </w:tc>
        <w:tc>
          <w:tcPr>
            <w:tcW w:type="dxa" w:w="3312"/>
            <w:vAlign w:val="top"/>
          </w:tcPr>
          <w:p>
            <w:pPr>
              <w:spacing w:after="40"/>
            </w:pPr>
            <w:r>
              <w:rPr>
                <w:b w:val="0"/>
                <w:sz w:val="14"/>
              </w:rPr>
              <w:t>Do not fully promote; runtime-state ABI is Transformer-specific.</w:t>
            </w:r>
          </w:p>
        </w:tc>
      </w:tr>
      <w:tr>
        <w:trPr>
          <w:cantSplit/>
        </w:trPr>
        <w:tc>
          <w:tcPr>
            <w:tcW w:type="dxa" w:w="3312"/>
            <w:vAlign w:val="top"/>
          </w:tcPr>
          <w:p>
            <w:pPr>
              <w:spacing w:after="40"/>
            </w:pPr>
            <w:r>
              <w:rPr>
                <w:b w:val="0"/>
                <w:sz w:val="14"/>
              </w:rPr>
              <w:t>transformer.tokenizer_contract</w:t>
            </w:r>
          </w:p>
        </w:tc>
        <w:tc>
          <w:tcPr>
            <w:tcW w:type="dxa" w:w="3312"/>
            <w:vAlign w:val="top"/>
          </w:tcPr>
          <w:p>
            <w:pPr>
              <w:spacing w:after="40"/>
            </w:pPr>
            <w:r>
              <w:rPr>
                <w:b w:val="0"/>
                <w:sz w:val="14"/>
              </w:rPr>
              <w:t>common contract mechanism only</w:t>
            </w:r>
          </w:p>
        </w:tc>
        <w:tc>
          <w:tcPr>
            <w:tcW w:type="dxa" w:w="3312"/>
            <w:vAlign w:val="top"/>
          </w:tcPr>
          <w:p>
            <w:pPr>
              <w:spacing w:after="40"/>
            </w:pPr>
            <w:r>
              <w:rPr>
                <w:b w:val="0"/>
                <w:sz w:val="14"/>
              </w:rPr>
              <w:t>Do not promote contract content.</w:t>
            </w:r>
          </w:p>
        </w:tc>
      </w:tr>
    </w:tbl>
    <w:p>
      <w:pPr>
        <w:pStyle w:val="Heading2"/>
      </w:pPr>
      <w:r>
        <w:t>F.10 Transformer Diagnostics</w:t>
      </w:r>
    </w:p>
    <w:p>
      <w:pPr>
        <w:spacing w:before="40" w:after="100"/>
        <w:ind w:left="360"/>
      </w:pPr>
      <w:r>
        <w:rPr>
          <w:rFonts w:ascii="Courier New" w:hAnsi="Courier New" w:eastAsia="Courier New"/>
          <w:sz w:val="16"/>
        </w:rPr>
        <w:t>CATTN-001 AttentionSemanticMismatch</w:t>
        <w:br/>
        <w:t>CATTN-002 RolloutInferenceAttentionMismatch</w:t>
        <w:br/>
        <w:t>CATTN-003 MissingAttentionConversionContract</w:t>
        <w:br/>
        <w:t>CLATT-004 ChunkedVsRecurrentMismatch</w:t>
        <w:br/>
        <w:t>CKV-001 KVCacheLayoutMismatch</w:t>
        <w:br/>
        <w:t>CMOE-003 RouterTopKMismatch</w:t>
        <w:br/>
        <w:t>CMOE-010 ExpertIDMismatch</w:t>
        <w:br/>
        <w:t>CMOE-030 DispatchIndexMismatch</w:t>
        <w:br/>
        <w:t>CCONF-004 LogprobMismatch</w:t>
        <w:br/>
        <w:t>CTOK-004 ChatTemplateMismatch</w:t>
      </w:r>
    </w:p>
    <w:p>
      <w:pPr>
        <w:pStyle w:val="Heading2"/>
      </w:pPr>
      <w:r>
        <w:t>F.11 Summary</w:t>
      </w:r>
    </w:p>
    <w:p>
      <w:pPr/>
      <w:r>
        <w:t>The Transformer appendix mirrors the pruned CNN appendix. Transformer owns token, position, attention, runtime-state, MoE, generation, logprob, and RL semantics. The Common Compiler Substrate owns reusable tensor and runtime infrastructure. This separation preserves gatekeeper visibility while allowing shared lowering, optimization, and backend portability.</w:t>
      </w:r>
    </w:p>
    <w:p>
      <w:pPr>
        <w:pStyle w:val="Heading1"/>
        <w:pageBreakBefore/>
      </w:pPr>
      <w:r>
        <w:rPr>
          <w:b w:val="0"/>
          <w:i w:val="0"/>
        </w:rPr>
        <w:t>Appendix G. Local Kernel Tensor Evolution Case Study: CUDA Matrix Multiplication</w:t>
      </w:r>
    </w:p>
    <w:p>
      <w:pPr>
        <w:pStyle w:val="Heading2"/>
      </w:pPr>
      <w:r>
        <w:rPr>
          <w:b w:val="0"/>
          <w:i w:val="0"/>
        </w:rPr>
        <w:t>G.1 Purpose and Source</w:t>
      </w:r>
    </w:p>
    <w:p>
      <w:pPr/>
      <w:r>
        <w:rPr>
          <w:b w:val="0"/>
          <w:i w:val="0"/>
        </w:rPr>
        <w:t>This appendix preserves a concrete local-kernel case study for the DSC tensor evolution model. Simon Boehm's CUDA matrix-multiplication worklog iteratively optimizes SGEMM from a naive CUDA kernel toward cuBLAS-like performance using coalesced global memory access, shared-memory caching, one-dimensional and two-dimensional thread tiling, vectorized memory operations, warptiling, autotuning, and split-K reduction. [39] The purpose here is not to duplicate CUDA code, but to extract the tensor descriptor transformations that a compiler control plane should represent.</w:t>
      </w:r>
    </w:p>
    <w:p>
      <w:pPr>
        <w:pStyle w:val="Heading2"/>
      </w:pPr>
      <w:r>
        <w:rPr>
          <w:b w:val="0"/>
          <w:i w:val="0"/>
        </w:rPr>
        <w:t>G.2 Logical GEMM Tensor</w:t>
      </w:r>
    </w:p>
    <w:p>
      <w:pPr/>
      <w:r>
        <w:rPr>
          <w:b w:val="0"/>
          <w:i w:val="0"/>
        </w:rPr>
        <w:t>The logical operation is common.matmul or common.gemm: C = alpha * A * B + beta * C, where A has shape [M, K], B has shape [K, N], and C has shape [M, N]. At this level the tensor has semantic shape, dtype, and operation role, but no execution ownership, tile shape, memory-tier assignment, or locality contract.</w:t>
      </w:r>
    </w:p>
    <w:p>
      <w:pPr>
        <w:pStyle w:val="CodeBlock"/>
      </w:pPr>
      <w:r>
        <w:rPr>
          <w:b w:val="0"/>
          <w:i w:val="0"/>
        </w:rPr>
        <w:t>LogicalGEMM:</w:t>
        <w:br/>
        <w:t xml:space="preserve">  A: [M, K]</w:t>
        <w:br/>
        <w:t xml:space="preserve">  B: [K, N]</w:t>
        <w:br/>
        <w:t xml:space="preserve">  C: [M, N]</w:t>
        <w:br/>
        <w:t xml:space="preserve">  op: common.gemm</w:t>
        <w:br/>
        <w:t xml:space="preserve">  semantic_status: complete_logical_tensor</w:t>
      </w:r>
    </w:p>
    <w:p>
      <w:pPr>
        <w:pStyle w:val="Heading2"/>
      </w:pPr>
      <w:r>
        <w:rPr>
          <w:b w:val="0"/>
          <w:i w:val="0"/>
        </w:rPr>
        <w:t>G.3 Naive Thread Ownership</w:t>
      </w:r>
    </w:p>
    <w:p>
      <w:pPr/>
      <w:r>
        <w:rPr>
          <w:b w:val="0"/>
          <w:i w:val="0"/>
        </w:rPr>
        <w:t>The naive CUDA kernel assigns one thread to one output element C[x, y]. Each thread walks the full K dimension and accumulates one scalar result. This introduces a first ownership descriptor: a scalar C element is owned by one thread, and the accumulator is a scalar register. Spatial locality is weak because neighboring warp lanes are not guaranteed to access contiguous useful addresses, and temporal locality is weak because A and B elements are repeatedly fetched from global memory without explicit shared-memory reuse.</w:t>
      </w:r>
    </w:p>
    <w:p>
      <w:pPr>
        <w:pStyle w:val="CodeBlock"/>
      </w:pPr>
      <w:r>
        <w:rPr>
          <w:b w:val="0"/>
          <w:i w:val="0"/>
        </w:rPr>
        <w:t>NaiveThreadMapping:</w:t>
        <w:br/>
        <w:t xml:space="preserve">  C_element_owner: thread</w:t>
        <w:br/>
        <w:t xml:space="preserve">  accumulator: scalar_register</w:t>
        <w:br/>
        <w:t xml:space="preserve">  A_memory: global</w:t>
        <w:br/>
        <w:t xml:space="preserve">  B_memory: global</w:t>
        <w:br/>
        <w:t xml:space="preserve">  C_memory: global</w:t>
        <w:br/>
        <w:t xml:space="preserve">  locality: weak_spatial, weak_temporal</w:t>
      </w:r>
    </w:p>
    <w:p>
      <w:pPr>
        <w:pStyle w:val="Heading2"/>
      </w:pPr>
      <w:r>
        <w:rPr>
          <w:b w:val="0"/>
          <w:i w:val="0"/>
        </w:rPr>
        <w:t>G.4 Spatial Locality: Coalesced Global Memory Access</w:t>
      </w:r>
    </w:p>
    <w:p>
      <w:pPr/>
      <w:r>
        <w:rPr>
          <w:b w:val="0"/>
          <w:i w:val="0"/>
        </w:rPr>
        <w:t>The first optimization remaps thread IDs to output coordinates so warp lanes access consecutive memory addresses. The logical GEMM does not change, but the AccessPatternIR changes. This is a spatial-locality transformation, not a shape transformation. The DSC compiler should represent it with CoalescingContractIR, lane mapping, contiguous axis metadata, and alignment requirements.</w:t>
      </w:r>
    </w:p>
    <w:p>
      <w:pPr>
        <w:pStyle w:val="CodeBlock"/>
      </w:pPr>
      <w:r>
        <w:rPr>
          <w:b w:val="0"/>
          <w:i w:val="0"/>
        </w:rPr>
        <w:t>CoalescedAccessTensor:</w:t>
        <w:br/>
        <w:t xml:space="preserve">  warp_lane_mapping: consecutive_C_columns</w:t>
        <w:br/>
        <w:t xml:space="preserve">  global_access: coalesced</w:t>
        <w:br/>
        <w:t xml:space="preserve">  spatial_locality: improved</w:t>
        <w:br/>
        <w:t xml:space="preserve">  semantic_shape_change: false</w:t>
      </w:r>
    </w:p>
    <w:p>
      <w:pPr>
        <w:pStyle w:val="Heading2"/>
      </w:pPr>
      <w:r>
        <w:rPr>
          <w:b w:val="0"/>
          <w:i w:val="0"/>
        </w:rPr>
        <w:t>G.5 Temporal Locality: Shared-Memory Cache Blocking</w:t>
      </w:r>
    </w:p>
    <w:p>
      <w:pPr/>
      <w:r>
        <w:rPr>
          <w:b w:val="0"/>
          <w:i w:val="0"/>
        </w:rPr>
        <w:t>The next transformation loads tiles of A and B from global memory into shared memory. A block-owned C tile is computed by repeatedly staging A_tile and B_tile through shared memory. This improves temporal locality because each A/B tile element is loaded once from global memory and reused by many threads before the shared-memory tile is overwritten.</w:t>
      </w:r>
    </w:p>
    <w:p>
      <w:pPr>
        <w:pStyle w:val="CodeBlock"/>
      </w:pPr>
      <w:r>
        <w:rPr>
          <w:b w:val="0"/>
          <w:i w:val="0"/>
        </w:rPr>
        <w:t>SharedMemoryTileTensor:</w:t>
        <w:br/>
        <w:t xml:space="preserve">  C_block_tile: [BM, BN]</w:t>
        <w:br/>
        <w:t xml:space="preserve">  A_tile: [BM, BK] -&gt; shared_memory</w:t>
        <w:br/>
        <w:t xml:space="preserve">  B_tile: [BK, BN] -&gt; shared_memory</w:t>
        <w:br/>
        <w:t xml:space="preserve">  synchronization:</w:t>
        <w:br/>
        <w:t xml:space="preserve">    after_load: required</w:t>
        <w:br/>
        <w:t xml:space="preserve">    before_overwrite: required</w:t>
        <w:br/>
        <w:t xml:space="preserve">  temporal_locality: tile_reuse_across_block_threads</w:t>
      </w:r>
    </w:p>
    <w:p>
      <w:pPr>
        <w:pStyle w:val="Heading2"/>
      </w:pPr>
      <w:r>
        <w:rPr>
          <w:b w:val="0"/>
          <w:i w:val="0"/>
        </w:rPr>
        <w:t>G.6 Register-Level Temporal Locality: 1D and 2D Thread Tiling</w:t>
      </w:r>
    </w:p>
    <w:p>
      <w:pPr/>
      <w:r>
        <w:rPr>
          <w:b w:val="0"/>
          <w:i w:val="0"/>
        </w:rPr>
        <w:t>The blog then increases the amount of C computed by each thread. In one-dimensional thread tiling, a thread owns a vector of C results. In two-dimensional thread tiling, a thread owns a TM by TN microtile, loads regM and regN fragments, and performs a register-level outer product. This increases temporal locality at the register level: A fragments are reused across multiple output columns, B fragments are reused across multiple output rows, and C partial sums remain resident in registers across many fused multiply-add operations.</w:t>
      </w:r>
    </w:p>
    <w:p>
      <w:pPr>
        <w:pStyle w:val="CodeBlock"/>
      </w:pPr>
      <w:r>
        <w:rPr>
          <w:b w:val="0"/>
          <w:i w:val="0"/>
        </w:rPr>
        <w:t>RegisterFragmentTensor:</w:t>
        <w:br/>
        <w:t xml:space="preserve">  thread_tile: [TM, TN]</w:t>
        <w:br/>
        <w:t xml:space="preserve">  regM: [TM]</w:t>
        <w:br/>
        <w:t xml:space="preserve">  regN: [TN]</w:t>
        <w:br/>
        <w:t xml:space="preserve">  threadResults: [TM, TN]</w:t>
        <w:br/>
        <w:t xml:space="preserve">  temporal_locality:</w:t>
        <w:br/>
        <w:t xml:space="preserve">    regM_reuse: across_TN_columns</w:t>
        <w:br/>
        <w:t xml:space="preserve">    regN_reuse: across_TM_rows</w:t>
        <w:br/>
        <w:t xml:space="preserve">    C_accumulator_residency: registers</w:t>
      </w:r>
    </w:p>
    <w:p>
      <w:pPr>
        <w:pStyle w:val="Heading2"/>
      </w:pPr>
      <w:r>
        <w:rPr>
          <w:b w:val="0"/>
          <w:i w:val="0"/>
        </w:rPr>
        <w:t>G.7 Physical Layout Transformation: Shared-Memory Transpose and Vectorized Access</w:t>
      </w:r>
    </w:p>
    <w:p>
      <w:pPr/>
      <w:r>
        <w:rPr>
          <w:b w:val="0"/>
          <w:i w:val="0"/>
        </w:rPr>
        <w:t>The vectorized-memory version introduces physical layout metadata. The logical A tile remains [BM, BK], but the shared-memory representation of A is transposed to enable vectorized shared-memory loads. Global memory accesses are converted to float4-style vector loads and stores when alignment and divisibility can be proven. This requires separating LogicalLayoutIR, PhysicalLayoutIR, VectorizationIR, and AlignmentContractIR.</w:t>
      </w:r>
    </w:p>
    <w:p>
      <w:pPr>
        <w:pStyle w:val="CodeBlock"/>
      </w:pPr>
      <w:r>
        <w:rPr>
          <w:b w:val="0"/>
          <w:i w:val="0"/>
        </w:rPr>
        <w:t>VectorizedLayoutTensor:</w:t>
        <w:br/>
        <w:t xml:space="preserve">  A_global_layout: row_major</w:t>
        <w:br/>
        <w:t xml:space="preserve">  As_shared_logical: [BM, BK]</w:t>
        <w:br/>
        <w:t xml:space="preserve">  As_shared_physical: transposed</w:t>
        <w:br/>
        <w:t xml:space="preserve">  global_vector_width: 128_bit</w:t>
        <w:br/>
        <w:t xml:space="preserve">  alignment_contract: required</w:t>
        <w:br/>
        <w:t xml:space="preserve">  spatial_locality: vectorized_and_coalesced</w:t>
      </w:r>
    </w:p>
    <w:p>
      <w:pPr>
        <w:pStyle w:val="Heading2"/>
      </w:pPr>
      <w:r>
        <w:rPr>
          <w:b w:val="0"/>
          <w:i w:val="0"/>
        </w:rPr>
        <w:t>G.8 Warp-Level Intra-Device Parallelization</w:t>
      </w:r>
    </w:p>
    <w:p>
      <w:pPr/>
      <w:r>
        <w:rPr>
          <w:b w:val="0"/>
          <w:i w:val="0"/>
        </w:rPr>
        <w:t>Warptiling inserts a level between block tiles and thread tiles. A CTA owns a block tile, each warp owns a sub-tile, and each thread owns register fragments. This is intra-device parallelization. It should not be classified as scale-up because the tensor state has not crossed device boundaries.</w:t>
      </w:r>
    </w:p>
    <w:p>
      <w:pPr>
        <w:pStyle w:val="CodeBlock"/>
      </w:pPr>
      <w:r>
        <w:rPr>
          <w:b w:val="0"/>
          <w:i w:val="0"/>
        </w:rPr>
        <w:t>WarpTileTensor:</w:t>
        <w:br/>
        <w:t xml:space="preserve">  C_block_tile_owner: CTA</w:t>
        <w:br/>
        <w:t xml:space="preserve">  C_warp_tile_owner: warp</w:t>
        <w:br/>
        <w:t xml:space="preserve">  C_thread_tile_owner: thread</w:t>
        <w:br/>
        <w:t xml:space="preserve">  register_fragments: per_thread</w:t>
        <w:br/>
        <w:t xml:space="preserve">  parallelization_domain: intra_device</w:t>
      </w:r>
    </w:p>
    <w:p>
      <w:pPr>
        <w:pStyle w:val="Heading2"/>
      </w:pPr>
      <w:r>
        <w:rPr>
          <w:b w:val="0"/>
          <w:i w:val="0"/>
        </w:rPr>
        <w:t>G.9 Autotuned Tile Shapes and Target-Specific Schedule Selection</w:t>
      </w:r>
    </w:p>
    <w:p>
      <w:pPr/>
      <w:r>
        <w:rPr>
          <w:b w:val="0"/>
          <w:i w:val="0"/>
        </w:rPr>
        <w:t>The optimized kernel family uses target-specific tile parameters such as BM, BN, BK, TM, and TN. These are ScheduleIR choices constrained by shared-memory capacity, register pressure, occupancy, alignment, vectorization, and memory-bank behavior. They refine the tensor execution descriptor without changing the mathematical GEMM semantics.</w:t>
      </w:r>
    </w:p>
    <w:p>
      <w:pPr>
        <w:pStyle w:val="CodeBlock"/>
      </w:pPr>
      <w:r>
        <w:rPr>
          <w:b w:val="0"/>
          <w:i w:val="0"/>
        </w:rPr>
        <w:t>AutotunedScheduleTensor:</w:t>
        <w:br/>
        <w:t xml:space="preserve">  tile_parameters: [BM, BN, BK, TM, TN]</w:t>
        <w:br/>
        <w:t xml:space="preserve">  constraints: [smem_capacity, register_pressure, occupancy, alignment, vectorization]</w:t>
        <w:br/>
        <w:t xml:space="preserve">  selected_by: target_cost_model</w:t>
        <w:br/>
        <w:t xml:space="preserve">  semantic_shape_change: false</w:t>
      </w:r>
    </w:p>
    <w:p>
      <w:pPr>
        <w:pStyle w:val="Heading2"/>
      </w:pPr>
      <w:r>
        <w:rPr>
          <w:b w:val="0"/>
          <w:i w:val="0"/>
        </w:rPr>
        <w:t>G.10 Split-K Partial Tensor and Reduction Contract</w:t>
      </w:r>
    </w:p>
    <w:p>
      <w:pPr/>
      <w:r>
        <w:rPr>
          <w:b w:val="0"/>
          <w:i w:val="0"/>
        </w:rPr>
        <w:t>The blog observes that cuBLAS may use split-K for some shapes, launching a matmul kernel followed by a split-K reduction kernel. Split-K partitions the K dimension across multiple CTAs or kernels, producing partial C tensors that are incomplete until reduced. This is the intra-device/local-kernel analog of the distributed PartialTensorDescriptor used for tensor parallelism.</w:t>
      </w:r>
    </w:p>
    <w:p>
      <w:pPr>
        <w:pStyle w:val="CodeBlock"/>
      </w:pPr>
      <w:r>
        <w:rPr>
          <w:b w:val="0"/>
          <w:i w:val="0"/>
        </w:rPr>
        <w:t>SplitKPartialTensor:</w:t>
        <w:br/>
        <w:t xml:space="preserve">  C_partial: [M, N, K_partition]</w:t>
        <w:br/>
        <w:t xml:space="preserve">  partial_over: K</w:t>
        <w:br/>
        <w:t xml:space="preserve">  semantic_status: incomplete_until_reduced</w:t>
        <w:br/>
        <w:t xml:space="preserve">  required_reduction: splitKreduce</w:t>
        <w:br/>
        <w:t xml:space="preserve">  gatekeeper_rule: no_complete_consumer_before_reduction</w:t>
      </w:r>
    </w:p>
    <w:p>
      <w:pPr>
        <w:pStyle w:val="Heading2"/>
      </w:pPr>
      <w:r>
        <w:rPr>
          <w:b w:val="0"/>
          <w:i w:val="0"/>
        </w:rPr>
        <w:t>G.11 Mapping to DSC IR</w:t>
      </w:r>
    </w:p>
    <w:p>
      <w:pPr>
        <w:pStyle w:val="CodeBlock"/>
      </w:pPr>
      <w:r>
        <w:rPr>
          <w:b w:val="0"/>
          <w:i w:val="0"/>
        </w:rPr>
        <w:t>The case study maps naturally into DSC IR layers:</w:t>
        <w:br/>
        <w:t>StridedGlobalTensor -&gt; PhysicalLayoutDescriptorIR</w:t>
        <w:br/>
        <w:t>BlockTileTensor -&gt; TileOwnershipDescriptorIR</w:t>
        <w:br/>
        <w:t>CoalescedAccessTensor -&gt; SpatialLocalityDescriptorIR</w:t>
        <w:br/>
        <w:t>SharedMemoryTileTensor -&gt; MemoryHierarchyIR + TemporalLocalityDescriptorIR</w:t>
        <w:br/>
        <w:t>RegisterFragmentTensor -&gt; RegisterFragmentIR</w:t>
        <w:br/>
        <w:t>VectorizedLayoutTensor -&gt; VectorizationContractIR + AlignmentContractIR</w:t>
        <w:br/>
        <w:t>WarpTileTensor -&gt; IntraDeviceParallelizationIR</w:t>
        <w:br/>
        <w:t>SplitKPartialTensor -&gt; PartialTensorDescriptorIR + ReductionContractIR</w:t>
        <w:br/>
        <w:t>FinalGlobalTensor -&gt; CompleteTensorDescriptorIR</w:t>
      </w:r>
    </w:p>
    <w:p>
      <w:pPr>
        <w:pStyle w:val="Heading2"/>
      </w:pPr>
      <w:r>
        <w:rPr>
          <w:b w:val="0"/>
          <w:i w:val="0"/>
        </w:rPr>
        <w:t>G.12 Locality Contracts and Diagnostics</w:t>
      </w:r>
    </w:p>
    <w:p>
      <w:pPr/>
      <w:r>
        <w:rPr>
          <w:b w:val="0"/>
          <w:i w:val="0"/>
        </w:rPr>
        <w:t>The case study motivates locality-specific contracts. CoalescingContractIR verifies warp-lane access order and alignment. SharedMemoryReuseContractIR verifies that a tile is consumed before overwrite. RegisterFragmentContractIR verifies the fragment shape and lifetime. VectorizationContractIR verifies alignment and divisibility. WarpTileContractIR verifies that warp tiles cover the CTA tile. PartialReductionContractIR verifies that split-K partial C is reduced before final consumption.</w:t>
      </w:r>
    </w:p>
    <w:p>
      <w:pPr/>
      <w:r>
        <w:rPr>
          <w:b w:val="0"/>
          <w:i w:val="0"/>
        </w:rPr>
        <w:t>CLOCAL diagnostics should complement CTEVO diagnostics. CTEVO protects cross-stage tensor evolution correctness. CLOCAL protects locality and intra-device transformation correctness. A tensor may pass sharding and type-evolution checks while still failing locality checks if its access pattern cannot coalesce, its vectorization alignment is unproven, or its split-K partial result is consumed before reduction.</w:t>
      </w:r>
    </w:p>
    <w:p>
      <w:pPr>
        <w:pStyle w:val="Heading2"/>
      </w:pPr>
      <w:r>
        <w:rPr>
          <w:b w:val="0"/>
          <w:i w:val="0"/>
        </w:rPr>
        <w:t>G.13 Bandwidth-Driven Interpretation of CUDA MMM</w:t>
      </w:r>
    </w:p>
    <w:p>
      <w:pPr/>
      <w:r>
        <w:rPr>
          <w:b w:val="0"/>
          <w:i w:val="0"/>
        </w:rPr>
        <w:t>The CUDA MMM optimization path is a concrete example of bandwidth-driven intra-device parallelization. Coalesced global memory access improves spatial locality. Shared-memory tiling improves temporal locality by reusing A and B tiles across many multiply-add operations. Register fragments keep partial C values in the fastest tier. Shared-memory transpose and vectorized access repair physical layout so useful bandwidth is not lost to misaligned or unvectorized transactions. Warptiling balances compute ownership and register reuse. Split-K increases parallelism but creates a partial tensor and an explicit reduction bandwidth obligation.</w:t>
      </w:r>
    </w:p>
    <w:p>
      <w:pPr/>
      <w:r>
        <w:rPr>
          <w:rFonts w:ascii="Courier New" w:hAnsi="Courier New" w:eastAsia="Courier New"/>
          <w:sz w:val="18"/>
        </w:rPr>
        <w:t>CUDA_MMM_BandwidthPath:</w:t>
        <w:br/>
        <w:t xml:space="preserve">  global_memory_coalescing -&gt; spatial locality</w:t>
        <w:br/>
        <w:t xml:space="preserve">  shared_memory_tiling -&gt; temporal locality</w:t>
        <w:br/>
        <w:t xml:space="preserve">  register_fragments -&gt; temporal locality at register tier</w:t>
        <w:br/>
        <w:t xml:space="preserve">  vectorized_float4_access -&gt; transaction efficiency</w:t>
        <w:br/>
        <w:t xml:space="preserve">  shared_memory_transpose -&gt; bank/layout repair</w:t>
        <w:br/>
        <w:t xml:space="preserve">  warptiling -&gt; compute/reuse balance</w:t>
        <w:br/>
        <w:t xml:space="preserve">  splitK -&gt; parallelism with partial-reduction bandwidth cost</w:t>
      </w:r>
    </w:p>
    <w:p>
      <w:pPr>
        <w:pStyle w:val="Heading2"/>
      </w:pPr>
      <w:r>
        <w:t>G.14 Final Case-Study Rule</w:t>
      </w:r>
    </w:p>
    <w:p>
      <w:pPr/>
      <w:r>
        <w:rPr>
          <w:b w:val="0"/>
          <w:i w:val="0"/>
        </w:rPr>
        <w:t>High-performance GEMM is not just common.matmul. It is a sequence of tensor descriptor refinements: ownership assignment, spatial-locality remapping, temporal-locality staging, shared-memory tiling, register fragmentation, physical layout transformation, vectorized access, warp decomposition, target-specific schedule selection, and optional partial reduction. DSC should track these refinements explicitly so the compiler can both optimize and sanitize local kernel lowering.</w:t>
      </w:r>
    </w:p>
    <w:p>
      <w:pPr>
        <w:pStyle w:val="Heading1"/>
      </w:pPr>
      <w:r>
        <w:rPr>
          <w:b w:val="0"/>
        </w:rPr>
        <w:t>Appendix H. Bandwidth-Driven Parallelization and Memory-Tier Contracts Across NVIDIA and TPU</w:t>
      </w:r>
    </w:p>
    <w:p>
      <w:pPr>
        <w:pStyle w:val="Heading2"/>
      </w:pPr>
      <w:r>
        <w:rPr>
          <w:b w:val="0"/>
        </w:rPr>
        <w:t>H.1 Purpose</w:t>
      </w:r>
    </w:p>
    <w:p>
      <w:pPr/>
      <w:r>
        <w:rPr>
          <w:b w:val="0"/>
        </w:rPr>
        <w:t>This appendix preserves the detailed backend comparison behind Chapter 5.15. It defines bandwidth-driven parallelization as a portable control-plane policy and then specializes it for NVIDIA Hopper/Blackwell and Google TPU. The goal is not to force TPU to look like CUDA or NVIDIA to look like TPU. The goal is to give the DSC compiler a common way to reason about whether selected compute parallelism can be fed by memory and interconnect bandwidth.</w:t>
      </w:r>
    </w:p>
    <w:p>
      <w:pPr>
        <w:pStyle w:val="Heading2"/>
      </w:pPr>
      <w:r>
        <w:rPr>
          <w:b w:val="0"/>
        </w:rPr>
        <w:t>H.2 Common Bandwidth-Driven Tensor Evolution</w:t>
      </w:r>
    </w:p>
    <w:p>
      <w:pPr>
        <w:pStyle w:val="CodeBlock"/>
      </w:pPr>
      <w:r>
        <w:rPr>
          <w:rFonts w:ascii="Courier New" w:hAnsi="Courier New" w:eastAsia="Courier New"/>
          <w:sz w:val="18"/>
        </w:rPr>
        <w:t>LogicalTensor</w:t>
        <w:br/>
        <w:t xml:space="preserve">  -&gt; ShardedOrLocalTensor</w:t>
        <w:br/>
        <w:t xml:space="preserve">  -&gt; TileOwnershipDescriptor</w:t>
        <w:br/>
        <w:t xml:space="preserve">  -&gt; PhysicalLayoutDescriptor</w:t>
        <w:br/>
        <w:t xml:space="preserve">  -&gt; LocalScratchpadDescriptor</w:t>
        <w:br/>
        <w:t xml:space="preserve">  -&gt; BulkMovementDescriptor</w:t>
        <w:br/>
        <w:t xml:space="preserve">  -&gt; AsyncPipelineDescriptor</w:t>
        <w:br/>
        <w:t xml:space="preserve">  -&gt; ComputeFragmentDescriptor</w:t>
        <w:br/>
        <w:t xml:space="preserve">  -&gt; CompleteOrPartialTensorDescriptor</w:t>
      </w:r>
    </w:p>
    <w:p>
      <w:pPr/>
      <w:r>
        <w:rPr>
          <w:b w:val="0"/>
        </w:rPr>
        <w:t>The common idea is that the compiler must track not only shape and sharding, but also how bytes move through the memory hierarchy and whether the layout exposes enough useful spatial and temporal locality. Spatial locality improves transaction efficiency; temporal locality improves reuse before eviction or overwrite.</w:t>
      </w:r>
    </w:p>
    <w:p>
      <w:pPr>
        <w:pStyle w:val="Heading2"/>
      </w:pPr>
      <w:r>
        <w:rPr>
          <w:b w:val="0"/>
        </w:rPr>
        <w:t>H.3 NVIDIA Hopper and Blackwell Realization</w:t>
      </w:r>
    </w:p>
    <w:p>
      <w:pPr/>
      <w:r>
        <w:rPr>
          <w:b w:val="0"/>
        </w:rPr>
        <w:t>On NVIDIA GPUs, the bandwidth-driven controls include coalesced global memory, vectorized loads/stores, shared-memory bank conflict avoidance, shared-memory/L1 carveout, register-fragment reuse, TMA, distributed shared memory, and NVLink/NVSwitch/NVL collectives. Hopper adds TMA for asynchronous tensor movement and DSM through thread block clusters; Blackwell preserves the cluster/DSM model and extends B200/GB200 memory and interconnect capacity characteristics [48][49].</w:t>
      </w:r>
    </w:p>
    <w:p>
      <w:pPr>
        <w:pStyle w:val="CodeBlock"/>
      </w:pPr>
      <w:r>
        <w:rPr>
          <w:rFonts w:ascii="Courier New" w:hAnsi="Courier New" w:eastAsia="Courier New"/>
          <w:sz w:val="18"/>
        </w:rPr>
        <w:t>nvidia_bandwidth_contract:</w:t>
        <w:br/>
        <w:t xml:space="preserve">  global_memory:</w:t>
        <w:br/>
        <w:t xml:space="preserve">    coalesced_access_required: true</w:t>
        <w:br/>
        <w:t xml:space="preserve">    vector_width: 128_bit_when_possible</w:t>
        <w:br/>
        <w:t xml:space="preserve">    alignment_proof: required</w:t>
        <w:br/>
        <w:t xml:space="preserve">  shared_memory:</w:t>
        <w:br/>
        <w:t xml:space="preserve">    bank_mapping: required</w:t>
        <w:br/>
        <w:t xml:space="preserve">    conflict_degree: bounded</w:t>
        <w:br/>
        <w:t xml:space="preserve">    repairs: [padding, transpose, swizzle, thread_mapping_change]</w:t>
        <w:br/>
        <w:t xml:space="preserve">  tma:</w:t>
        <w:br/>
        <w:t xml:space="preserve">    tensor_rank: 1D_to_5D</w:t>
        <w:br/>
        <w:t xml:space="preserve">    async_barrier: required</w:t>
        <w:br/>
        <w:t xml:space="preserve">    movement_compute_overlap: planned</w:t>
        <w:br/>
        <w:t xml:space="preserve">  distributed_shared_memory:</w:t>
        <w:br/>
        <w:t xml:space="preserve">    coalesced_32B_aligned_access: preferred</w:t>
        <w:br/>
        <w:t xml:space="preserve">    non_unit_stride: avoid_or_repair</w:t>
      </w:r>
    </w:p>
    <w:p>
      <w:pPr>
        <w:pStyle w:val="Heading2"/>
      </w:pPr>
      <w:r>
        <w:rPr>
          <w:b w:val="0"/>
        </w:rPr>
        <w:t>H.4 Google TPU Realization</w:t>
      </w:r>
    </w:p>
    <w:p>
      <w:pPr/>
      <w:r>
        <w:rPr>
          <w:b w:val="0"/>
        </w:rPr>
        <w:t>On TPU, the bandwidth-driven controls are HBM-to-VMEM DMA pipelining, VMEM tile shape, vector-register tile layout, MXU/VPU scheduling, layout assignment, padding control, packing dimensions, ICI bandwidth inside a slice, and DCN bandwidth across Multislice. Pallas describes TPUs as sequential machines with very wide vector registers and background asynchronous operations for memory access and MXU work; Pallas BlockSpec tiles map HBM-backed arrays into VMEM/SMEM buffers whose communication can be overlapped with compute [50].</w:t>
      </w:r>
    </w:p>
    <w:p>
      <w:pPr>
        <w:pStyle w:val="CodeBlock"/>
      </w:pPr>
      <w:r>
        <w:rPr>
          <w:rFonts w:ascii="Courier New" w:hAnsi="Courier New" w:eastAsia="Courier New"/>
          <w:sz w:val="18"/>
        </w:rPr>
        <w:t>tpu_bandwidth_contract:</w:t>
        <w:br/>
        <w:t xml:space="preserve">  hbm_to_vmem:</w:t>
        <w:br/>
        <w:t xml:space="preserve">    movement: DMA</w:t>
        <w:br/>
        <w:t xml:space="preserve">    buffering: double_or_multi_buffer</w:t>
        <w:br/>
        <w:t xml:space="preserve">    overlap_with_compute: required_when_bandwidth_bound</w:t>
        <w:br/>
        <w:t xml:space="preserve">  vmem:</w:t>
        <w:br/>
        <w:t xml:space="preserve">    tile_shape: target_selected</w:t>
        <w:br/>
        <w:t xml:space="preserve">    capacity_budget: required</w:t>
        <w:br/>
        <w:t xml:space="preserve">    conflict_or_padding_waste: bounded</w:t>
        <w:br/>
        <w:t xml:space="preserve">  vreg_layout:</w:t>
        <w:br/>
        <w:t xml:space="preserve">    last_two_axes: performance_critical</w:t>
        <w:br/>
        <w:t xml:space="preserve">    tile_alignment: target_required</w:t>
        <w:br/>
        <w:t xml:space="preserve">  compute_units:</w:t>
        <w:br/>
        <w:t xml:space="preserve">    mxu_bundle_utilization: target_metric</w:t>
        <w:br/>
        <w:t xml:space="preserve">    vpu_overlap: planned</w:t>
        <w:br/>
        <w:t xml:space="preserve">  fabric:</w:t>
        <w:br/>
        <w:t xml:space="preserve">    scale_up: ICI</w:t>
        <w:br/>
        <w:t xml:space="preserve">    scale_out: DCN_multislice</w:t>
      </w:r>
    </w:p>
    <w:p>
      <w:pPr>
        <w:pStyle w:val="Heading2"/>
      </w:pPr>
      <w:r>
        <w:rPr>
          <w:b w:val="0"/>
        </w:rPr>
        <w:t>H.5 Portable Diagnostic Policy</w:t>
      </w:r>
    </w:p>
    <w:p>
      <w:pPr>
        <w:pStyle w:val="CodeBlock"/>
      </w:pPr>
      <w:r>
        <w:rPr>
          <w:rFonts w:ascii="Courier New" w:hAnsi="Courier New" w:eastAsia="Courier New"/>
          <w:sz w:val="18"/>
        </w:rPr>
        <w:t>CBW-001 GlobalMemoryAccessNotCoalesced</w:t>
        <w:br/>
        <w:t>CBW-002 VectorizationOrTileAlignmentNotProven</w:t>
        <w:br/>
        <w:t>CBW-003 LocalScratchpadBankOrTileConflictDetected</w:t>
        <w:br/>
        <w:t>CBW-005 BulkTensorMovementContractMissing</w:t>
        <w:br/>
        <w:t>CBW-007 AsyncPipelineBarrierMissing</w:t>
        <w:br/>
        <w:t>CBW-008 LocalScratchpadCapacityInsufficient</w:t>
        <w:br/>
        <w:t>CBW-010 ScaleOutFabricUsedForLatencyCriticalPath</w:t>
        <w:br/>
        <w:t>CBW-012 ComputeParallelismExceedsMemoryFeedCapacity</w:t>
        <w:br/>
        <w:t>CBW-013 VREGSpillRiskExceeded</w:t>
        <w:br/>
        <w:t>CBW-014 SmallDMATransferInefficient</w:t>
        <w:br/>
        <w:t>CBW-015 PaddingWasteExceedsBudget</w:t>
      </w:r>
    </w:p>
    <w:p>
      <w:pPr>
        <w:pStyle w:val="Heading2"/>
      </w:pPr>
      <w:r>
        <w:rPr>
          <w:b w:val="0"/>
        </w:rPr>
        <w:t>H.6 Relationship to CUDA MMM Case Study</w:t>
      </w:r>
    </w:p>
    <w:p>
      <w:pPr/>
      <w:r>
        <w:rPr>
          <w:b w:val="0"/>
        </w:rPr>
        <w:t>Appendix G shows bandwidth-driven intra-device transformation in a concrete CUDA GEMM. Coalescing and float4 vectorization improve spatial locality. Shared-memory tiling, register fragments, and warptiling improve temporal locality. Split-K introduces more parallelism but creates a partial tensor and extra reduction bandwidth. Appendix H generalizes that logic to a hardware-neutral rule: every backend must prove that its compute and distribution plan can be fed by its local memory and interconnect hierarchy.</w:t>
      </w:r>
    </w:p>
    <w:p>
      <w:pPr>
        <w:pStyle w:val="Heading2"/>
      </w:pPr>
      <w:r>
        <w:rPr>
          <w:b w:val="0"/>
        </w:rPr>
        <w:t>H.7 Final Appendix Rule</w:t>
      </w:r>
    </w:p>
    <w:p>
      <w:pPr/>
      <w:r>
        <w:rPr>
          <w:b w:val="0"/>
        </w:rPr>
        <w:t>Bandwidth-driven parallelization is accepted only when the compiler can prove or bound the bandwidth path from tensor source to compute fragment to result. The proof may be static, profiled, or guarded, but it must be explicit in the control plane. Otherwise, the plan is rejected as performance-invalid even if it is semantically legal.</w:t>
      </w:r>
    </w:p>
    <w:p>
      <w:pPr>
        <w:pStyle w:val="Heading1"/>
      </w:pPr>
      <w:r>
        <w:br w:type="page"/>
      </w:r>
      <w:r>
        <w:t>Appendix I. PyTorch/XLA StableHLO Export Pattern and Open64 WHIRL Ingestion Strategy</w:t>
      </w:r>
    </w:p>
    <w:p>
      <w:pPr>
        <w:pStyle w:val="Heading2"/>
      </w:pPr>
      <w:r>
        <w:t>I.1 Research Question</w:t>
      </w:r>
    </w:p>
    <w:p>
      <w:pPr/>
      <w:r>
        <w:t>This appendix preserves the research analysis that motivated Chapter 7. The question was how XLA receives StableHLO from PyTorch, how the StableHLO construction/export path is packaged so that PyTorch can use it, how Python reaches C++ compiler/runtime APIs, how StableHLO is passed to XLA, and how the same integration pattern should guide a Python DSL to binary WHIRL ingestion path for Open64.</w:t>
      </w:r>
    </w:p>
    <w:p>
      <w:pPr>
        <w:pStyle w:val="Heading2"/>
      </w:pPr>
      <w:r>
        <w:t>I.2 PyTorch to StableHLO Front Doors</w:t>
      </w:r>
    </w:p>
    <w:p>
      <w:pPr/>
      <w:r>
        <w:t>The documented PyTorch/XLA path begins with torch.export creating an ExportedProgram containing a torch.fx graph. PyTorch/XLA then converts that ExportedProgram to StableHLO. Current documentation also describes a torchax-based route that converts an exported PyTorch program to a JAX exported object containing StableHLO MLIR. Earlier OpenXLA tutorial material shows torch_xla.stablehlo.exported_program_to_stablehlo producing a StableHLO program with get_stablehlo_text. [57][58]</w:t>
      </w:r>
    </w:p>
    <w:p>
      <w:pPr/>
      <w:r>
        <w:t>Control pattern:</w:t>
      </w:r>
    </w:p>
    <w:p>
      <w:pPr>
        <w:pStyle w:val="CodeBlock"/>
      </w:pPr>
      <w:r>
        <w:t>PyTorch nn.Module</w:t>
        <w:br/>
        <w:t xml:space="preserve">  -&gt; torch.export.export(model, sample_inputs)</w:t>
        <w:br/>
        <w:t xml:space="preserve">  -&gt; ExportedProgram / FX graph</w:t>
        <w:br/>
        <w:t xml:space="preserve">  -&gt; exported_program_to_stablehlo</w:t>
        <w:br/>
        <w:t xml:space="preserve">  -&gt; StableHLO text / bytecode / exported object</w:t>
      </w:r>
    </w:p>
    <w:p>
      <w:pPr>
        <w:pStyle w:val="Heading2"/>
      </w:pPr>
      <w:r>
        <w:t>I.3 What torch.export Contributes</w:t>
      </w:r>
    </w:p>
    <w:p>
      <w:pPr/>
      <w:r>
        <w:t>torch.export is the Python program capture boundary. It normalizes Python model execution into an ahead-of-time graph representation, lifts parameters and constants into explicit graph inputs or bundle entries, and records input/output signatures. This is the exact kind of boundary needed by a WHIRL-producing Python front end: Python remains useful for model authoring and capture, while the compiler receives a stable artifact. [59]</w:t>
      </w:r>
    </w:p>
    <w:p>
      <w:pPr>
        <w:pStyle w:val="Heading2"/>
      </w:pPr>
      <w:r>
        <w:t>I.4 PyTorch/XLA StableHLO Packaging</w:t>
      </w:r>
    </w:p>
    <w:p>
      <w:pPr/>
      <w:r>
        <w:t>The PyTorch/XLA StableHLO exporter is packaged as a Python module plus a compiled extension. The Python layer contains export options, a graph module wrapper, bundle serialization, input/output signature records, and an FX interpreter. The compiled torch_xla._XLAC extension provides XLA tensor identity, dynamic dimension marking, StableHLO execution, and access to underlying XLA graph values. The source file torch_xla/stablehlo.py exposes classes such as StableHLOExportOptions, StableHLOGraphModule, VariableSignature, InputLocation, StableHLOFunctionMeta, StableHLOFunc, StableHLOModelBundle, and XLAExportInterpreter. [60]</w:t>
      </w:r>
    </w:p>
    <w:p>
      <w:pPr/>
      <w:r>
        <w:t>Package model:</w:t>
      </w:r>
    </w:p>
    <w:p>
      <w:pPr>
        <w:pStyle w:val="CodeBlock"/>
      </w:pPr>
      <w:r>
        <w:t>torch_xla Python package</w:t>
        <w:br/>
        <w:t xml:space="preserve">  torch_xla.stablehlo Python orchestration</w:t>
        <w:br/>
        <w:t xml:space="preserve">  torch.fx Interpreter subclass</w:t>
        <w:br/>
        <w:t xml:space="preserve">  StableHLO bundle and metadata classes</w:t>
        <w:br/>
        <w:t xml:space="preserve">  torch_xla._XLAC compiled extension</w:t>
        <w:br/>
        <w:t xml:space="preserve">    XLA tensor/device hooks</w:t>
        <w:br/>
        <w:t xml:space="preserve">    dynamic dimension hooks</w:t>
        <w:br/>
        <w:t xml:space="preserve">    StableHLO bytecode execution</w:t>
        <w:br/>
        <w:t xml:space="preserve">    XLA graph value extraction</w:t>
      </w:r>
    </w:p>
    <w:p>
      <w:pPr>
        <w:pStyle w:val="Heading2"/>
      </w:pPr>
      <w:r>
        <w:t>I.5 Python Interpreter to C++ API Flow</w:t>
      </w:r>
    </w:p>
    <w:p>
      <w:pPr/>
      <w:r>
        <w:t>The PyTorch/XLA exporter does not require user Python to manually call every StableHLO op builder. Instead, the Python interpreter runs an FX graph using XLA tensors. PyTorch/XLA captures the resulting lazy XLA graph and then asks the backend to emit StableHLO bytecode or text. The source shows XLAExportInterpreter running the graph, marking dynamic dimensions through torch_xla._XLAC._xla_mark_dynamic, retrieving tensor ids through _xla_get_tensor_id, getting graph input values through _get_tensors_xla_device_data_node, and emitting StableHLO through xm.get_stablehlo_bytecode and xm.get_stablehlo. [60]</w:t>
      </w:r>
    </w:p>
    <w:p>
      <w:pPr/>
      <w:r>
        <w:t>Observed flow:</w:t>
      </w:r>
    </w:p>
    <w:p>
      <w:pPr>
        <w:pStyle w:val="CodeBlock"/>
      </w:pPr>
      <w:r>
        <w:t>ExportedProgram</w:t>
        <w:br/>
        <w:t xml:space="preserve">  -&gt; run decompositions</w:t>
        <w:br/>
        <w:t xml:space="preserve">  -&gt; flatten inputs</w:t>
        <w:br/>
        <w:t xml:space="preserve">  -&gt; move inputs to XLA device</w:t>
        <w:br/>
        <w:t xml:space="preserve">  -&gt; XLAExportInterpreter executes FX graph</w:t>
        <w:br/>
        <w:t xml:space="preserve">  -&gt; PyTorch/XLA captures lazy XLA graph</w:t>
        <w:br/>
        <w:t xml:space="preserve">  -&gt; xm.get_stablehlo_bytecode(outputs)</w:t>
        <w:br/>
        <w:t xml:space="preserve">  -&gt; xm.get_stablehlo(outputs)</w:t>
        <w:br/>
        <w:t xml:space="preserve">  -&gt; StableHLOModelBundle</w:t>
      </w:r>
    </w:p>
    <w:p>
      <w:pPr>
        <w:pStyle w:val="Heading2"/>
      </w:pPr>
      <w:r>
        <w:t>I.6 StableHLO Builder and Serialization Context</w:t>
      </w:r>
    </w:p>
    <w:p>
      <w:pPr/>
      <w:r>
        <w:t>StableHLO itself provides a specification plus an MLIR-based implementation in C++ and Python, and it uses MLIR bytecode as a serialization format with versioning and compatibility guarantees. The generated StableHLO builder APIs exist for creating StableHLO operations directly, but the PyTorch/XLA export path is better understood as a graph capture and backend-emission path rather than a user-level manual builder path. [61][62]</w:t>
      </w:r>
    </w:p>
    <w:p>
      <w:pPr/>
      <w:r>
        <w:t>Design lesson for Open64: WHIRL should expose a builder library and Python extension, but the normal user-facing path should be graph capture plus WhirlExportInterpreter, not hand-written Python construction of every WHIRL node.</w:t>
      </w:r>
    </w:p>
    <w:p>
      <w:pPr>
        <w:pStyle w:val="Heading2"/>
      </w:pPr>
      <w:r>
        <w:t>I.7 How StableHLO Is Passed to XLA</w:t>
      </w:r>
    </w:p>
    <w:p>
      <w:pPr/>
      <w:r>
        <w:t>StableHLO can be produced as text or bytecode and then consumed by XLA/PJRT compilation and execution paths. PyTorch/XLA can execute a saved StableHLO function through torch_xla._XLAC._run_stablehlo. At the broader OpenXLA layer, PJRT provides device API abstractions and compile/load/execution boundaries for device backends. PyTorch/XLA plugin documentation describes a plugin as containing a binary PJRT C API implementation and a Python package that configures device plugin setup. [60][63][64]</w:t>
      </w:r>
    </w:p>
    <w:p>
      <w:pPr/>
      <w:r>
        <w:t>Handoff pattern:</w:t>
      </w:r>
    </w:p>
    <w:p>
      <w:pPr>
        <w:pStyle w:val="CodeBlock"/>
      </w:pPr>
      <w:r>
        <w:t>StableHLO bytecode/text</w:t>
        <w:br/>
        <w:t xml:space="preserve">  -&gt; StableHLO import / HLO conversion</w:t>
        <w:br/>
        <w:t xml:space="preserve">  -&gt; XLA optimization pipeline</w:t>
        <w:br/>
        <w:t xml:space="preserve">  -&gt; PJRT compile/load executable</w:t>
        <w:br/>
        <w:t xml:space="preserve">  -&gt; device execution</w:t>
      </w:r>
    </w:p>
    <w:p>
      <w:pPr>
        <w:pStyle w:val="Heading2"/>
      </w:pPr>
      <w:r>
        <w:t>I.8 Why Custom Calls Are Not the Right Ingestion Analogy</w:t>
      </w:r>
    </w:p>
    <w:p>
      <w:pPr/>
      <w:r>
        <w:t>XLA custom calls are useful for representing external runtime operations in an HLO module and registering implementations through XLA FFI. However, they are not the right architectural analogy for DSC ingestion. A custom call or intrinsic-style representation is already too close to runtime ABI. DSC needs to preserve domain operators before lowering so that the gatekeeper can verify contracts and promotion policy can operate. [65]</w:t>
      </w:r>
    </w:p>
    <w:p>
      <w:pPr/>
      <w:r>
        <w:t>Therefore the Open64 design should prefer first-class very-high-level WHIRL operators at ingestion and lower to intrinsic ops or runtime calls only after semantic verification.</w:t>
      </w:r>
    </w:p>
    <w:p>
      <w:pPr>
        <w:pStyle w:val="Heading2"/>
      </w:pPr>
      <w:r>
        <w:t>I.9 Open64 WHIRL Ingestion Strategy</w:t>
      </w:r>
    </w:p>
    <w:p>
      <w:pPr/>
      <w:r>
        <w:t>The Open64 equivalent of the StableHLO pattern is a torch2whirl or dsc2whirl front end. The Python process captures the DSL/model graph, calls a C++ WHIRL builder extension, emits a mapped binary WHIRL image, and exits. The Open64 driver then consumes the binary WHIRL artifact independently of Python.</w:t>
      </w:r>
    </w:p>
    <w:p>
      <w:pPr/>
      <w:r>
        <w:t>Proposed chain:</w:t>
      </w:r>
    </w:p>
    <w:p>
      <w:pPr>
        <w:pStyle w:val="CodeBlock"/>
      </w:pPr>
      <w:r>
        <w:t>Python model / DSL</w:t>
        <w:br/>
        <w:t xml:space="preserve">  -&gt; torch.export / FX / DSC graph capture</w:t>
        <w:br/>
        <w:t xml:space="preserve">  -&gt; WhirlExportInterpreter</w:t>
        <w:br/>
        <w:t xml:space="preserve">  -&gt; open64_dsc._whirl C++ extension</w:t>
        <w:br/>
        <w:t xml:space="preserve">  -&gt; libopen64_whirl_builder</w:t>
        <w:br/>
        <w:t xml:space="preserve">  -&gt; binary very-high-level WHIRL</w:t>
        <w:br/>
        <w:t xml:space="preserve">  -&gt; opencc -x whirl</w:t>
        <w:br/>
        <w:t xml:space="preserve">  -&gt; DSC gatekeeper</w:t>
        <w:br/>
        <w:t xml:space="preserve">  -&gt; Open64 middle end and backend</w:t>
      </w:r>
    </w:p>
    <w:p>
      <w:pPr>
        <w:pStyle w:val="Heading2"/>
      </w:pPr>
      <w:r>
        <w:t>I.10 API Set for open64_dsc</w:t>
      </w:r>
    </w:p>
    <w:p>
      <w:pPr/>
      <w:r>
        <w:t>The Python package should provide export_to_whirl, save_as_whirl, WhirlExportOptions, WhirlGraphModule, get_whirl_binary, get_whirl_text, get_tensor_descriptor_json, save, and load. The C++ extension should expose a Context, Module, Function, Type, Symbol, TensorDescriptor, Operator, Attribute, Contract, Metadata, and WhirlMappedImageFinalizer API. The important naming rule is CreateOperator, not CreateIntrinsic, and FinalizeMappedImage, not FinalizeMappedImage.</w:t>
      </w:r>
    </w:p>
    <w:p>
      <w:pPr/>
      <w:r>
        <w:t>Minimal Python-visible builder path:</w:t>
      </w:r>
    </w:p>
    <w:p>
      <w:pPr>
        <w:pStyle w:val="CodeBlock"/>
      </w:pPr>
      <w:r>
        <w:t>ctx = _whirl.Context()</w:t>
        <w:br/>
        <w:t>mod = ctx.create_module("resnet18")</w:t>
        <w:br/>
        <w:t>fn = ctx.create_function(mod, "forward", signature)</w:t>
        <w:br/>
        <w:t>x = ctx.create_input(fn, "x", tensor_descriptor)</w:t>
        <w:br/>
        <w:t>w = ctx.create_parameter(fn, "conv1.weight", weight_descriptor)</w:t>
        <w:br/>
        <w:t>y = ctx.create_operator(</w:t>
        <w:br/>
        <w:t xml:space="preserve">    fn,</w:t>
        <w:br/>
        <w:t xml:space="preserve">    opcode="OPR_DSC_CNN_CONV2D",</w:t>
        <w:br/>
        <w:t xml:space="preserve">    operands=[x, w],</w:t>
        <w:br/>
        <w:t xml:space="preserve">    attributes={</w:t>
        <w:br/>
        <w:t xml:space="preserve">        "kernel_shape": [7, 7],</w:t>
        <w:br/>
        <w:t xml:space="preserve">        "strides": [2, 2],</w:t>
        <w:br/>
        <w:t xml:space="preserve">        "pads": [3, 3, 3, 3],</w:t>
        <w:br/>
        <w:t xml:space="preserve">        "groups": 1})</w:t>
        <w:br/>
        <w:t>ctx.attach_tensor_descriptor(y, output_descriptor)</w:t>
        <w:br/>
        <w:t>ctx.finalize_mapped_image(mod, "resnet18.B")</w:t>
      </w:r>
    </w:p>
    <w:p>
      <w:pPr>
        <w:pStyle w:val="Heading2"/>
      </w:pPr>
      <w:r>
        <w:t>I.11 Binary WHIRL Bundle Contents</w:t>
      </w:r>
    </w:p>
    <w:p>
      <w:pPr/>
      <w:r>
        <w:t>The binary WHIRL file should contain the WHIRL tree, symbol table, type table, tensor descriptor table, opcode attribute table, contract table, metadata/provenance table, constant or weight table, and version/capability section. This makes the artifact self-describing enough for the Open64 gatekeeper while keeping the Python front end outside the middle-end pipeline.</w:t>
      </w:r>
    </w:p>
    <w:p>
      <w:pPr>
        <w:pStyle w:val="Heading2"/>
      </w:pPr>
      <w:r>
        <w:t>I.12 Implementation Phases</w:t>
      </w:r>
    </w:p>
    <w:p>
      <w:pPr/>
      <w:r>
        <w:t>Phase 1 should implement a ResNet-only vertical slice with first-class high-level operators and a readable WHIRL dump. Phase 2 should implement TensorDescriptorIR and descriptor table emission in the mapped WHIRL image. Phase 3 should integrate opencc -x whirl consumption. Phase 4 should add gatekeeper and conformance tests. Phase 5 should add target-independent optimization and staged lowering from domain operators to common operators, parallelization plans, intrinsic ops, loop/tile/memory IR, and backend code.</w:t>
      </w:r>
    </w:p>
    <w:p>
      <w:pPr>
        <w:pStyle w:val="Heading2"/>
      </w:pPr>
      <w:r>
        <w:t>I.13 Final Design Choice</w:t>
      </w:r>
    </w:p>
    <w:p>
      <w:pPr/>
      <w:r>
        <w:t>The PyTorch/XLA StableHLO path validates the architecture of Python capture plus compiled IR builder plus binary compiler artifact. DSC should adopt that integration pattern but generate mapped binary very-high-level WHIRL with first-class operators. Intrinsic ops are a lowering product, not the ingestion representation; target-independent Open64 optimizations such as fusion and canonicalization should run before parallelization and target-specific lowering.</w:t>
      </w:r>
    </w:p>
    <w:p>
      <w:pPr>
        <w:pStyle w:val="Heading1"/>
        <w:pageBreakBefore/>
      </w:pPr>
      <w:r>
        <w:t>Appendix J. DSC-to-SGLang Native Kernel Packaging and CUBIN Generation</w:t>
      </w:r>
    </w:p>
    <w:p>
      <w:pPr>
        <w:pStyle w:val="Heading2"/>
      </w:pPr>
      <w:r>
        <w:t>J.1 Purpose and Scope</w:t>
      </w:r>
    </w:p>
    <w:p>
      <w:r>
        <w:t>This appendix is the NVIDIA implementation companion to Chapters 12 and 13. Chapter 12 defines the code-generation architecture and replaceable TargetAssemblyGenerator / NativeBinaryFinalizer contracts; Chapter 13 defines the runnable SGLang integration vertical slice. This appendix supplies the concrete PTX/CUBIN production, binary validation, packaging, and loading procedure used by the first NVIDIA implementation.</w:t>
      </w:r>
    </w:p>
    <w:p>
      <w:pPr>
        <w:pStyle w:val="CodeBlock"/>
      </w:pPr>
      <w:r>
        <w:t>DSC high-level operation</w:t>
        <w:br/>
        <w:t xml:space="preserve">    -&gt; FusionAnalysisViewIR and selected plan</w:t>
        <w:br/>
        <w:t xml:space="preserve">    -&gt; DeviceKernelIR and KernelABIIR</w:t>
        <w:br/>
        <w:t xml:space="preserve">    -&gt; NvidiaPTXGenerator provider</w:t>
        <w:br/>
        <w:t xml:space="preserve">         [DSC-native | LLVM/NVPTX | Triton | TVM | generated-CUDA path]</w:t>
        <w:br/>
        <w:t xml:space="preserve">    -&gt; PTX</w:t>
        <w:br/>
        <w:t xml:space="preserve">    -&gt; NvidiaCubinFinalizer provider</w:t>
        <w:br/>
        <w:t xml:space="preserve">         [ptxas | Driver JIT | nvJitLink]</w:t>
        <w:br/>
        <w:t xml:space="preserve">    -&gt; CUBIN/FATBIN</w:t>
        <w:br/>
        <w:t xml:space="preserve">    -&gt; DSCSGLangNativePackage</w:t>
        <w:br/>
        <w:t xml:space="preserve">    -&gt; startup-time module load and cached function handle</w:t>
      </w:r>
    </w:p>
    <w:p>
      <w:pPr>
        <w:pStyle w:val="Heading2"/>
        <w:keepNext/>
      </w:pPr>
      <w:r>
        <w:t>J.2 Responsibility Boundary</w:t>
      </w:r>
    </w:p>
    <w:tbl>
      <w:tblPr>
        <w:tblStyle w:val="TableGrid"/>
        <w:tblW w:type="auto" w:w="0"/>
        <w:jc w:val="center"/>
        <w:tblLook w:firstColumn="1" w:firstRow="1" w:lastColumn="0" w:lastRow="0" w:noHBand="0" w:noVBand="1" w:val="04A0"/>
      </w:tblPr>
      <w:tblGrid>
        <w:gridCol w:w="4968"/>
        <w:gridCol w:w="4968"/>
      </w:tblGrid>
      <w:tr>
        <w:trPr>
          <w:tblHeader/>
          <w:cantSplit/>
        </w:trPr>
        <w:tc>
          <w:tcPr>
            <w:tcW w:type="dxa" w:w="2448"/>
            <w:vAlign w:val="center"/>
          </w:tcPr>
          <w:p>
            <w:r>
              <w:rPr>
                <w:b/>
              </w:rPr>
              <w:t>Owner</w:t>
            </w:r>
          </w:p>
        </w:tc>
        <w:tc>
          <w:tcPr>
            <w:tcW w:type="dxa" w:w="7632"/>
            <w:vAlign w:val="center"/>
          </w:tcPr>
          <w:p>
            <w:r>
              <w:rPr>
                <w:b/>
              </w:rPr>
              <w:t>Responsibilities</w:t>
            </w:r>
          </w:p>
        </w:tc>
      </w:tr>
      <w:tr>
        <w:trPr>
          <w:cantSplit/>
        </w:trPr>
        <w:tc>
          <w:tcPr>
            <w:tcW w:type="dxa" w:w="2448"/>
            <w:vAlign w:val="top"/>
          </w:tcPr>
          <w:p>
            <w:r>
              <w:t>DSC compiler</w:t>
            </w:r>
          </w:p>
        </w:tc>
        <w:tc>
          <w:tcPr>
            <w:tcW w:type="dxa" w:w="7632"/>
            <w:vAlign w:val="top"/>
          </w:tcPr>
          <w:p>
            <w:r>
              <w:t>Semantic preservation; fusion, shape, tiling and pipeline plans; DeviceKernelIR; ABI; PTX or CUDA source emission; build orchestration; manifests; certification; dispatch and runtime plans.</w:t>
            </w:r>
          </w:p>
        </w:tc>
      </w:tr>
      <w:tr>
        <w:trPr>
          <w:cantSplit/>
        </w:trPr>
        <w:tc>
          <w:tcPr>
            <w:tcW w:type="dxa" w:w="2448"/>
            <w:vAlign w:val="top"/>
          </w:tcPr>
          <w:p>
            <w:r>
              <w:t>NVIDIA toolchain</w:t>
            </w:r>
          </w:p>
        </w:tc>
        <w:tc>
          <w:tcPr>
            <w:tcW w:type="dxa" w:w="7632"/>
            <w:vAlign w:val="top"/>
          </w:tcPr>
          <w:p>
            <w:r>
              <w:t>PTX validation and optimization; register allocation; instruction scheduling and encoding; SASS generation; CUBIN ELF construction; device linking and optional device LTO.</w:t>
            </w:r>
          </w:p>
        </w:tc>
      </w:tr>
      <w:tr>
        <w:trPr>
          <w:cantSplit/>
        </w:trPr>
        <w:tc>
          <w:tcPr>
            <w:tcW w:type="dxa" w:w="2448"/>
            <w:vAlign w:val="top"/>
          </w:tcPr>
          <w:p>
            <w:r>
              <w:t>SGLang plus DSC adapter</w:t>
            </w:r>
          </w:p>
        </w:tc>
        <w:tc>
          <w:tcPr>
            <w:tcW w:type="dxa" w:w="7632"/>
            <w:vAlign w:val="top"/>
          </w:tcPr>
          <w:p>
            <w:r>
              <w:t>Server lifecycle; model and KV runtime; package loading; target selection; function-handle caching; launch; fallback; metrics; runtime feedback.</w:t>
            </w:r>
          </w:p>
        </w:tc>
      </w:tr>
    </w:tbl>
    <w:p>
      <w:pPr>
        <w:pStyle w:val="Heading2"/>
      </w:pPr>
      <w:r>
        <w:t>J.3 NVIDIA Finalization Architecture and Initial Code-Generation Routes</w:t>
      </w:r>
    </w:p>
    <w:p>
      <w:r>
        <w:t>The long-term DSC NVIDIA architecture should require a conforming NvidiaPTXGenerator and NvidiaCubinFinalizer rather than require LLVM itself. The first production-quality implementation may leverage LLVM/NVPTX because it provides a mature PTX emission path, while a lightweight DSC-native PTX emitter, Triton, TVM, or generated CUDA may implement the same generator contract for selected kernels. The native finalizer then converts PTX or another supported NVIDIA device-code form into the target CUBIN. [90][91][94]</w:t>
      </w:r>
    </w:p>
    <w:p>
      <w:pPr>
        <w:pStyle w:val="CodeBlock"/>
      </w:pPr>
      <w:r>
        <w:t>TransformerSemanticIR</w:t>
        <w:br/>
        <w:t xml:space="preserve">    -&gt; FusionAnalysisViewIR</w:t>
        <w:br/>
        <w:t xml:space="preserve">    -&gt; certified FusionPlanIR / TilePlanIR / PipelinePlanIR</w:t>
        <w:br/>
        <w:t xml:space="preserve">    -&gt; DeviceKernelIR</w:t>
        <w:br/>
        <w:t xml:space="preserve">    -&gt; NvidiaPTXGenerator</w:t>
        <w:br/>
        <w:t xml:space="preserve">    -&gt; PTX</w:t>
        <w:br/>
        <w:t xml:space="preserve">    -&gt; NvidiaCubinFinalizer</w:t>
        <w:br/>
        <w:t xml:space="preserve">    -&gt; target-specific CUBIN</w:t>
      </w:r>
    </w:p>
    <w:p>
      <w:pPr>
        <w:pStyle w:val="Heading2"/>
      </w:pPr>
      <w:r>
        <w:t>J.4 Why DSC Should Not Generate CUBIN Directly</w:t>
      </w:r>
    </w:p>
    <w:p>
      <w:r>
        <w:t>Direct CUBIN generation would require DSC to implement NVIDIA SASS instruction selection, register allocation, scheduling, control encoding, architecture-specific instruction encoding, ELF sections and symbols, relocation handling, and compatibility behavior expected by the CUDA driver. The recommended boundary is that DSC controls the program through PTX and delegates final target binary construction to NVIDIA tools [90][93].</w:t>
      </w:r>
    </w:p>
    <w:p>
      <w:pPr>
        <w:pStyle w:val="CodeBlock"/>
      </w:pPr>
      <w:r>
        <w:t>DSC owns: decomposition, fusion, tiling, layouts, warp roles, memory spaces, synchronization, software-pipeline structure, tensor instructions, launch geometry, and numerical contracts.</w:t>
        <w:br/>
        <w:t>NVIDIA owns: PTX-to-SASS finalization and CUBIN construction.</w:t>
      </w:r>
    </w:p>
    <w:p>
      <w:pPr>
        <w:pStyle w:val="Heading2"/>
      </w:pPr>
      <w:r>
        <w:t>J.5 Required Backend IR Objects</w:t>
      </w:r>
    </w:p>
    <w:p>
      <w:r>
        <w:t>DeviceKernelIR shall represent a complete GPU kernel before target code generation.</w:t>
      </w:r>
    </w:p>
    <w:p>
      <w:pPr>
        <w:pStyle w:val="CodeBlock"/>
      </w:pPr>
      <w:r>
        <w:t>DeviceKernelIR {</w:t>
        <w:br/>
        <w:t xml:space="preserve">  kernel_id</w:t>
        <w:br/>
        <w:t xml:space="preserve">  semantic_origin_operator_ids</w:t>
        <w:br/>
        <w:t xml:space="preserve">  selected_plan_ids</w:t>
        <w:br/>
        <w:t xml:space="preserve">  target_id</w:t>
        <w:br/>
        <w:t xml:space="preserve">  parameters and tensor arguments</w:t>
        <w:br/>
        <w:t xml:space="preserve">  grid, block, warp, and lane mappings</w:t>
        <w:br/>
        <w:t xml:space="preserve">  global, constant, shared, TMEM, register, and local objects</w:t>
        <w:br/>
        <w:t xml:space="preserve">  synchronization and asynchronous pipeline barriers</w:t>
        <w:br/>
        <w:t xml:space="preserve">  operations and control flow</w:t>
        <w:br/>
        <w:t xml:space="preserve">  pipeline stages, buffers, and initiation interval</w:t>
        <w:br/>
        <w:t xml:space="preserve">  precision, alias, alignment, and launch contracts</w:t>
        <w:br/>
        <w:t>}</w:t>
      </w:r>
    </w:p>
    <w:p>
      <w:r>
        <w:t>KernelABIIR defines the exact host/device contract and entry symbol.</w:t>
      </w:r>
    </w:p>
    <w:p>
      <w:pPr>
        <w:pStyle w:val="CodeBlock"/>
      </w:pPr>
      <w:r>
        <w:t>KernelABIIR {</w:t>
        <w:br/>
        <w:t xml:space="preserve">  kernel_symbol</w:t>
        <w:br/>
        <w:t xml:space="preserve">  ABI_version</w:t>
        <w:br/>
        <w:t xml:space="preserve">  parameter order and scalar encoding</w:t>
        <w:br/>
        <w:t xml:space="preserve">  pointer address spaces and alignment</w:t>
        <w:br/>
        <w:t xml:space="preserve">  shape and stride parameters</w:t>
        <w:br/>
        <w:t xml:space="preserve">  dynamic shared-memory formula</w:t>
        <w:br/>
        <w:t xml:space="preserve">  workspace and persistent-state contracts</w:t>
        <w:br/>
        <w:t xml:space="preserve">  stream and completion semantics</w:t>
        <w:br/>
        <w:t>}</w:t>
      </w:r>
    </w:p>
    <w:p>
      <w:r>
        <w:t>NvidiaTargetDescriptionIR captures the GPU facts needed by planning and code generation.</w:t>
      </w:r>
    </w:p>
    <w:p>
      <w:pPr>
        <w:pStyle w:val="CodeBlock"/>
      </w:pPr>
      <w:r>
        <w:t>NvidiaTargetDescriptionIR {</w:t>
        <w:br/>
        <w:t xml:space="preserve">  compute capability and SM target</w:t>
        <w:br/>
        <w:t xml:space="preserve">  PTX ISA version</w:t>
        <w:br/>
        <w:t xml:space="preserve">  warp and thread-block limits</w:t>
        <w:br/>
        <w:t xml:space="preserve">  register, shared-memory, and TMEM capacities</w:t>
        <w:br/>
        <w:t xml:space="preserve">  tensor-core and asynchronous-copy capabilities</w:t>
        <w:br/>
        <w:t xml:space="preserve">  supported dtypes and atomics</w:t>
        <w:br/>
        <w:t xml:space="preserve">  binary compatibility class</w:t>
        <w:br/>
        <w:t>}</w:t>
      </w:r>
    </w:p>
    <w:p>
      <w:pPr>
        <w:pStyle w:val="Heading2"/>
        <w:keepNext/>
      </w:pPr>
      <w:r>
        <w:t>J.6 Feasible Code-Generation Routes</w:t>
      </w:r>
    </w:p>
    <w:tbl>
      <w:tblPr>
        <w:tblStyle w:val="TableGrid"/>
        <w:tblW w:type="auto" w:w="0"/>
        <w:jc w:val="center"/>
        <w:tblLook w:firstColumn="1" w:firstRow="1" w:lastColumn="0" w:lastRow="0" w:noHBand="0" w:noVBand="1" w:val="04A0"/>
      </w:tblPr>
      <w:tblGrid>
        <w:gridCol w:w="3312"/>
        <w:gridCol w:w="3312"/>
        <w:gridCol w:w="3312"/>
      </w:tblGrid>
      <w:tr>
        <w:trPr>
          <w:tblHeader/>
          <w:cantSplit/>
        </w:trPr>
        <w:tc>
          <w:tcPr>
            <w:tcW w:type="dxa" w:w="2088"/>
            <w:vAlign w:val="center"/>
          </w:tcPr>
          <w:p>
            <w:r>
              <w:rPr>
                <w:b/>
              </w:rPr>
              <w:t>Route</w:t>
            </w:r>
          </w:p>
        </w:tc>
        <w:tc>
          <w:tcPr>
            <w:tcW w:type="dxa" w:w="5184"/>
            <w:vAlign w:val="center"/>
          </w:tcPr>
          <w:p>
            <w:r>
              <w:rPr>
                <w:b/>
              </w:rPr>
              <w:t>Pipeline</w:t>
            </w:r>
          </w:p>
        </w:tc>
        <w:tc>
          <w:tcPr>
            <w:tcW w:type="dxa" w:w="3240"/>
            <w:vAlign w:val="center"/>
          </w:tcPr>
          <w:p>
            <w:r>
              <w:rPr>
                <w:b/>
              </w:rPr>
              <w:t>Recommended role</w:t>
            </w:r>
          </w:p>
        </w:tc>
      </w:tr>
      <w:tr>
        <w:trPr>
          <w:cantSplit/>
        </w:trPr>
        <w:tc>
          <w:tcPr>
            <w:tcW w:type="dxa" w:w="2088"/>
            <w:vAlign w:val="top"/>
          </w:tcPr>
          <w:p>
            <w:r>
              <w:t>A: CUDA C++ bootstrap</w:t>
            </w:r>
          </w:p>
        </w:tc>
        <w:tc>
          <w:tcPr>
            <w:tcW w:type="dxa" w:w="5184"/>
            <w:vAlign w:val="top"/>
          </w:tcPr>
          <w:p>
            <w:r>
              <w:t>DeviceKernelIR -&gt; generated CUDA C++ -&gt; nvcc --cubin -&gt; CUBIN</w:t>
            </w:r>
          </w:p>
        </w:tc>
        <w:tc>
          <w:tcPr>
            <w:tcW w:type="dxa" w:w="3240"/>
            <w:vAlign w:val="top"/>
          </w:tcPr>
          <w:p>
            <w:r>
              <w:t>First runnable RMSNorm; easiest debugging and CUTLASS/CuTe use.</w:t>
            </w:r>
          </w:p>
        </w:tc>
      </w:tr>
      <w:tr>
        <w:trPr>
          <w:cantSplit/>
        </w:trPr>
        <w:tc>
          <w:tcPr>
            <w:tcW w:type="dxa" w:w="2088"/>
            <w:vAlign w:val="top"/>
          </w:tcPr>
          <w:p>
            <w:r>
              <w:t>B: Native DSC PTX</w:t>
            </w:r>
          </w:p>
        </w:tc>
        <w:tc>
          <w:tcPr>
            <w:tcW w:type="dxa" w:w="5184"/>
            <w:vAlign w:val="top"/>
          </w:tcPr>
          <w:p>
            <w:r>
              <w:t>DeviceKernelIR -&gt; DSCPTXIR (optional) -&gt; direct DSC PTX emission -&gt; NvidiaCubinFinalizer -&gt; CUBIN</w:t>
            </w:r>
          </w:p>
        </w:tc>
        <w:tc>
          <w:tcPr>
            <w:tcW w:type="dxa" w:w="3240"/>
            <w:vAlign w:val="top"/>
          </w:tcPr>
          <w:p>
            <w:r>
              <w:t>Lightweight native DSC route for the supported PTX subset; avoids mandatory LLVM dependency.</w:t>
            </w:r>
          </w:p>
        </w:tc>
      </w:tr>
      <w:tr>
        <w:trPr>
          <w:cantSplit/>
        </w:trPr>
        <w:tc>
          <w:tcPr>
            <w:tcW w:type="dxa" w:w="2088"/>
            <w:vAlign w:val="top"/>
          </w:tcPr>
          <w:p>
            <w:r>
              <w:t>C: Kernel compiler handoff</w:t>
            </w:r>
          </w:p>
        </w:tc>
        <w:tc>
          <w:tcPr>
            <w:tcW w:type="dxa" w:w="5184"/>
            <w:vAlign w:val="top"/>
          </w:tcPr>
          <w:p>
            <w:r>
              <w:t>DSC plan -&gt; Triton IR, CuTe DSL, or TVM TensorIR -&gt; PTX -&gt; CUBIN</w:t>
            </w:r>
          </w:p>
        </w:tc>
        <w:tc>
          <w:tcPr>
            <w:tcW w:type="dxa" w:w="3240"/>
            <w:vAlign w:val="top"/>
          </w:tcPr>
          <w:p>
            <w:r>
              <w:t>Optional provider for sophisticated tiling and autotuning.</w:t>
            </w:r>
          </w:p>
        </w:tc>
      </w:tr>
    </w:tbl>
    <w:p>
      <w:r>
        <w:t>The CUDA C++ route proves the operational package and SGLang connection. The native PTX route establishes the permanent architecture. Both routes must share the same KernelABIIR, manifest schema, loader, tests, and benchmark protocol.</w:t>
      </w:r>
    </w:p>
    <w:p>
      <w:pPr>
        <w:pStyle w:val="Heading2"/>
      </w:pPr>
      <w:r>
        <w:t>J.7 Bootstrap Command Path</w:t>
      </w:r>
    </w:p>
    <w:p>
      <w:r>
        <w:t>A minimum CUDA C++ bootstrap may use nvcc to emit a device-only CUBIN. Actual flags must be derived from the target description and recorded in the manifest [90].</w:t>
      </w:r>
    </w:p>
    <w:p>
      <w:pPr>
        <w:pStyle w:val="CodeBlock"/>
      </w:pPr>
      <w:r>
        <w:t>nvcc -O3 --cubin \</w:t>
        <w:br/>
        <w:t xml:space="preserve">  -arch=&lt;sm_target&gt; \</w:t>
        <w:br/>
        <w:t xml:space="preserve">  -Xptxas=-v \</w:t>
        <w:br/>
        <w:t xml:space="preserve">  -lineinfo \</w:t>
        <w:br/>
        <w:t xml:space="preserve">  dsc_rmsnorm.cu \</w:t>
        <w:br/>
        <w:t xml:space="preserve">  -o dsc_rmsnorm.cubin</w:t>
      </w:r>
    </w:p>
    <w:p>
      <w:r>
        <w:t>The long-term native route should emit PTX and invoke ptxas directly.</w:t>
      </w:r>
    </w:p>
    <w:p>
      <w:pPr>
        <w:pStyle w:val="CodeBlock"/>
      </w:pPr>
      <w:r>
        <w:t>ptxas -O3 \</w:t>
        <w:br/>
        <w:t xml:space="preserve">  -arch=&lt;sm_target&gt; \</w:t>
        <w:br/>
        <w:t xml:space="preserve">  --verbose \</w:t>
        <w:br/>
        <w:t xml:space="preserve">  --generate-line-info \</w:t>
        <w:br/>
        <w:t xml:space="preserve">  dsc_rmsnorm.ptx \</w:t>
        <w:br/>
        <w:t xml:space="preserve">  -o dsc_rmsnorm.cubin</w:t>
      </w:r>
    </w:p>
    <w:p>
      <w:pPr>
        <w:pStyle w:val="Heading2"/>
      </w:pPr>
      <w:r>
        <w:t>J.8 Performance-Kernel Library Integration</w:t>
      </w:r>
    </w:p>
    <w:p>
      <w:r>
        <w:t>DSC must distinguish host-invoked libraries from code that becomes part of a generated CUBIN. cuBLASLt, cuDNN, NCCL, FlashInfer runtime entry points, and precompiled SGLang or TensorRT-LLM kernels are normally represented as host runtime calls in RuntimePlanIR or KernelDispatchPlanIR. They are not ordinarily called from inside a DSC CUBIN. CUTLASS or CuTe templates may be instantiated in generated CUDA C++ and compiled into the CUBIN. Device-callable objects or LTO IR may be linked with nvlink or nvJitLink when an explicit device-link contract exists [82][95].</w:t>
      </w:r>
    </w:p>
    <w:p>
      <w:pPr>
        <w:pStyle w:val="CodeBlock"/>
      </w:pPr>
      <w:r>
        <w:t>SGLang / DSC host runtime</w:t>
        <w:br/>
        <w:t xml:space="preserve">    |-- launch DSC CUBIN kernel</w:t>
        <w:br/>
        <w:t xml:space="preserve">    |-- call cuBLASLt or cuDNN</w:t>
        <w:br/>
        <w:t xml:space="preserve">    |-- call FlashInfer or stock SGLang kernel</w:t>
        <w:br/>
        <w:t xml:space="preserve">    `-- call NCCL collective</w:t>
        <w:br/>
        <w:br/>
        <w:t>Generated CUDA C++</w:t>
        <w:br/>
        <w:t xml:space="preserve">    `-- instantiate CUTLASS/CuTe template -&gt; code included in CUBIN</w:t>
      </w:r>
    </w:p>
    <w:p>
      <w:pPr>
        <w:pStyle w:val="Heading2"/>
      </w:pPr>
      <w:r>
        <w:t>J.9 NvidiaBinaryBuildDriver</w:t>
      </w:r>
    </w:p>
    <w:p>
      <w:r>
        <w:t>DSC shall invoke the NVIDIA toolchain through a versioned build-driver abstraction rather than ad hoc shell commands.</w:t>
      </w:r>
    </w:p>
    <w:p>
      <w:pPr>
        <w:pStyle w:val="CodeBlock"/>
      </w:pPr>
      <w:r>
        <w:t>NvidiaBinaryBuildDriver {</w:t>
        <w:br/>
        <w:t xml:space="preserve">  locate_toolchain</w:t>
        <w:br/>
        <w:t xml:space="preserve">  validate_target_and_PTX_versions</w:t>
        <w:br/>
        <w:t xml:space="preserve">  compile_cuda_to_PTX_or_CUBIN</w:t>
        <w:br/>
        <w:t xml:space="preserve">  compile_PTX_to_CUBIN</w:t>
        <w:br/>
        <w:t xml:space="preserve">  device_link_and_optional_LTO</w:t>
        <w:br/>
        <w:t xml:space="preserve">  construct_FATBIN</w:t>
        <w:br/>
        <w:t xml:space="preserve">  extract_resource_report</w:t>
        <w:br/>
        <w:t xml:space="preserve">  inspect_symbols_and_target</w:t>
        <w:br/>
        <w:t xml:space="preserve">  package_PTX_fallback</w:t>
        <w:br/>
        <w:t xml:space="preserve">  record_toolchain_identity</w:t>
        <w:br/>
        <w:t>}</w:t>
      </w:r>
    </w:p>
    <w:p>
      <w:r>
        <w:t>Every build record shall include the target-assembly generator provider and version, native finalizer provider and version, CUDA Toolkit where applicable, PTX ISA, target SM, compiler flags, DSC revision, semantic origin IDs, selected plan IDs, and PerformanceModelSnapshotIR used for selection. LLVM is recorded when LLVM/NVPTX is the selected provider rather than being a universal DSC dependency.</w:t>
      </w:r>
    </w:p>
    <w:p>
      <w:pPr>
        <w:pStyle w:val="Heading2"/>
      </w:pPr>
      <w:r>
        <w:t>J.10 Resource Validation and Feedback</w:t>
      </w:r>
    </w:p>
    <w:p>
      <w:r>
        <w:t>Verbose ptxas output shall be parsed into KernelResourceFactIR. These measured compiler facts replace or calibrate earlier register, shared-memory, occupancy, and spill estimates and may invalidate a selected plan.</w:t>
      </w:r>
    </w:p>
    <w:p>
      <w:pPr>
        <w:pStyle w:val="CodeBlock"/>
      </w:pPr>
      <w:r>
        <w:t>KernelResourceFactIR {</w:t>
        <w:br/>
        <w:t xml:space="preserve">  kernel_id and CUBIN_id</w:t>
        <w:br/>
        <w:t xml:space="preserve">  registers_per_thread</w:t>
        <w:br/>
        <w:t xml:space="preserve">  static and dynamic shared memory</w:t>
        <w:br/>
        <w:t xml:space="preserve">  constant and local memory</w:t>
        <w:br/>
        <w:t xml:space="preserve">  stack frame</w:t>
        <w:br/>
        <w:t xml:space="preserve">  spill loads and stores</w:t>
        <w:br/>
        <w:t xml:space="preserve">  maximum threads and target SM</w:t>
        <w:br/>
        <w:t xml:space="preserve">  predicted occupancy</w:t>
        <w:br/>
        <w:t xml:space="preserve">  resource limit reason</w:t>
        <w:br/>
        <w:t>}</w:t>
      </w:r>
    </w:p>
    <w:p>
      <w:r>
        <w:t>The gatekeeper shall reject or replan kernels that exceed target limits, introduce unexpected local-memory use, spill beyond policy, violate launch constraints, or reduce occupancy below a certified performance floor without a compensating end-to-end gain.</w:t>
      </w:r>
    </w:p>
    <w:p>
      <w:pPr>
        <w:pStyle w:val="Heading2"/>
      </w:pPr>
      <w:r>
        <w:t>J.11 Binary Inspection and Certification</w:t>
      </w:r>
    </w:p>
    <w:p>
      <w:r>
        <w:t>The build pipeline shall use NVIDIA binary utilities to verify target architecture, kernel symbols, sections, unresolved references, and disassembly availability. cuobjdump and nvdisasm provide the required binary inspection and SASS-disassembly capabilities [93]. Initial certification need not understand every SASS instruction, but it must verify that the expected entry symbols and target code are present and that resource metadata is recorded.</w:t>
      </w:r>
    </w:p>
    <w:p>
      <w:pPr>
        <w:pStyle w:val="Heading2"/>
      </w:pPr>
      <w:r>
        <w:t>J.12 Runtime Loading and Function-Handle Caching</w:t>
      </w:r>
    </w:p>
    <w:p>
      <w:r>
        <w:t>At SGLang startup, the DSC shared library selects the exact compatible CUBIN when available, falls back to PTX JIT only under an approved policy, loads the module through the CUDA Driver API, retrieves the kernel entry function, and caches the module and function handles for repeated launches [92].</w:t>
      </w:r>
    </w:p>
    <w:p>
      <w:pPr>
        <w:pStyle w:val="CodeBlock"/>
      </w:pPr>
      <w:r>
        <w:t>startup:</w:t>
        <w:br/>
        <w:t xml:space="preserve">  detect GPU and software environment</w:t>
        <w:br/>
        <w:t xml:space="preserve">  validate package compatibility</w:t>
        <w:br/>
        <w:t xml:space="preserve">  choose exact CUBIN or PTX fallback</w:t>
        <w:br/>
        <w:t xml:space="preserve">  cuModuleLoad / cuModuleLoadData</w:t>
        <w:br/>
        <w:t xml:space="preserve">  cuModuleGetFunction</w:t>
        <w:br/>
        <w:t xml:space="preserve">  cache handles and launch metadata</w:t>
        <w:br/>
        <w:t xml:space="preserve">  warm up and certify</w:t>
        <w:br/>
        <w:t xml:space="preserve">  mark provider ready</w:t>
        <w:br/>
        <w:br/>
        <w:t>request hot path:</w:t>
        <w:br/>
        <w:t xml:space="preserve">  dispatch-table lookup</w:t>
        <w:br/>
        <w:t xml:space="preserve">  marshal ABI arguments</w:t>
        <w:br/>
        <w:t xml:space="preserve">  launch cached function on SGLang stream</w:t>
      </w:r>
    </w:p>
    <w:p>
      <w:pPr>
        <w:pStyle w:val="Heading2"/>
      </w:pPr>
      <w:r>
        <w:t>J.13 CUBIN and PTX Compatibility Policy</w:t>
      </w:r>
    </w:p>
    <w:p>
      <w:r>
        <w:t>CUBIN is architecture-specific and must be selected according to a declared compatibility policy. PTX is retained as a forward-compatible fallback that the installed driver may JIT into native code. The resulting code is cached and reused; it is not JIT-compiled per request [90][92].</w:t>
      </w:r>
    </w:p>
    <w:p>
      <w:pPr>
        <w:pStyle w:val="CodeBlock"/>
      </w:pPr>
      <w:r>
        <w:t>selection order:</w:t>
        <w:br/>
        <w:t xml:space="preserve">  exact certified CUBIN</w:t>
        <w:br/>
        <w:t xml:space="preserve">    -&gt; compatible same-family CUBIN only when policy permits</w:t>
        <w:br/>
        <w:t xml:space="preserve">    -&gt; certified PTX JIT fallback</w:t>
        <w:br/>
        <w:t xml:space="preserve">    -&gt; stock SGLang kernel</w:t>
      </w:r>
    </w:p>
    <w:p>
      <w:pPr>
        <w:pStyle w:val="Heading2"/>
      </w:pPr>
      <w:r>
        <w:t>J.14 Kernel Manifest</w:t>
      </w:r>
    </w:p>
    <w:p>
      <w:pPr>
        <w:pStyle w:val="CodeBlock"/>
      </w:pPr>
      <w:r>
        <w:t>KernelManifest {</w:t>
        <w:br/>
        <w:t xml:space="preserve">  package_id and version</w:t>
        <w:br/>
        <w:t xml:space="preserve">  DSC, target-generator, finalizer, CUDA/PTX where applicable, and ABI versions</w:t>
        <w:br/>
        <w:t xml:space="preserve">  model and target compatibility</w:t>
        <w:br/>
        <w:t xml:space="preserve">  kernels: [</w:t>
        <w:br/>
        <w:t xml:space="preserve">    kernel_id and semantic operation</w:t>
        <w:br/>
        <w:t xml:space="preserve">    entry symbol and binary path</w:t>
        <w:br/>
        <w:t xml:space="preserve">    target SM and PTX fallback</w:t>
        <w:br/>
        <w:t xml:space="preserve">    supported shapes, dtypes, layouts, and alignment</w:t>
        <w:br/>
        <w:t xml:space="preserve">    grid, block, and dynamic shared-memory formulas</w:t>
        <w:br/>
        <w:t xml:space="preserve">    resource report</w:t>
        <w:br/>
        <w:t xml:space="preserve">    graph-capture and determinism flags</w:t>
        <w:br/>
        <w:t xml:space="preserve">    numerical tolerance and certification ID</w:t>
        <w:br/>
        <w:t xml:space="preserve">    fallback provider</w:t>
        <w:br/>
        <w:t xml:space="preserve">  ]</w:t>
        <w:br/>
        <w:t>}</w:t>
      </w:r>
    </w:p>
    <w:p>
      <w:pPr>
        <w:pStyle w:val="Heading2"/>
      </w:pPr>
      <w:r>
        <w:t>J.15 Minimum Runnable CUBIN Implementation</w:t>
      </w:r>
    </w:p>
    <w:p>
      <w:pPr/>
      <w:r>
        <w:t>1. Represent RMSNorm as one supported semantic operation and produce a minimum DeviceKernelIR.</w:t>
      </w:r>
    </w:p>
    <w:p>
      <w:pPr/>
      <w:r>
        <w:t>2. Detect one installed NVIDIA target and construct NvidiaTargetDescriptionIR.</w:t>
      </w:r>
    </w:p>
    <w:p>
      <w:pPr/>
      <w:r>
        <w:t>3. Define one stable KernelABIIR with input, weight, output, shape, epsilon, workspace, and stream arguments.</w:t>
      </w:r>
    </w:p>
    <w:p>
      <w:pPr/>
      <w:r>
        <w:t>4. Invoke the selected NvidiaPTXGenerator provider (native DSC, LLVM/NVPTX, Triton, TVM, or generated-CUDA route) and produce PTX or the provider-supported device-code input.</w:t>
      </w:r>
    </w:p>
    <w:p>
      <w:pPr/>
      <w:r>
        <w:t>5. Invoke nvcc or ptxas to produce one target-specific CUBIN and retain PTX as fallback.</w:t>
      </w:r>
    </w:p>
    <w:p>
      <w:pPr/>
      <w:r>
        <w:t>6. Parse the finalizer resource report and inspect the binary symbols and target.</w:t>
      </w:r>
    </w:p>
    <w:p>
      <w:pPr/>
      <w:r>
        <w:t>7. Build libdsc_sglang_ops.so with module loading, function-handle caching, argument marshaling, launch, fallback, and telemetry.</w:t>
      </w:r>
    </w:p>
    <w:p>
      <w:pPr/>
      <w:r>
        <w:t>8. Register one SGLang dispatch hook and retain the stock RMSNorm implementation.</w:t>
      </w:r>
    </w:p>
    <w:p>
      <w:pPr/>
      <w:r>
        <w:t>9. Run kernel correctness, model equivalence, memory/stream, and benchmark tests.</w:t>
      </w:r>
    </w:p>
    <w:p>
      <w:pPr/>
      <w:r>
        <w:t>10. Record the complete compiler, target, package, plan, and performance-model provenance.</w:t>
      </w:r>
    </w:p>
    <w:p>
      <w:pPr>
        <w:pStyle w:val="Heading2"/>
        <w:keepNext/>
      </w:pPr>
      <w:r>
        <w:t>J.16 Implementation Sequence</w:t>
      </w:r>
    </w:p>
    <w:tbl>
      <w:tblPr>
        <w:tblStyle w:val="TableGrid"/>
        <w:tblW w:type="auto" w:w="0"/>
        <w:jc w:val="center"/>
        <w:tblLook w:firstColumn="1" w:firstRow="1" w:lastColumn="0" w:lastRow="0" w:noHBand="0" w:noVBand="1" w:val="04A0"/>
      </w:tblPr>
      <w:tblGrid>
        <w:gridCol w:w="4968"/>
        <w:gridCol w:w="4968"/>
      </w:tblGrid>
      <w:tr>
        <w:trPr>
          <w:tblHeader/>
          <w:cantSplit/>
        </w:trPr>
        <w:tc>
          <w:tcPr>
            <w:tcW w:type="dxa" w:w="2376"/>
            <w:vAlign w:val="center"/>
          </w:tcPr>
          <w:p>
            <w:r>
              <w:rPr>
                <w:b/>
              </w:rPr>
              <w:t>Phase</w:t>
            </w:r>
          </w:p>
        </w:tc>
        <w:tc>
          <w:tcPr>
            <w:tcW w:type="dxa" w:w="7704"/>
            <w:vAlign w:val="center"/>
          </w:tcPr>
          <w:p>
            <w:r>
              <w:rPr>
                <w:b/>
              </w:rPr>
              <w:t>Implementation</w:t>
            </w:r>
          </w:p>
        </w:tc>
      </w:tr>
      <w:tr>
        <w:trPr>
          <w:cantSplit/>
        </w:trPr>
        <w:tc>
          <w:tcPr>
            <w:tcW w:type="dxa" w:w="2376"/>
            <w:vAlign w:val="top"/>
          </w:tcPr>
          <w:p>
            <w:r>
              <w:t>1: Operational bootstrap</w:t>
            </w:r>
          </w:p>
        </w:tc>
        <w:tc>
          <w:tcPr>
            <w:tcW w:type="dxa" w:w="7704"/>
            <w:vAlign w:val="top"/>
          </w:tcPr>
          <w:p>
            <w:r>
              <w:t>DeviceKernelIR -&gt; generated CUDA C++ -&gt; nvcc --cubin -&gt; shared-library loader -&gt; SGLang.</w:t>
            </w:r>
          </w:p>
        </w:tc>
      </w:tr>
      <w:tr>
        <w:trPr>
          <w:cantSplit/>
        </w:trPr>
        <w:tc>
          <w:tcPr>
            <w:tcW w:type="dxa" w:w="2376"/>
            <w:vAlign w:val="top"/>
          </w:tcPr>
          <w:p>
            <w:r>
              <w:t>2: Native DSC backend</w:t>
            </w:r>
          </w:p>
        </w:tc>
        <w:tc>
          <w:tcPr>
            <w:tcW w:type="dxa" w:w="7704"/>
            <w:vAlign w:val="top"/>
          </w:tcPr>
          <w:p>
            <w:r>
              <w:t>DeviceKernelIR -&gt; NvidiaPTXGenerator (native DSC initially; alternate providers allowed) -&gt; PTX -&gt; NvidiaCubinFinalizer -&gt; same loader and package.</w:t>
            </w:r>
          </w:p>
        </w:tc>
      </w:tr>
      <w:tr>
        <w:trPr>
          <w:cantSplit/>
        </w:trPr>
        <w:tc>
          <w:tcPr>
            <w:tcW w:type="dxa" w:w="2376"/>
            <w:vAlign w:val="top"/>
          </w:tcPr>
          <w:p>
            <w:r>
              <w:t>3: Fusion and specialization</w:t>
            </w:r>
          </w:p>
        </w:tc>
        <w:tc>
          <w:tcPr>
            <w:tcW w:type="dxa" w:w="7704"/>
            <w:vAlign w:val="top"/>
          </w:tcPr>
          <w:p>
            <w:r>
              <w:t>Fused regions, shape/dtype variants, pipeline schedules, CUDA Graph certification, and profile-guided selection.</w:t>
            </w:r>
          </w:p>
        </w:tc>
      </w:tr>
      <w:tr>
        <w:trPr>
          <w:cantSplit/>
        </w:trPr>
        <w:tc>
          <w:tcPr>
            <w:tcW w:type="dxa" w:w="2376"/>
            <w:vAlign w:val="top"/>
          </w:tcPr>
          <w:p>
            <w:r>
              <w:t>4: Linking and library composition</w:t>
            </w:r>
          </w:p>
        </w:tc>
        <w:tc>
          <w:tcPr>
            <w:tcW w:type="dxa" w:w="7704"/>
            <w:vAlign w:val="top"/>
          </w:tcPr>
          <w:p>
            <w:r>
              <w:t>Relocatable device code, nvlink/nvJitLink, device LTO, and reusable device libraries where justified.</w:t>
            </w:r>
          </w:p>
        </w:tc>
      </w:tr>
    </w:tbl>
    <w:p>
      <w:pPr>
        <w:pStyle w:val="Heading2"/>
        <w:keepNext/>
      </w:pPr>
      <w:r>
        <w:t>J.17 Diagnostics</w:t>
      </w:r>
    </w:p>
    <w:tbl>
      <w:tblPr>
        <w:tblStyle w:val="TableGrid"/>
        <w:tblW w:type="auto" w:w="0"/>
        <w:jc w:val="center"/>
        <w:tblLook w:firstColumn="1" w:firstRow="1" w:lastColumn="0" w:lastRow="0" w:noHBand="0" w:noVBand="1" w:val="04A0"/>
      </w:tblPr>
      <w:tblGrid>
        <w:gridCol w:w="4968"/>
        <w:gridCol w:w="4968"/>
      </w:tblGrid>
      <w:tr>
        <w:trPr>
          <w:tblHeader/>
          <w:cantSplit/>
        </w:trPr>
        <w:tc>
          <w:tcPr>
            <w:tcW w:type="dxa" w:w="3528"/>
            <w:vAlign w:val="center"/>
          </w:tcPr>
          <w:p>
            <w:r>
              <w:rPr>
                <w:b/>
              </w:rPr>
              <w:t>Diagnostic</w:t>
            </w:r>
          </w:p>
        </w:tc>
        <w:tc>
          <w:tcPr>
            <w:tcW w:type="dxa" w:w="6552"/>
            <w:vAlign w:val="center"/>
          </w:tcPr>
          <w:p>
            <w:r>
              <w:rPr>
                <w:b/>
              </w:rPr>
              <w:t>Meaning</w:t>
            </w:r>
          </w:p>
        </w:tc>
      </w:tr>
      <w:tr>
        <w:trPr>
          <w:cantSplit/>
        </w:trPr>
        <w:tc>
          <w:tcPr>
            <w:tcW w:type="dxa" w:w="3528"/>
            <w:vAlign w:val="top"/>
          </w:tcPr>
          <w:p>
            <w:r>
              <w:t>CNVK-001 TargetDescriptionMissing</w:t>
            </w:r>
          </w:p>
        </w:tc>
        <w:tc>
          <w:tcPr>
            <w:tcW w:type="dxa" w:w="6552"/>
            <w:vAlign w:val="top"/>
          </w:tcPr>
          <w:p>
            <w:r>
              <w:t>No complete NVIDIA target description exists for code generation.</w:t>
            </w:r>
          </w:p>
        </w:tc>
      </w:tr>
      <w:tr>
        <w:trPr>
          <w:cantSplit/>
        </w:trPr>
        <w:tc>
          <w:tcPr>
            <w:tcW w:type="dxa" w:w="3528"/>
            <w:vAlign w:val="top"/>
          </w:tcPr>
          <w:p>
            <w:r>
              <w:t>CNVK-002 KernelABIMismatch</w:t>
            </w:r>
          </w:p>
        </w:tc>
        <w:tc>
          <w:tcPr>
            <w:tcW w:type="dxa" w:w="6552"/>
            <w:vAlign w:val="top"/>
          </w:tcPr>
          <w:p>
            <w:r>
              <w:t>Host manifest and device entry signature disagree.</w:t>
            </w:r>
          </w:p>
        </w:tc>
      </w:tr>
      <w:tr>
        <w:trPr>
          <w:cantSplit/>
        </w:trPr>
        <w:tc>
          <w:tcPr>
            <w:tcW w:type="dxa" w:w="3528"/>
            <w:vAlign w:val="top"/>
          </w:tcPr>
          <w:p>
            <w:r>
              <w:t>CNVK-003 PTXVersionUnsupported</w:t>
            </w:r>
          </w:p>
        </w:tc>
        <w:tc>
          <w:tcPr>
            <w:tcW w:type="dxa" w:w="6552"/>
            <w:vAlign w:val="top"/>
          </w:tcPr>
          <w:p>
            <w:r>
              <w:t>Generated PTX is incompatible with the selected toolkit or driver policy.</w:t>
            </w:r>
          </w:p>
        </w:tc>
      </w:tr>
      <w:tr>
        <w:trPr>
          <w:cantSplit/>
        </w:trPr>
        <w:tc>
          <w:tcPr>
            <w:tcW w:type="dxa" w:w="3528"/>
            <w:vAlign w:val="top"/>
          </w:tcPr>
          <w:p>
            <w:r>
              <w:t>CNVK-004 CUBINTargetMismatch</w:t>
            </w:r>
          </w:p>
        </w:tc>
        <w:tc>
          <w:tcPr>
            <w:tcW w:type="dxa" w:w="6552"/>
            <w:vAlign w:val="top"/>
          </w:tcPr>
          <w:p>
            <w:r>
              <w:t>The binary target is not compatible with the deployment GPU.</w:t>
            </w:r>
          </w:p>
        </w:tc>
      </w:tr>
      <w:tr>
        <w:trPr>
          <w:cantSplit/>
        </w:trPr>
        <w:tc>
          <w:tcPr>
            <w:tcW w:type="dxa" w:w="3528"/>
            <w:vAlign w:val="top"/>
          </w:tcPr>
          <w:p>
            <w:r>
              <w:t>CNVK-005 KernelEntryMissing</w:t>
            </w:r>
          </w:p>
        </w:tc>
        <w:tc>
          <w:tcPr>
            <w:tcW w:type="dxa" w:w="6552"/>
            <w:vAlign w:val="top"/>
          </w:tcPr>
          <w:p>
            <w:r>
              <w:t>The manifest entry symbol is absent from the CUBIN.</w:t>
            </w:r>
          </w:p>
        </w:tc>
      </w:tr>
      <w:tr>
        <w:trPr>
          <w:cantSplit/>
        </w:trPr>
        <w:tc>
          <w:tcPr>
            <w:tcW w:type="dxa" w:w="3528"/>
            <w:vAlign w:val="top"/>
          </w:tcPr>
          <w:p>
            <w:r>
              <w:t>CNVK-006 ResourceLimitExceeded</w:t>
            </w:r>
          </w:p>
        </w:tc>
        <w:tc>
          <w:tcPr>
            <w:tcW w:type="dxa" w:w="6552"/>
            <w:vAlign w:val="top"/>
          </w:tcPr>
          <w:p>
            <w:r>
              <w:t>Registers, shared memory, local memory, or launch geometry violate policy.</w:t>
            </w:r>
          </w:p>
        </w:tc>
      </w:tr>
      <w:tr>
        <w:trPr>
          <w:cantSplit/>
        </w:trPr>
        <w:tc>
          <w:tcPr>
            <w:tcW w:type="dxa" w:w="3528"/>
            <w:vAlign w:val="top"/>
          </w:tcPr>
          <w:p>
            <w:r>
              <w:t>CNVK-007 UnexpectedRegisterSpill</w:t>
            </w:r>
          </w:p>
        </w:tc>
        <w:tc>
          <w:tcPr>
            <w:tcW w:type="dxa" w:w="6552"/>
            <w:vAlign w:val="top"/>
          </w:tcPr>
          <w:p>
            <w:r>
              <w:t>Finalizer spill behavior exceeds the selected plan assumptions.</w:t>
            </w:r>
          </w:p>
        </w:tc>
      </w:tr>
      <w:tr>
        <w:trPr>
          <w:cantSplit/>
        </w:trPr>
        <w:tc>
          <w:tcPr>
            <w:tcW w:type="dxa" w:w="3528"/>
            <w:vAlign w:val="top"/>
          </w:tcPr>
          <w:p>
            <w:r>
              <w:t>CNVK-008 DeviceLinkUnresolved</w:t>
            </w:r>
          </w:p>
        </w:tc>
        <w:tc>
          <w:tcPr>
            <w:tcW w:type="dxa" w:w="6552"/>
            <w:vAlign w:val="top"/>
          </w:tcPr>
          <w:p>
            <w:r>
              <w:t>Required device symbols remain unresolved after linking.</w:t>
            </w:r>
          </w:p>
        </w:tc>
      </w:tr>
      <w:tr>
        <w:trPr>
          <w:cantSplit/>
        </w:trPr>
        <w:tc>
          <w:tcPr>
            <w:tcW w:type="dxa" w:w="3528"/>
            <w:vAlign w:val="top"/>
          </w:tcPr>
          <w:p>
            <w:r>
              <w:t>CNVK-009 RuntimeModuleLoadFailed</w:t>
            </w:r>
          </w:p>
        </w:tc>
        <w:tc>
          <w:tcPr>
            <w:tcW w:type="dxa" w:w="6552"/>
            <w:vAlign w:val="top"/>
          </w:tcPr>
          <w:p>
            <w:r>
              <w:t>The CUDA driver rejected or failed to load the module.</w:t>
            </w:r>
          </w:p>
        </w:tc>
      </w:tr>
      <w:tr>
        <w:trPr>
          <w:cantSplit/>
        </w:trPr>
        <w:tc>
          <w:tcPr>
            <w:tcW w:type="dxa" w:w="3528"/>
            <w:vAlign w:val="top"/>
          </w:tcPr>
          <w:p>
            <w:r>
              <w:t>CNVK-010 PTXFallbackNotCertified</w:t>
            </w:r>
          </w:p>
        </w:tc>
        <w:tc>
          <w:tcPr>
            <w:tcW w:type="dxa" w:w="6552"/>
            <w:vAlign w:val="top"/>
          </w:tcPr>
          <w:p>
            <w:r>
              <w:t>No exact CUBIN exists and the PTX fallback is not approved.</w:t>
            </w:r>
          </w:p>
        </w:tc>
      </w:tr>
      <w:tr>
        <w:trPr>
          <w:cantSplit/>
        </w:trPr>
        <w:tc>
          <w:tcPr>
            <w:tcW w:type="dxa" w:w="3528"/>
            <w:vAlign w:val="top"/>
          </w:tcPr>
          <w:p>
            <w:r>
              <w:t>CNVK-011 GraphCaptureUnsafe</w:t>
            </w:r>
          </w:p>
        </w:tc>
        <w:tc>
          <w:tcPr>
            <w:tcW w:type="dxa" w:w="6552"/>
            <w:vAlign w:val="top"/>
          </w:tcPr>
          <w:p>
            <w:r>
              <w:t>The kernel or launch wrapper violates graph-capture requirements.</w:t>
            </w:r>
          </w:p>
        </w:tc>
      </w:tr>
      <w:tr>
        <w:trPr>
          <w:cantSplit/>
        </w:trPr>
        <w:tc>
          <w:tcPr>
            <w:tcW w:type="dxa" w:w="3528"/>
            <w:vAlign w:val="top"/>
          </w:tcPr>
          <w:p>
            <w:r>
              <w:t>CNVK-012 BinaryProvenanceIncomplete</w:t>
            </w:r>
          </w:p>
        </w:tc>
        <w:tc>
          <w:tcPr>
            <w:tcW w:type="dxa" w:w="6552"/>
            <w:vAlign w:val="top"/>
          </w:tcPr>
          <w:p>
            <w:r>
              <w:t>Toolchain, plan, origin, or performance-model identity is missing.</w:t>
            </w:r>
          </w:p>
        </w:tc>
      </w:tr>
    </w:tbl>
    <w:p>
      <w:pPr>
        <w:pStyle w:val="Heading2"/>
      </w:pPr>
      <w:r>
        <w:t>J.18 Final Appendix Rule</w:t>
      </w:r>
    </w:p>
    <w:p>
      <w:pPr>
        <w:pStyle w:val="CodeBlock"/>
      </w:pPr>
      <w:r>
        <w:t>Appendix J rule:</w:t>
        <w:br/>
        <w:t xml:space="preserve">  DSC constructs and optimizes the GPU program through DeviceKernelIR.</w:t>
        <w:br/>
        <w:t xml:space="preserve">  A conforming NvidiaPTXGenerator produces PTX; LLVM is one provider, not an architectural requirement.</w:t>
        <w:br/>
        <w:t xml:space="preserve">  A conforming NvidiaCubinFinalizer uses NVIDIA-supported finalization to produce architecture-specific machine code and CUBIN.</w:t>
        <w:br/>
        <w:t xml:space="preserve">  Every binary is bound to a stable ABI, manifest, target policy, resource report, certification record, and performance-model snapshot.</w:t>
        <w:br/>
        <w:t xml:space="preserve">  SGLang loads the package once, caches the module and function handles, and repeatedly launches the preloaded kernel.</w:t>
        <w:br/>
        <w:t xml:space="preserve">  The bootstrap may generate CUDA C++; the durable architecture is DeviceKernelIR -&gt; NvidiaPTXGenerator -&gt; PTX -&gt; NvidiaCubinFinalizer -&gt; CUBIN.</w:t>
      </w:r>
    </w:p>
    <w:p>
      <w:pPr>
        <w:pStyle w:val="Heading1"/>
        <w:pageBreakBefore/>
      </w:pPr>
      <w:r>
        <w:t>References</w:t>
      </w:r>
    </w:p>
    <w:p>
      <w:pPr/>
      <w:r>
        <w:rPr>
          <w:b/>
        </w:rPr>
        <w:t xml:space="preserve">[1] MLIR Shape Inference documentation. </w:t>
      </w:r>
      <w:r>
        <w:t>https://mlir.llvm.org/docs/ShapeInference/</w:t>
      </w:r>
    </w:p>
    <w:p>
      <w:pPr/>
      <w:r>
        <w:rPr>
          <w:b/>
        </w:rPr>
        <w:t xml:space="preserve">[2] MLIR TensorType class reference. </w:t>
      </w:r>
      <w:r>
        <w:t>https://mlir.llvm.org/doxygen/classmlir_1_1TensorType.html</w:t>
      </w:r>
    </w:p>
    <w:p>
      <w:pPr/>
      <w:r>
        <w:rPr>
          <w:b/>
        </w:rPr>
        <w:t xml:space="preserve">[3] StableHLO specification and type inference documentation. </w:t>
      </w:r>
      <w:r>
        <w:t>https://openxla.org/stablehlo/spec ; https://openxla.org/stablehlo/type_inference</w:t>
      </w:r>
    </w:p>
    <w:p>
      <w:pPr/>
      <w:r>
        <w:rPr>
          <w:b/>
        </w:rPr>
        <w:t xml:space="preserve">[4] NVIDIA Megatron Core experimental attention variant module specs. </w:t>
      </w:r>
      <w:r>
        <w:t>https://docs.nvidia.com/megatron-core/developer-guide/latest/apidocs/core/core.models.gpt.experimental_attention_variant_module_specs.html</w:t>
      </w:r>
    </w:p>
    <w:p>
      <w:pPr/>
      <w:r>
        <w:rPr>
          <w:b/>
        </w:rPr>
        <w:t xml:space="preserve">[5] SGLang attention backend documentation. </w:t>
      </w:r>
      <w:r>
        <w:t>https://github.com/sgl-project/sglang/blob/main/docs/advanced_features/attention_backend.md</w:t>
      </w:r>
    </w:p>
    <w:p>
      <w:pPr/>
      <w:r>
        <w:rPr>
          <w:b/>
        </w:rPr>
        <w:t xml:space="preserve">[6] SGLang: Efficient Execution of Structured Language Model Programs. </w:t>
      </w:r>
      <w:r>
        <w:t>https://arxiv.org/abs/2312.07104</w:t>
      </w:r>
    </w:p>
    <w:p>
      <w:pPr/>
      <w:r>
        <w:rPr>
          <w:b/>
        </w:rPr>
        <w:t xml:space="preserve">[7] Hybrid Models Meet SGLang: More than Full Attention. </w:t>
      </w:r>
      <w:r>
        <w:t>https://pytorch.org/blog/hybrid-models-meet-sglang-more-than-full-attention/</w:t>
      </w:r>
    </w:p>
    <w:p>
      <w:pPr/>
      <w:r>
        <w:rPr>
          <w:b/>
        </w:rPr>
        <w:t xml:space="preserve">[8] NeMo Megatron Bridge documentation. </w:t>
      </w:r>
      <w:r>
        <w:t>https://docs.nvidia.com/nemo/megatron-bridge/latest/</w:t>
      </w:r>
    </w:p>
    <w:p>
      <w:pPr/>
      <w:r>
        <w:rPr>
          <w:b/>
        </w:rPr>
        <w:t xml:space="preserve">[9] verl SGLang rollout worker documentation. </w:t>
      </w:r>
      <w:r>
        <w:t>https://verl.readthedocs.io/en/latest/workers/sglang_worker.html</w:t>
      </w:r>
    </w:p>
    <w:p>
      <w:pPr/>
      <w:r>
        <w:rPr>
          <w:b/>
        </w:rPr>
        <w:t xml:space="preserve">[10] Hugging Face safetensors metadata parsing. </w:t>
      </w:r>
      <w:r>
        <w:t>https://huggingface.co/docs/safetensors/metadata_parsing</w:t>
      </w:r>
    </w:p>
    <w:p>
      <w:pPr/>
      <w:r>
        <w:rPr>
          <w:b/>
        </w:rPr>
        <w:t xml:space="preserve">[11] Hugging Face tokenizer and chat template documentation. </w:t>
      </w:r>
      <w:r>
        <w:t>https://huggingface.co/docs/transformers/en/main_classes/tokenizer ; https://huggingface.co/docs/transformers/en/chat_templating</w:t>
      </w:r>
    </w:p>
    <w:p>
      <w:pPr/>
      <w:r>
        <w:t>[12] Mixtral of Experts. https://arxiv.org/abs/2401.04088 ; Mistral release: https://mistral.ai/news/mixtral-of-experts/</w:t>
      </w:r>
    </w:p>
    <w:p>
      <w:pPr/>
      <w:r>
        <w:t>[13] DeepSeek-V3 Technical Report. https://arxiv.org/abs/2412.19437</w:t>
      </w:r>
    </w:p>
    <w:p>
      <w:pPr/>
      <w:r>
        <w:t>[14] NVIDIA Megatron Core MoE documentation. https://docs.nvidia.com/megatron-core/developer-guide/latest/user-guide/features/moe.html</w:t>
      </w:r>
    </w:p>
    <w:p>
      <w:pPr/>
      <w:r>
        <w:t>[15] SGLang expert parallelism documentation. https://sgl-project.github.io/advanced_features/expert_parallelism.html</w:t>
      </w:r>
    </w:p>
    <w:p>
      <w:pPr/>
      <w:r>
        <w:t>[16] Megatron Bridge parallelism and expert-parallel documentation. https://docs.nvidia.com/nemo/megatron-bridge/latest/parallelisms.html</w:t>
      </w:r>
    </w:p>
    <w:p>
      <w:pPr/>
      <w:r>
        <w:t>[17] SGLang Documentation. https://sgl-project.github.io/</w:t>
      </w:r>
    </w:p>
    <w:p>
      <w:pPr/>
      <w:r>
        <w:t>[18] SGLang Introduction and feature overview. https://sgl-project-sglang-93.mintlify.app/introduction</w:t>
      </w:r>
    </w:p>
    <w:p>
      <w:pPr/>
      <w:r>
        <w:t>[19] SGLang Continuous Batching documentation. https://sgl-project-sglang-93.mintlify.app/concepts/continuous-batching</w:t>
      </w:r>
    </w:p>
    <w:p>
      <w:pPr/>
      <w:r>
        <w:t>[20] SGLang RadixAttention documentation. https://sgl-project-sglang-93.mintlify.app/concepts/radix-attention</w:t>
      </w:r>
    </w:p>
    <w:p>
      <w:pPr/>
      <w:r>
        <w:t>[21] SGLang Structured Outputs documentation. https://docs.sglang.ai/advanced_features/structured_outputs.html</w:t>
      </w:r>
    </w:p>
    <w:p>
      <w:pPr/>
      <w:r>
        <w:t>[22] SGLang LoRA Serving documentation. https://sgl-project.github.io/advanced_features/lora.html</w:t>
      </w:r>
    </w:p>
    <w:p>
      <w:pPr/>
      <w:r>
        <w:t>[23] SGLang Speculative Decoding documentation. https://sgl-project-sglang-93.mintlify.app/advanced/speculative-decoding</w:t>
      </w:r>
    </w:p>
    <w:p>
      <w:pPr/>
      <w:r>
        <w:t>[24] SGLang Server Arguments documentation. https://github.com/sgl-project/sglang/blob/main/docs/advanced_features/server_arguments.md</w:t>
      </w:r>
    </w:p>
    <w:p>
      <w:pPr/>
      <w:r>
        <w:t>[25] StableHLO documentation. https://openxla.org/stablehlo</w:t>
      </w:r>
    </w:p>
    <w:p>
      <w:pPr/>
      <w:r>
        <w:t>[26] Google Cloud TPU system architecture. https://docs.cloud.google.com/tpu/docs/system-architecture-tpu-vm</w:t>
      </w:r>
    </w:p>
    <w:p>
      <w:pPr/>
      <w:r>
        <w:t>[27] OpenXLA XLA project overview. https://openxla.org/xla</w:t>
      </w:r>
    </w:p>
    <w:p>
      <w:pPr/>
      <w:r>
        <w:t>[28] SGLang documentation and supported hardware overview. https://sgl-project.github.io/ ; https://docs.sglang.ai/</w:t>
      </w:r>
    </w:p>
    <w:p>
      <w:pPr/>
      <w:r>
        <w:t>[29] Vaswani et al. Attention Is All You Need. https://arxiv.org/abs/1706.03762</w:t>
      </w:r>
    </w:p>
    <w:p>
      <w:pPr/>
      <w:r>
        <w:t>[30] Katharopoulos et al. Transformers are RNNs: Fast Autoregressive Transformers with Linear Attention. https://arxiv.org/abs/2006.16236</w:t>
      </w:r>
    </w:p>
    <w:p>
      <w:pPr/>
      <w:r>
        <w:t>[31] Choromanski et al. Rethinking Attention with Performers. https://arxiv.org/abs/2009.14794</w:t>
      </w:r>
    </w:p>
    <w:p>
      <w:pPr/>
      <w:r>
        <w:t>[32] Kasai et al. Finetuning Pretrained Transformers into RNNs. https://aclanthology.org/2021.emnlp-main.830/</w:t>
      </w:r>
    </w:p>
    <w:p>
      <w:pPr/>
      <w:r>
        <w:t>[33] Kaiming He, Xiangyu Zhang, Shaoqing Ren, Jian Sun. Deep Residual Learning for Image Recognition. https://arxiv.org/abs/1512.03385</w:t>
      </w:r>
    </w:p>
    <w:p>
      <w:pPr/>
      <w:r>
        <w:t>[34] torchvision ResNet source. https://docs.pytorch.org/vision/main/_modules/torchvision/models/resnet.html</w:t>
      </w:r>
    </w:p>
    <w:p>
      <w:pPr/>
      <w:r>
        <w:t>[35] ONNX Conv operator documentation. https://onnx.ai/onnx/operators/onnx__Conv.html</w:t>
      </w:r>
    </w:p>
    <w:p>
      <w:pPr/>
      <w:r>
        <w:t>[36] ONNX BatchNormalization operator documentation. https://onnx.ai/onnx/operators/onnx__BatchNormalization.html</w:t>
      </w:r>
    </w:p>
    <w:p>
      <w:pPr/>
      <w:r>
        <w:t>[37] ONNX MaxPool and GlobalAveragePool operator documentation. https://onnx.ai/onnx/operators/</w:t>
      </w:r>
    </w:p>
    <w:p>
      <w:pPr/>
      <w:r>
        <w:t>[38] MLIR Language Reference and Dialect documentation. https://mlir.llvm.org/docs/LangRef/ ; https://mlir.llvm.org/docs/Dialects/TensorOps/</w:t>
      </w:r>
    </w:p>
    <w:p>
      <w:pPr/>
      <w:r>
        <w:rPr>
          <w:b w:val="0"/>
          <w:i w:val="0"/>
        </w:rPr>
        <w:t>[39] Simon Boehm. How to Optimize a CUDA Matmul Kernel for cuBLAS-like Performance: a Worklog. https://siboehm.com/articles/22/CUDA-MMM</w:t>
      </w:r>
    </w:p>
    <w:p>
      <w:pPr/>
      <w:r>
        <w:rPr>
          <w:b w:val="0"/>
          <w:i w:val="0"/>
        </w:rPr>
        <w:t>[40] NVIDIA CUDA C++ Programming Guide, programming model and shared memory. https://docs.nvidia.com/cuda/cuda-c-programming-guide/ ; https://docs.nvidia.com/cuda/cuda-c-programming-guide/01-introduction/programming-model.html</w:t>
      </w:r>
    </w:p>
    <w:p>
      <w:pPr/>
      <w:r>
        <w:rPr>
          <w:b w:val="0"/>
          <w:i w:val="0"/>
        </w:rPr>
        <w:t>[41] NVIDIA CUDA C++ Programming Guide, writing SIMT kernels and shared memory. https://docs.nvidia.com/cuda/cuda-c-programming-guide/02-basics/writing-cuda-kernels.html</w:t>
      </w:r>
    </w:p>
    <w:p>
      <w:pPr/>
      <w:r>
        <w:rPr>
          <w:b w:val="0"/>
          <w:i w:val="0"/>
        </w:rPr>
        <w:t>[42] Google Cloud TPU system architecture. https://docs.cloud.google.com/tpu/docs/system-architecture-tpu-vm</w:t>
      </w:r>
    </w:p>
    <w:p>
      <w:pPr/>
      <w:r>
        <w:rPr>
          <w:b w:val="0"/>
          <w:i w:val="0"/>
        </w:rPr>
        <w:t>[43] Google Cloud TPU Multislice overview. https://docs.cloud.google.com/tpu/docs/multislice-introduction</w:t>
      </w:r>
    </w:p>
    <w:p>
      <w:pPr/>
      <w:r>
        <w:rPr>
          <w:b w:val="0"/>
          <w:i w:val="0"/>
        </w:rPr>
        <w:t>[44] Google Cloud TPU v6e system architecture. https://docs.cloud.google.com/tpu/docs/v6e</w:t>
      </w:r>
    </w:p>
    <w:p>
      <w:pPr/>
      <w:r>
        <w:rPr>
          <w:b w:val="0"/>
          <w:i w:val="0"/>
        </w:rPr>
        <w:t>[45] OpenXLA Shardy overview. https://openxla.org/shardy/overview</w:t>
      </w:r>
    </w:p>
    <w:p>
      <w:pPr/>
      <w:r>
        <w:rPr>
          <w:b w:val="0"/>
          <w:i w:val="0"/>
        </w:rPr>
        <w:t>[46] OpenXLA Shardy sharding representation and propagation. https://openxla.org/shardy/sharding_representation ; https://openxla.org/shardy/propagation</w:t>
      </w:r>
    </w:p>
    <w:p>
      <w:pPr/>
      <w:r>
        <w:rPr>
          <w:b w:val="0"/>
          <w:i w:val="0"/>
        </w:rPr>
        <w:t>[47] Xu et al. GSPMD: General and Scalable Parallelization for ML Computation Graphs. https://arxiv.org/abs/2105.04663</w:t>
      </w:r>
    </w:p>
    <w:p>
      <w:pPr/>
      <w:r>
        <w:rPr>
          <w:b w:val="0"/>
          <w:i w:val="0"/>
        </w:rPr>
        <w:t>[48] NVIDIA Hopper Tuning Guide. https://docs.nvidia.com/cuda/hopper-tuning-guide/index.html</w:t>
      </w:r>
    </w:p>
    <w:p>
      <w:pPr/>
      <w:r>
        <w:rPr>
          <w:b w:val="0"/>
          <w:i w:val="0"/>
        </w:rPr>
        <w:t>[49] NVIDIA Blackwell Tuning Guide. https://docs.nvidia.com/cuda/blackwell-tuning-guide/index.html</w:t>
      </w:r>
    </w:p>
    <w:p>
      <w:pPr/>
      <w:r>
        <w:rPr>
          <w:b w:val="0"/>
          <w:i w:val="0"/>
        </w:rPr>
        <w:t>[50] JAX Pallas TPU kernel details. https://docs.jax.dev/en/latest/pallas/tpu/details.html</w:t>
      </w:r>
    </w:p>
    <w:p>
      <w:pPr/>
      <w:r>
        <w:rPr>
          <w:b w:val="0"/>
          <w:i w:val="0"/>
        </w:rPr>
        <w:t>[51] JAX Pallas TPU pipelining documentation. https://docs.jax.dev/en/latest/pallas/tpu/pipelining.html</w:t>
      </w:r>
    </w:p>
    <w:p>
      <w:pPr/>
      <w:r>
        <w:rPr>
          <w:b w:val="0"/>
          <w:i w:val="0"/>
        </w:rPr>
        <w:t>[52] JAX Pallas TPU hardware reference. https://docs.jax.dev/en/latest/pallas/tpu/hardware.html</w:t>
      </w:r>
    </w:p>
    <w:p>
      <w:pPr/>
      <w:r>
        <w:rPr>
          <w:b w:val="0"/>
          <w:i w:val="0"/>
        </w:rPr>
        <w:t>[53] JAX Pallas TPU memory spaces. https://docs.jax.dev/en/latest/_autosummary/jax.experimental.pallas.tpu.MemorySpace.html</w:t>
      </w:r>
    </w:p>
    <w:p>
      <w:pPr/>
      <w:r>
        <w:rPr>
          <w:b w:val="0"/>
          <w:i w:val="0"/>
        </w:rPr>
        <w:t>[54] Google Cloud TPU Multislice overview. https://docs.cloud.google.com/tpu/docs/multislice-introduction</w:t>
      </w:r>
    </w:p>
    <w:p>
      <w:pPr/>
      <w:r>
        <w:rPr>
          <w:b w:val="0"/>
          <w:i w:val="0"/>
        </w:rPr>
        <w:t>[55] Google Cloud TPU system architecture. https://docs.cloud.google.com/tpu/docs/system-architecture-tpu-vm</w:t>
      </w:r>
    </w:p>
    <w:p>
      <w:pPr/>
      <w:r>
        <w:rPr>
          <w:b w:val="0"/>
          <w:i w:val="0"/>
        </w:rPr>
        <w:t>[56] Ragged Paged Attention TPU kernel paper. https://arxiv.org/html/2604.15464v1</w:t>
      </w:r>
    </w:p>
    <w:p>
      <w:pPr/>
      <w:r>
        <w:t>[57] PyTorch/XLA Torch Export to StableHLO documentation. https://docs.pytorch.org/xla/master/features/stablehlo.html</w:t>
      </w:r>
    </w:p>
    <w:p>
      <w:pPr/>
      <w:r>
        <w:t>[58] OpenXLA tutorial: Exporting StableHLO from PyTorch. https://openxla.org/stablehlo/tutorials/pytorch-export</w:t>
      </w:r>
    </w:p>
    <w:p>
      <w:pPr/>
      <w:r>
        <w:t>[59] PyTorch torch.export documentation and tutorial. https://docs.pytorch.org/docs/stable/user_guide/torch_compiler/export.html ; https://docs.pytorch.org/tutorials/intermediate/torch_export_tutorial.html</w:t>
      </w:r>
    </w:p>
    <w:p>
      <w:pPr/>
      <w:r>
        <w:t>[60] PyTorch/XLA stablehlo.py source, StableHLO export bundle and XLAExportInterpreter. https://github.com/pytorch/xla/blob/master/torch_xla/stablehlo.py</w:t>
      </w:r>
    </w:p>
    <w:p>
      <w:pPr/>
      <w:r>
        <w:t>[61] OpenXLA StableHLO repository, C++/Python MLIR implementation and bytecode serialization. https://github.com/openxla/stablehlo</w:t>
      </w:r>
    </w:p>
    <w:p>
      <w:pPr/>
      <w:r>
        <w:t>[62] OpenXLA StableHLO generated builder APIs. https://openxla.org/stablehlo/generated/StablehloBuilder</w:t>
      </w:r>
    </w:p>
    <w:p>
      <w:pPr/>
      <w:r>
        <w:t>[63] OpenXLA PJRT C++ Device API overview. https://openxla.org/xla/pjrt/cpp_api_overview</w:t>
      </w:r>
    </w:p>
    <w:p>
      <w:pPr/>
      <w:r>
        <w:t>[64] PyTorch/XLA custom hardware plugin and PJRT C API packaging documentation. https://docs.pytorch.org/xla/release/r2.6/contribute/plugins.html</w:t>
      </w:r>
    </w:p>
    <w:p>
      <w:pPr/>
      <w:r>
        <w:t>[65] OpenXLA XLA custom calls and XLA FFI documentation. https://openxla.org/xla/custom_call</w:t>
      </w:r>
    </w:p>
    <w:p>
      <w:pPr/>
      <w:r>
        <w:t>[66] ONNX IR specification and metadata properties. https://onnx.ai/onnx/repo-docs/IR.html ; https://onnx.ai/onnx/repo-docs/MetadataProps.html</w:t>
      </w:r>
    </w:p>
    <w:p>
      <w:pPr/>
      <w:r>
        <w:t>[67] PyTorch FX Node API and implementation. https://pytorch.org/docs/stable/fx.html ; https://github.com/pytorch/pytorch/blob/main/torch/fx/node.py</w:t>
      </w:r>
    </w:p>
    <w:p>
      <w:pPr/>
      <w:r>
        <w:t>[68] NVIDIA CUTLASS tcgen05 MMA Programming Guide: SMEM operands and TMEM accumulators on Blackwell. https://docs.nvidia.com/cutlass/latest/media/docs/pythonDSL/mma_docs/tcgen05_programming.html</w:t>
      </w:r>
    </w:p>
    <w:p>
      <w:pPr/>
      <w:r>
        <w:t>[69] NVIDIA NeMo RL Training and Generation Backends. https://docs.nvidia.com/nemo/rl/latest/about/backends.html</w:t>
      </w:r>
    </w:p>
    <w:p>
      <w:pPr/>
      <w:r>
        <w:t>[70] NVIDIA TensorRT-LLM Multi-Head, Multi-Query, and Group-Query Attention, paged and quantized KV cache. https://nvidia.github.io/TensorRT-LLM/advanced/gpt-attention.html</w:t>
      </w:r>
    </w:p>
    <w:p>
      <w:pPr/>
      <w:r>
        <w:t>[71] NVIDIA TensorRT-LLM Memory Usage, including paged KV-cache pool allocation. https://nvidia.github.io/TensorRT-LLM/reference/memory.html</w:t>
      </w:r>
    </w:p>
    <w:p>
      <w:pPr/>
      <w:r>
        <w:t>[72] NVIDIA TensorRT-LLM Quantization. https://nvidia.github.io/TensorRT-LLM/latest/features/quantization.html</w:t>
      </w:r>
    </w:p>
    <w:p>
      <w:pPr/>
      <w:r>
        <w:t>[73] vLLM Metrics: request states, KV-cache usage, tokens, TTFT, TPOT and queue time. https://docs.vllm.ai/en/stable/design/metrics/</w:t>
      </w:r>
    </w:p>
    <w:p>
      <w:pPr/>
      <w:r>
        <w:t>[74] PyTorch Distributed Tensor API: Shard, Replicate and Partial placements. https://docs.pytorch.org/docs/stable/distributed.tensor.html</w:t>
      </w:r>
    </w:p>
    <w:p>
      <w:pPr/>
      <w:r>
        <w:t>[75] Apache TVM Relax Distributed DTensorType, DeviceMesh and Placement. https://tvm.apache.org/docs/reference/api/doxygen/namespacetvm_1_1relax_1_1distributed.html</w:t>
      </w:r>
    </w:p>
    <w:p>
      <w:pPr/>
      <w:r>
        <w:t>[76] Hou et al. Axe: A Simple Unified Layout Abstraction for Machine Learning Compilers. https://arxiv.org/abs/2601.19092</w:t>
      </w:r>
    </w:p>
    <w:p>
      <w:pPr/>
      <w:r>
        <w:t>[77] Apache TVM Relax transformation and operator-fusion documentation (LegalizeOps, FuseOps, FuseTIR). https://tvm.apache.org/docs/deep_dive/relax/tutorials/relax_transformation.html ; https://tvm.apache.org/docs/reference/api/python/relax/transform.html</w:t>
      </w:r>
    </w:p>
    <w:p>
      <w:pPr/>
      <w:r>
        <w:t>[78] OpenXLA XLA:GPU architecture and emitter documentation. https://openxla.org/xla/gpu_architecture ; https://openxla.org/xla/emitters</w:t>
      </w:r>
    </w:p>
    <w:p>
      <w:pPr/>
      <w:r>
        <w:t>[79] OpenXLA Latency Hiding Scheduler cost model. https://openxla.org/xla/lhs_cost_model</w:t>
      </w:r>
    </w:p>
    <w:p>
      <w:pPr/>
      <w:r>
        <w:t>[80] Apache TVM MetaSchedule search-based autotuning. https://tvm.apache.org/docs/deep_dive/tensor_ir/tutorials/meta_schedule.html</w:t>
      </w:r>
    </w:p>
    <w:p>
      <w:pPr/>
      <w:r>
        <w:t>[81] Triton autotune API and performance-model-guided configuration pruning/caching. https://triton-lang.org/main/python-api/generated/triton.autotune.html</w:t>
      </w:r>
    </w:p>
    <w:p>
      <w:pPr/>
      <w:r>
        <w:t>[82] NVIDIA CUTLASS efficient GEMM and producer-consumer pipeline documentation. https://docs.nvidia.com/cutlass/latest/media/docs/cpp/efficient_gemm.html ; https://docs.nvidia.com/cutlass/latest/media/docs/cpp/pipeline.html</w:t>
      </w:r>
    </w:p>
    <w:p>
      <w:pPr/>
      <w:r>
        <w:t>[83] Shah et al. FlashAttention-3: Fast and Accurate Attention with Asynchrony and Low-precision. https://arxiv.org/abs/2407.08608</w:t>
      </w:r>
    </w:p>
    <w:p>
      <w:pPr/>
      <w:r>
        <w:t>[84] Soi et al. Optimal Software Pipelining and Warp Specialization for Tensor Core GPUs (Twill). https://arxiv.org/abs/2512.18134</w:t>
      </w:r>
    </w:p>
    <w:p>
      <w:pPr/>
      <w:r>
        <w:t>[85] Chen et al. Tawa: Automatic Warp Specialization for Modern GPUs with Asynchronous References. https://arxiv.org/abs/2510.14719</w:t>
      </w:r>
    </w:p>
    <w:p>
      <w:pPr/>
      <w:r>
        <w:t>[86] SGLang Server Arguments and persistent server configuration. https://docs.sglang.ai/advanced_features/server_arguments.html</w:t>
      </w:r>
    </w:p>
    <w:p>
      <w:pPr/>
      <w:r>
        <w:t>[87] SGLang Benchmarking and Profiling; Serving Benchmark. https://docs.sglang.ai/developer_guide/benchmark_and_profiling.html ; https://docs.sglang.ai/developer_guide/bench_serving.html</w:t>
      </w:r>
    </w:p>
    <w:p>
      <w:pPr/>
      <w:r>
        <w:t>[88] SGLang Contribution Guide and AOT kernel packaging workflow. https://docs.sglang.ai/developer_guide/contribution_guide.html</w:t>
      </w:r>
    </w:p>
    <w:p>
      <w:pPr/>
      <w:r>
        <w:t>[89] SGLang Observability and Prometheus metrics. https://docs.sglang.ai/advanced_features/observability.html</w:t>
      </w:r>
    </w:p>
    <w:p>
      <w:pPr/>
      <w:r>
        <w:t>[90] NVIDIA CUDA Compiler Driver NVCC documentation, PTX/CUBIN/FATBIN generation and target controls. https://docs.nvidia.com/cuda/cuda-compiler-driver-nvcc/</w:t>
      </w:r>
    </w:p>
    <w:p>
      <w:pPr/>
      <w:r>
        <w:t>[91] NVIDIA PTX ISA and ptxas compilation toolchain documentation. https://docs.nvidia.com/cuda/parallel-thread-execution/ ; https://docs.nvidia.com/cuda/cuda-compiler-driver-nvcc/</w:t>
      </w:r>
    </w:p>
    <w:p>
      <w:pPr/>
      <w:r>
        <w:t>[92] NVIDIA CUDA Driver API Module Management: loading CUBIN, FATBIN, and PTX and retrieving kernel functions. https://docs.nvidia.com/cuda/cuda-driver-api/group__CUDA__MODULE.html</w:t>
      </w:r>
    </w:p>
    <w:p>
      <w:pPr/>
      <w:r>
        <w:t>[93] NVIDIA CUDA Binary Utilities: CUBIN ELF format, cuobjdump, and nvdisasm. https://docs.nvidia.com/cuda/cuda-binary-utilities/</w:t>
      </w:r>
    </w:p>
    <w:p>
      <w:pPr/>
      <w:r>
        <w:t>[94] LLVM NVPTX Backend Usage. https://llvm.org/docs/NVPTXUsage.html</w:t>
      </w:r>
    </w:p>
    <w:p>
      <w:pPr/>
      <w:r>
        <w:t>[95] NVIDIA nvJitLink library for PTX/LTO device linking and CUBIN generation. https://docs.nvidia.com/cuda/nvjitlink/</w:t>
      </w:r>
    </w:p>
    <w:p>
      <w:pPr/>
      <w:r>
        <w:t>[96] NVIDIA NCCL User Guide, overview, collective operations, CUDA stream semantics, and CUDA Graph use. https://docs.nvidia.com/deeplearning/nccl/user-guide/docs/</w:t>
      </w:r>
    </w:p>
    <w:p>
      <w:pPr/>
      <w:r>
        <w:t>[97] NVIDIA Technical Blog, Accelerating IO in the Modern Data Center: Network IO - NCCL Ring, Tree, and in-network AllReduce algorithm overview. https://developer.nvidia.com/blog/accelerating-io-in-the-modern-data-center-network-io/</w:t>
      </w:r>
    </w:p>
    <w:p>
      <w:pPr>
        <w:pStyle w:val="SmallNote"/>
        <w:keepLines/>
      </w:pPr>
      <w:r>
        <w:t>Note: This document is an architectural proposal, not a claim of complete implementation; attention semantic conversion remains a model-development and certification activity, not an ordinary runtime flag.</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eastAsia="Aptos Display"/>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120" w:line="240" w:lineRule="auto"/>
      <w:ind w:left="360" w:right="144"/>
    </w:pPr>
    <w:rPr>
      <w:rFonts w:ascii="Courier New" w:hAnsi="Courier New" w:eastAsia="Consolas"/>
      <w:sz w:val="16"/>
    </w:rPr>
  </w:style>
  <w:style w:type="paragraph" w:customStyle="1" w:styleId="SmallNote">
    <w:name w:val="Small Note"/>
    <w:pPr>
      <w:spacing w:after="120"/>
      <w:ind w:left="288"/>
    </w:pPr>
    <w:rPr>
      <w:rFonts w:ascii="Aptos" w:hAnsi="Aptos" w:eastAsia="Aptos"/>
      <w:i/>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DSC Master Design Doc v0.17</dc:title>
  <dc:subject>Domain-Specific Compiler IR and Expert System Architecture</dc:subject>
  <dc:creator>OpenAI ChatGPT for Shin Liu</dc:creator>
  <cp:keywords>domain-specific compiler, IR, Transformer, sub-domain, namespace, gatekeeper, RL, SGLang, linear attention</cp:keywords>
  <dc:description>v0.17 adds Chapter 13 host-device/NCCL execution responsibility and decode control flow.</dc:description>
  <cp:lastModifiedBy/>
  <cp:revision>2</cp:revision>
  <dcterms:created xsi:type="dcterms:W3CDTF">2013-12-23T23:15:00Z</dcterms:created>
  <dcterms:modified xsi:type="dcterms:W3CDTF">2026-08-19T09:27:43Z</dcterms:modified>
  <cp:category/>
  <cp:version>v0.2</cp:version>
</cp:coreProperties>
</file>