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eastAsia="Aptos Display"/>
          <w:color w:val="000000"/>
          <w:sz w:val="48"/>
        </w:rPr>
        <w:t>AI compiler optimization design</w:t>
      </w:r>
    </w:p>
    <w:p>
      <w:r>
        <w:rPr>
          <w:b/>
        </w:rPr>
        <w:t>Version v0.3</w:t>
      </w:r>
      <w:r>
        <w:t xml:space="preserve"> | Living design skeleton | Draft for continuous expansion</w:t>
      </w:r>
    </w:p>
    <w:p>
      <w:pPr>
        <w:spacing w:after="120"/>
      </w:pPr>
      <w:r>
        <w:t>Scope: AI memory hierarchy optimization architecture, research opportunity mapping, common optimization IR substrate, AI-domain-specific extensions, candidate generation, profitability analysis, and implementation priorities.</w:t>
      </w:r>
    </w:p>
    <w:p>
      <w:pPr>
        <w:spacing w:after="120"/>
      </w:pPr>
      <w:r>
        <w:t>Status: v0.3 adds a phase-by-phase optimization reporting contract and identifies trace fields still needed for a trustworthy cross-phase report. The 2026-10-18 amendment fixes the matmul-first trace, report, and durable-artifact conventions in Section 9.7. The compact, positional WOPT trace and report generator remain design proposals, not implemented compiler features. Research-derived inspiration and DSC design proposals remain distinct.</w:t>
      </w:r>
    </w:p>
    <w:p>
      <w:pPr>
        <w:pStyle w:val="Heading1"/>
      </w:pPr>
      <w:r>
        <w:t>1 Executive Summary And Design Goals</w:t>
      </w:r>
    </w:p>
    <w:p>
      <w:pPr>
        <w:spacing w:after="120"/>
      </w:pPr>
      <w:r>
        <w:t>The design goal is to make AI compiler optimization compositional across semantic tensors, layouts, sharding, memory residency, tiling, asynchronous movement, scheduling, and runtime adaptation. The central architectural choice is to preserve tensor identity through a TensorEvolutionGraph while optimization candidates remain provisional until enough layout, placement, tiling, resource, and runtime-state information exists to make a profitability decision.</w:t>
      </w:r>
    </w:p>
    <w:p>
      <w:pPr>
        <w:spacing w:after="120"/>
      </w:pPr>
      <w:r>
        <w:t>The common compiler substrate should own reusable descriptions of objects, representations, memory hierarchy, placement, access patterns, fetch plans, pipelines, parallelization, communication intent, optimization candidates, plans, costs, and runtime guards. AI-specific layers should own workload semantics and runtime state such as batch size, sequence length, KV-cache pressure, prefix-cache hit rate, expert load, and latency service-level objectives.</w:t>
      </w:r>
    </w:p>
    <w:p>
      <w:pPr>
        <w:spacing w:after="120"/>
      </w:pPr>
      <w:r>
        <w:t>The recommended implementation priority is now action-gated: first build the measurement harness, then implement one real tiling rewrite, one real fusion rewrite, the P7.4/P8 pipeline path, cost-model calibration, runtime variants, and only then broaden into distributed parallelization.</w:t>
      </w:r>
    </w:p>
    <w:p>
      <w:pPr>
        <w:pStyle w:val="Heading2"/>
      </w:pPr>
      <w:r>
        <w:t>1.1 Design Goals</w:t>
      </w:r>
    </w:p>
    <w:p>
      <w:pPr>
        <w:pStyle w:val="ListBullet"/>
        <w:spacing w:after="60"/>
      </w:pPr>
      <w:r>
        <w:t>Keep high-level AI meaning visible long enough to guide memory and scheduling decisions.</w:t>
      </w:r>
    </w:p>
    <w:p>
      <w:pPr>
        <w:pStyle w:val="ListBullet"/>
        <w:spacing w:after="60"/>
      </w:pPr>
      <w:r>
        <w:t>Represent tensor evolution explicitly from semantic tensors to distributed shards, local buffers, tiles, shared-memory tiles, registers, and tensor-core fragments.</w:t>
      </w:r>
    </w:p>
    <w:p>
      <w:pPr>
        <w:pStyle w:val="ListBullet"/>
        <w:spacing w:after="60"/>
      </w:pPr>
      <w:r>
        <w:t>Avoid committing fusion, tiling, layout, placement, or parallelization choices too early; plan selection is gated on explicit cost modeling and legality checks.</w:t>
      </w:r>
    </w:p>
    <w:p>
      <w:pPr>
        <w:pStyle w:val="ListBullet"/>
        <w:spacing w:after="60"/>
      </w:pPr>
      <w:r>
        <w:t>Make profitability a property of complete plans, not isolated transformations.</w:t>
      </w:r>
    </w:p>
    <w:p>
      <w:pPr>
        <w:pStyle w:val="ListBullet"/>
        <w:spacing w:after="60"/>
      </w:pPr>
      <w:r>
        <w:t>Separate reusable compiler-control infrastructure from AI-domain-specific semantics.</w:t>
      </w:r>
    </w:p>
    <w:p>
      <w:pPr>
        <w:pStyle w:val="ListBullet"/>
        <w:spacing w:after="60"/>
      </w:pPr>
      <w:r>
        <w:t>Allow static compilation to generate certified runtime variants selected by guarded runtime policy.</w:t>
      </w:r>
    </w:p>
    <w:p>
      <w:pPr>
        <w:pStyle w:val="ListBullet"/>
        <w:spacing w:after="60"/>
      </w:pPr>
      <w:r>
        <w:t>Create a living skeleton that can absorb future paper reviews, measurements, and implementation notes.</w:t>
      </w:r>
    </w:p>
    <w:p>
      <w:pPr>
        <w:pStyle w:val="Heading2"/>
      </w:pPr>
      <w:r>
        <w:t>1.2 Optimization Action Contract</w:t>
      </w:r>
    </w:p>
    <w:p>
      <w:pPr>
        <w:spacing w:after="120"/>
      </w:pPr>
      <w:r>
        <w:t>This design is not complete until it produces transformed code. The optimizer must not stop at TensorEvolutionGraph annotation, candidate recording, or cost-model scaffolding. Every implemented optimization feature must eventually pass through the following action loop:</w:t>
      </w:r>
    </w:p>
    <w:p>
      <w:pPr>
        <w:pStyle w:val="ListNumber"/>
        <w:spacing w:after="60"/>
      </w:pPr>
      <w:r>
        <w:t>Detect a concrete optimizable region.</w:t>
      </w:r>
    </w:p>
    <w:p>
      <w:pPr>
        <w:pStyle w:val="ListNumber"/>
        <w:spacing w:after="60"/>
      </w:pPr>
      <w:r>
        <w:t>Generate at least one transformed candidate and one conservative baseline candidate.</w:t>
      </w:r>
    </w:p>
    <w:p>
      <w:pPr>
        <w:pStyle w:val="ListNumber"/>
        <w:spacing w:after="60"/>
      </w:pPr>
      <w:r>
        <w:t>Prove candidate legality or attach a runtime guard and fallback.</w:t>
      </w:r>
    </w:p>
    <w:p>
      <w:pPr>
        <w:pStyle w:val="ListNumber"/>
        <w:spacing w:after="60"/>
      </w:pPr>
      <w:r>
        <w:t>Estimate candidate cost with explicit compute, memory, synchronization, launch, occupancy, and code-size terms.</w:t>
      </w:r>
    </w:p>
    <w:p>
      <w:pPr>
        <w:pStyle w:val="ListNumber"/>
        <w:spacing w:after="60"/>
      </w:pPr>
      <w:r>
        <w:t>Select one candidate or explicitly reject all candidates with a recorded reason.</w:t>
      </w:r>
    </w:p>
    <w:p>
      <w:pPr>
        <w:pStyle w:val="ListNumber"/>
        <w:spacing w:after="60"/>
      </w:pPr>
      <w:r>
        <w:t>Rewrite the program into the selected fused, tiled, pipelined, vectorized, or parallelized form.</w:t>
      </w:r>
    </w:p>
    <w:p>
      <w:pPr>
        <w:pStyle w:val="ListNumber"/>
        <w:spacing w:after="60"/>
      </w:pPr>
      <w:r>
        <w:t>Compile, run, verify numerical correctness, and record measured performance.</w:t>
      </w:r>
    </w:p>
    <w:p>
      <w:pPr>
        <w:spacing w:after="120"/>
      </w:pPr>
      <w:r>
        <w:t>An IR object without a candidate generator, selector, rewrite path, and measurement hook is only infrastructure. It should be marked as scaffolding, not counted as an implemented optimization.</w:t>
      </w:r>
    </w:p>
    <w:p>
      <w:pPr>
        <w:pStyle w:val="Heading1"/>
      </w:pPr>
      <w:r>
        <w:t>2 Recommended AI Optimization Phase Ordering</w:t>
      </w:r>
    </w:p>
    <w:p>
      <w:pPr>
        <w:spacing w:after="120"/>
      </w:pPr>
      <w:r>
        <w:t>The phases below are ordered to preserve semantic information early, introduce physical constraints gradually, and delay final profitability decisions until the optimizer can evaluate the interaction between fusion, layout, sharding, tiling, memory residency, communication, and runtime state.</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93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Phase</w:t>
            </w:r>
          </w:p>
        </w:tc>
        <w:tc>
          <w:tcPr>
            <w:tcW w:type="dxa" w:w="237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Name</w:t>
            </w:r>
          </w:p>
        </w:tc>
        <w:tc>
          <w:tcPr>
            <w:tcW w:type="dxa" w:w="6840"/>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Purpose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Semantic tensor analysis</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Preserve Attention, GEMM, Conv, MoE, RMSNorm, residual, activation, model weight, activation, and KV-cache meaning. Attach shape, dtype, semantic role, producer-consumer relationships, dynamic dimensions, and reuse traits.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Lifetime reuse and locality analysis</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Compute producer, consumers, last use, reuse distance, object size, working-set size, critical-path position, and likely residency benefit.</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AI-P2</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High-level fusion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Create semantic fusion candidates such as MatMul+Bias+Activation, Norm+Projection, attention subgraph fusion, residual fusion, and MoE dispatch-related fusion. Candidates remain provisional.</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AI-P3</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Logical layout optimization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Choose logical tensor layouts such as row-major, channel-major, blocked, packed-head, sequence-major, KV-cache layout, and MoE expert-major layout without fully committing to local physical storage.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AI-P4</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Distributed placement and sharding</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Select data parallelism, tensor parallelism, pipeline parallelism, expert parallelism, sequence/context parallelism, replication, shard ownership, and remote-HBM placement alternatives.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AI-P5</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Communication derivation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Derive AllReduce, ReduceScatter, AllGather, send/receive, peer copy, RDMA, and collective boundaries implied by sharding and fusion decisions.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AI-P6</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Local physical layout and residency</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Assign local HBM, L2, shared memory, registers, pinned host memory, CPU memory, or remote memory residency. Track capacity, lifetime, reuse, spill, and eviction.</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AI-P7</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Multi-level tiling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Build and cost hierarchical tile plans across output tile, reduction tile, CTA/threadblock tile, shared-memory tile, warp tile, thread tile, register fragment, vectorized access, and tensor-core/instruction tile. Connect each level to reuse, coalescing, arithmetic intensity, register pressure, shared-memory footprint, occupancy, synchronization, and autotuning parameters.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AI-P8</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Fetch prefetch and async movement</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Plan cp.async/TMA-like transfers, double/triple buffering, host-to-device prefetch, remote-HBM fetch, KV-cache paging, and overlap with compute.</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AI-P9</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Physical kernel fusion and scheduling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Select the physical kernel plan, final fusion boundaries, launch structure, stream assignment, synchronization points, and instruction-level schedule constraints.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AI-P10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Runtime variants and adaptation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Generate certified variants with runtime guards for batch size, sequence length, KV-cache pressure, prefix-cache hit rate, expert load, HBM availability, network contention, latency SLO, and guarded alias or disjoint-tile predicates.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Telemetry and profile feedback</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Capture measured latency, achieved occupancy, memory traffic, communication time, overlap effectiveness, cache hit behavior, launch overhead, and runtime variant choices for future recompilation or policy tuning.</w:t>
            </w:r>
          </w:p>
        </w:tc>
      </w:tr>
    </w:tbl>
    <w:p/>
    <w:p>
      <w:pPr>
        <w:pStyle w:val="Heading1"/>
      </w:pPr>
      <w:r>
        <w:t>3 Rationale And Ordering Constraints</w:t>
      </w:r>
    </w:p>
    <w:p>
      <w:pPr>
        <w:spacing w:after="120"/>
      </w:pPr>
      <w:r>
        <w:t>The ordering is driven by the fact that AI tensors with identical numerical type may have very different optimization behavior. A KV-cache block, an activation tensor, and a model weight may all be low-precision tensors, but their lifetime, reuse distance, placement, fetch policy, sharding, and runtime sensitivity differ sharply.</w:t>
      </w:r>
    </w:p>
    <w:p>
      <w:pPr>
        <w:pStyle w:val="Heading2"/>
      </w:pPr>
      <w:r>
        <w:t>3.1 Why Semantics Come First</w:t>
      </w:r>
    </w:p>
    <w:p>
      <w:pPr>
        <w:spacing w:after="120"/>
      </w:pPr>
      <w:r>
        <w:t>Semantic tensor analysis must occur before aggressive lowering because attention, MoE, KV cache, residual paths, and normalization have domain-specific lifetimes and reuse structures. Once lowered too early into generic loops or opaque kernels, the optimizer loses the reason a tensor should remain resident, be replicated, be sharded, or be prefetched.</w:t>
      </w:r>
    </w:p>
    <w:p>
      <w:pPr>
        <w:pStyle w:val="Heading2"/>
      </w:pPr>
      <w:r>
        <w:t>3.2 Why Fusion Cannot Be Finalized Early</w:t>
      </w:r>
    </w:p>
    <w:p>
      <w:pPr>
        <w:spacing w:after="120"/>
      </w:pPr>
      <w:r>
        <w:t>Fusion saves materialization and launch overhead, but can increase register pressure, shared-memory footprint, live ranges, synchronization constraints, and communication cost. A candidate that looks profitable before tiling and sharding may become unprofitable after occupancy loss or communication-boundary disruption is accounted for.</w:t>
      </w:r>
    </w:p>
    <w:p>
      <w:pPr>
        <w:pStyle w:val="Heading2"/>
      </w:pPr>
      <w:r>
        <w:t>3.3 Why Layout And Sharding Precede Communication</w:t>
      </w:r>
    </w:p>
    <w:p>
      <w:pPr>
        <w:spacing w:after="120"/>
      </w:pPr>
      <w:r>
        <w:t>Communication is derived from layout and placement decisions. The optimizer should first describe candidate ownership and sharding of tensors, then derive collective and peer-to-peer operations from those choices. This avoids treating communication as a fixed artifact independent of the plan that caused it.</w:t>
      </w:r>
    </w:p>
    <w:p>
      <w:pPr>
        <w:pStyle w:val="Heading2"/>
      </w:pPr>
      <w:r>
        <w:t>3.4 Why Runtime Variants Come Late</w:t>
      </w:r>
    </w:p>
    <w:p>
      <w:pPr>
        <w:spacing w:after="120"/>
      </w:pPr>
      <w:r>
        <w:t>Runtime adaptation should not invent arbitrary schedules. The static compiler should generate legal variants, attach guards, and expose a selection policy. The runtime observes state and selects from certified variants.</w:t>
      </w:r>
    </w:p>
    <w:p>
      <w:pPr>
        <w:pStyle w:val="Heading1"/>
      </w:pPr>
      <w:r>
        <w:t>4 Top Three AI Compiler Research Opportunities</w:t>
      </w:r>
    </w:p>
    <w:p>
      <w:pPr>
        <w:spacing w:after="120"/>
      </w:pPr>
      <w:r>
        <w:t>The prior research opportunity analysis identified three architectural opportunities. They are not independent late passes. Each one spans the phase pipeline and requires persistent IR structures.</w:t>
      </w:r>
    </w:p>
    <w:tbl>
      <w:tblPr>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64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Rank</w:t>
            </w:r>
          </w:p>
        </w:tc>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Opportunity</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phases</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Secondary phases</w:t>
            </w:r>
          </w:p>
        </w:tc>
        <w:tc>
          <w:tcPr>
            <w:tcW w:type="dxa" w:w="36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Required IR enhancements</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Joint fusion plus tiling plus parallelization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AI-P4, AI-P7, AI-P9</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AI-P6</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 FusionCandidateIR; OptimizationPlanIR; CandidateCostIR</w:t>
            </w:r>
          </w:p>
        </w:tc>
      </w:tr>
      <w:tr>
        <w:trPr>
          <w:cantSplit/>
        </w:trPr>
        <w:tc>
          <w:tcPr>
            <w:tcW w:type="dxa" w:w="64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w:t>
            </w:r>
          </w:p>
        </w:tc>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evolution across full hierarchy</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through AI-P9</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and AI-P11</w:t>
            </w:r>
          </w:p>
        </w:tc>
        <w:tc>
          <w:tcPr>
            <w:tcW w:type="dxa" w:w="36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 TensorDescriptor core; RepresentationDescriptor hierarchy; MemoryHierarchyDescriptorIR</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Static compiler plus runtime-adaptive scheduling</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AI-P4, AI-P6 through AI-P9, AI-P11</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RuntimeOptimizationStateIR; RuntimeSelectionPolicyIR</w:t>
            </w:r>
          </w:p>
        </w:tc>
      </w:tr>
    </w:tbl>
    <w:p/>
    <w:p>
      <w:pPr>
        <w:pStyle w:val="Heading2"/>
      </w:pPr>
      <w:r>
        <w:t>4.1 Joint Fusion Plus Tiling Plus Parallelization</w:t>
      </w:r>
    </w:p>
    <w:p>
      <w:pPr>
        <w:spacing w:after="120"/>
      </w:pPr>
      <w:r>
        <w:t>This opportunity covers fusion candidates that are refined by later layout, sharding, resource, and tiling decisions. A MatMul+Bias+GELU fusion may remove an HBM round trip, but may also increase register pressure and reduce occupancy. If the same intermediate tensor is a natural AllReduce, AllGather, or ReduceScatter boundary, fusion can also interfere with distributed execution.</w:t>
      </w:r>
    </w:p>
    <w:p>
      <w:pPr>
        <w:spacing w:after="120"/>
      </w:pPr>
      <w:r>
        <w:t>Required enhancement: keep fusion as a persistent candidate rather than finalizing it in one pass. The FusionCandidateIR should hold operators, inputs, outputs, semantic legality, materialized bytes eliminated, alternative boundaries, layout constraints, parallelization constraints, tile families, estimated register growth, shared-memory growth, expected occupancy range, communication effect, and profitability state.</w:t>
      </w:r>
    </w:p>
    <w:p>
      <w:pPr>
        <w:spacing w:after="120"/>
        <w:ind w:left="360"/>
      </w:pPr>
      <w:r>
        <w:rPr>
          <w:rFonts w:ascii="Courier New" w:hAnsi="Courier New" w:eastAsia="Courier New"/>
          <w:sz w:val="18"/>
        </w:rPr>
        <w:t>FusionCandidateIR { candidate_id; operators; inputs; outputs; semantic_legality; materialized_bytes_eliminated; required_layout_constraints; parallelization_constraints; candidate_tile_families; estimated_register_growth; estimated_shared_memory_growth; expected_occupancy_range; communication_effect; profitability_state; }</w:t>
      </w:r>
    </w:p>
    <w:p>
      <w:pPr>
        <w:pStyle w:val="Heading2"/>
      </w:pPr>
      <w:r>
        <w:t>4.2 Tensor Evolution Across The Full Hierarchy</w:t>
      </w:r>
    </w:p>
    <w:p>
      <w:pPr>
        <w:spacing w:after="120"/>
      </w:pPr>
      <w:r>
        <w:t>This is the highest-priority structural opportunity because it gives all later optimizations a shared object-lineage model. The compiler must preserve the identity of one logical tensor as it becomes a logical layout, distributed shard, local HBM representation, CTA tile, shared-memory tile, warp tile, register fragment, and tensor-core fragment.</w:t>
      </w:r>
    </w:p>
    <w:p>
      <w:pPr>
        <w:spacing w:after="120"/>
      </w:pPr>
      <w:r>
        <w:t>Required enhancement: introduce TensorEvolutionGraph instead of a flat tensor metadata record. Nodes represent abstraction levels; edges represent transformations such as shard, replicate, reshape, layout cast, gather, reduce, materialize, tile, prefetch, promote memory, and demote memory.</w:t>
      </w:r>
    </w:p>
    <w:p>
      <w:pPr>
        <w:spacing w:after="120"/>
        <w:ind w:left="360"/>
      </w:pPr>
      <w:r>
        <w:rPr>
          <w:rFonts w:ascii="Courier New" w:hAnsi="Courier New" w:eastAsia="Courier New"/>
          <w:sz w:val="18"/>
        </w:rPr>
        <w:t>TensorEvolutionNode { evolution_id; source_tensor_id; parent_evolution_id; abstraction_level; descriptor; transformation; validity_conditions; cost_snapshot; lineage; }</w:t>
      </w:r>
    </w:p>
    <w:p>
      <w:pPr>
        <w:spacing w:after="120"/>
        <w:ind w:left="360"/>
      </w:pPr>
      <w:r>
        <w:rPr>
          <w:rFonts w:ascii="Courier New" w:hAnsi="Courier New" w:eastAsia="Courier New"/>
          <w:sz w:val="18"/>
        </w:rPr>
        <w:t>TensorEvolutionEdge { from; to; transformation_kind; preserves_semantics; communication_required; data_movement_bytes; }</w:t>
      </w:r>
    </w:p>
    <w:p>
      <w:pPr>
        <w:pStyle w:val="Heading2"/>
      </w:pPr>
      <w:r>
        <w:t>4.3 Static Compiler Plus Runtime Adaptive Scheduling</w:t>
      </w:r>
    </w:p>
    <w:p>
      <w:pPr>
        <w:spacing w:after="120"/>
      </w:pPr>
      <w:r>
        <w:t>LLM inference and serving workloads depend on runtime state that cannot be fully fixed at compile time: active batch, request sequence length, decode position, KV-cache pressure, prefix-cache hit rate, expert load, available HBM, network contention, and latency SLO. The compiler should generate legal variants and the runtime should select among them with guards.</w:t>
      </w:r>
    </w:p>
    <w:p>
      <w:pPr>
        <w:spacing w:after="120"/>
        <w:ind w:left="360"/>
      </w:pPr>
      <w:r>
        <w:rPr>
          <w:rFonts w:ascii="Courier New" w:hAnsi="Courier New" w:eastAsia="Courier New"/>
          <w:sz w:val="18"/>
        </w:rPr>
        <w:t>RuntimeVariantIR { variant_id; applies_when; schedule; predicted_cost; resource_requirements; fallback_variant; }</w:t>
      </w:r>
    </w:p>
    <w:p>
      <w:pPr>
        <w:spacing w:after="120"/>
        <w:ind w:left="360"/>
      </w:pPr>
      <w:r>
        <w:rPr>
          <w:rFonts w:ascii="Courier New" w:hAnsi="Courier New" w:eastAsia="Courier New"/>
          <w:sz w:val="18"/>
        </w:rPr>
        <w:t>RuntimeGuardIR { condition; required_properties; failure_action; }</w:t>
      </w:r>
    </w:p>
    <w:p>
      <w:pPr>
        <w:pStyle w:val="Heading1"/>
      </w:pPr>
      <w:r>
        <w:t>5 Comprehensive IR Requirements And Ownership Boundaries</w:t>
      </w:r>
    </w:p>
    <w:p>
      <w:pPr>
        <w:spacing w:after="120"/>
      </w:pPr>
      <w:r>
        <w:t>The ownership boundary is the most important governance rule in this design. Common substrate IR should be reusable by AI, FHE, and other domains. It describes optimization control, object lineage, memory hierarchy, candidate plans, costs, runtime guards, and generic communication intent. AI-domain-specific IR should describe AI semantics and serving state that a generic compiler should not own.</w:t>
      </w:r>
    </w:p>
    <w:p>
      <w:pPr>
        <w:pStyle w:val="Heading2"/>
      </w:pPr>
      <w:r>
        <w:t>5.1 Common Compiler Substrate Candidates</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or Object descriptor core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identity, logical shape or object extent, dtype or element type, producers, consumers, aliasing, lifetime anchor.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Object lineage across semantic, logical, distributed, local, tile, and execution-fragment forms.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RepresentationDescriptor hierarchy</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LayoutDescriptor, ShardingDescriptor, PlacementDescriptor, ResidencyDescriptor, TileDescriptor.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Reusable layout names, strides, blocking, packing, swizzle, and alignment constraints.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NUMA, GPU, remote memory, replicated, partitioned, or staged placement.</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Home tier, preferred tier, capacity, lifetime, eviction point, spill policy.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Sequential, tiled, strided, gather, scatter, reuse distance, producer-consumer timing.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Prefetch, demand fetch, async transfer, promotion, demotion, staging, overlap window.</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Hierarchical tiling alternatives across problem, device, CTA/threadblock, warp/warpgroup, thread, register fragment, tensor-core instruction, and memory-pipeline stages. It records tile shapes, split/reduction axes, buffering depth, swizzle/layout assumptions, resource usage, legality, and cost-model inputs before transformation is committed.</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CommonDistributedAliasIR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Range-level alias, ownership, mod/ref/reduce, and visibility facts for tensor tiles across ranks, devices, sockets, boards, or nodes. It records owned, ghost, replicated, reduced, migrated, and unknown regions plus communication epochs and runtime guards.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CommonPipelineIR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Pipeline stages, buffering depth, async barriers, dependency edges, overlap opportunities.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CommonParallelizationIR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Partition axes, replication, work ownership, mapping to resources, parallel region boundaries.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 or peer communication intent before backend-specific communication lowering.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tree that records semantic, layout, placement, parallelization, tile, memory, and pipeline alternatives.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 where generic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operator-region fusion fields belong in common substrate; AI legality and semantic classes are AI-specific extensions.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The unit of end-to-end cost evaluation across choices.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CandidateCostIR and CommonCostModelIR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 memory, communication, sync, launch, overlap, resource, and confidence estimates.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MemoryHierarchyDescriptorIR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Tier scope, capacity, bandwidth, latency, granularity, alignment, bank structure, async capability.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ComputeResourceIR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SM, vector unit, tensor core, thread, warp, CTA, stream, and occupancy-relevant resource descriptions.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RuntimeGuardIR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guards, validity ranges, fallback behavior, and failure actions.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runtime-variant infrastructure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Variant identity, applicability, selection policy hooks, hysteresis, fallback, telemetry binding.</w:t>
            </w:r>
          </w:p>
        </w:tc>
      </w:tr>
    </w:tbl>
    <w:p/>
    <w:p>
      <w:pPr>
        <w:pStyle w:val="Heading2"/>
      </w:pPr>
      <w:r>
        <w:t>5.2 AI Domain Specific IR</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AIWorkloadStateIR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Batch size, sequence length distribution, decode position, prefill/decode phase, request mix.</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KVCacheStateIR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 used/free, pressure, page residency, prefix-cache hit rate, eviction risk.</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AttentionSemanticIR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Q/K/V roles, attention mask, head grouping, context length, causal/prefix semantics.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MoESemanticIR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Expert load, routing distribution, capacity factor, token dispatch, combine semantics.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AIServingSLOIR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Latency SLO, throughput objective, fairness, queueing budget, admission-control interaction.</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AICostModelExtensions</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 arithmetic, KV paging penalties, MoE imbalance, prefill/decode asymmetry, quantization-specific throughput.</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AIDomainLegalityIR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Legality rules for attention, MoE, KV-cache updates, residual compatibility, and numerical tolerance.</w:t>
            </w:r>
          </w:p>
        </w:tc>
      </w:tr>
    </w:tbl>
    <w:p/>
    <w:p>
      <w:pPr>
        <w:pStyle w:val="Heading2"/>
      </w:pPr>
      <w:r>
        <w:t>5.3 Ownership Boundary Rules</w:t>
      </w:r>
    </w:p>
    <w:p>
      <w:pPr>
        <w:pStyle w:val="ListBullet"/>
        <w:spacing w:after="60"/>
      </w:pPr>
      <w:r>
        <w:t>Common substrate owns structure, lineage, candidate composition, generic cost terms, generic runtime guards, and generic memory/communication concepts.</w:t>
      </w:r>
    </w:p>
    <w:p>
      <w:pPr>
        <w:pStyle w:val="ListBullet"/>
        <w:spacing w:after="60"/>
      </w:pPr>
      <w:r>
        <w:t>AI domain owns model semantics, serving state, workload-specific legality, and cost-model extensions that depend on attention, MoE, KV cache, or AI-specific numerical behavior.</w:t>
      </w:r>
    </w:p>
    <w:p>
      <w:pPr>
        <w:pStyle w:val="ListBullet"/>
        <w:spacing w:after="60"/>
      </w:pPr>
      <w:r>
        <w:t>A common IR object can be extended by AI traits, but common fields must remain meaningful outside AI.</w:t>
      </w:r>
    </w:p>
    <w:p>
      <w:pPr>
        <w:pStyle w:val="ListBullet"/>
        <w:spacing w:after="60"/>
      </w:pPr>
      <w:r>
        <w:t>Research-derived mechanisms should be recorded as inspiration; DSC-specific proposals should be recorded as design commitments or hypotheses only after review.</w:t>
      </w:r>
    </w:p>
    <w:p>
      <w:pPr>
        <w:pStyle w:val="Heading1"/>
      </w:pPr>
      <w:r>
        <w:t>6 Phase To IR Matrix</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IR</w:t>
            </w:r>
          </w:p>
        </w:tc>
        <w:tc>
          <w:tcPr>
            <w:tcW w:type="dxa" w:w="43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Key information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descriptor core, AI semantic descriptors, TensorEvolutionGraph root</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Semantic roles, shape, dtype, dynamic dimensions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 CommonMemoryResidencyIR, CandidateCostIR seed</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Reuse distance, last use, working set</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 OptimizationCandidateIR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state unknown, semantic legality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 RepresentationDescriptor hierarchy</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Logical layout alternatives</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 CommonParallelizationIR, CommonDistributedAliasIR, TensorEvolutionGraph</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Sharding, replication, device ownership, tile-range ownership</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 CommonDistributedAliasIR,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peer transfers, and visibility epochs implied by sharding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layout residency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 MemoryHierarchyDescriptorIR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 L2, shared, registers, CPU, remote memory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 CommonAccessPatternIR, CommonLayoutIR, CommonMemoryResidencyIR, ComputeResourceIR,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Output/reduction/CTA/SMEM/warp/thread/register/vector tile families, coalescing, arithmetic intensity, occupancy, resource pressure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async</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 CommonPipelineIR,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 movement, buffering depth, overlap windows, safe early fetch windows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Kernel scheduling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 CommonPipelineIR, ComputeResourceIR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Final physical realization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RuntimeSelectionPolicyIR,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Certified variants, selection guards, guarded no-alias and disjoint-tile predicates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feedback</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TelemetryProfileIR, CandidateCostIR updates</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Measured traffic, stalls, overlap, selected variants</w:t>
            </w:r>
          </w:p>
        </w:tc>
      </w:tr>
    </w:tbl>
    <w:p/>
    <w:p>
      <w:pPr>
        <w:pStyle w:val="Heading1"/>
      </w:pPr>
      <w:r>
        <w:t>6A Refined AI-P7 Multi-Level Tiling</w:t>
      </w:r>
    </w:p>
    <w:p>
      <w:pPr>
        <w:spacing w:after="120"/>
      </w:pPr>
      <w:r>
        <w:t>AI-P7 should be treated as a structured tile-plan construction phase, not a single tiling pass. Its job is to produce CommonTilePlanIR alternatives that later phases can evaluate with the cost model. The CUDA MMM worklog by Simon Boehm is a useful concrete mapping because it manually walks through the same hierarchy that the compiler should represent: global-memory coalescing, shared-memory tiling, thread/register tiling, vectorized access, autotuning, and warp tiling.</w:t>
      </w:r>
    </w:p>
    <w:p>
      <w:pPr>
        <w:spacing w:after="120"/>
      </w:pPr>
      <w:r>
        <w:t>AI-P7 receives logical layout, placement, ownership, and local residency constraints from AI-P3 through AI-P6. It should not finalize the physical kernel by itself. Instead it creates tile-plan candidates with enough structure for AI-P8 prefetch/pipeline planning, AI-P9 scheduling, and AI-P10 runtime variant selection.</w:t>
      </w:r>
    </w:p>
    <w:p>
      <w:pPr>
        <w:pStyle w:val="Heading2"/>
      </w:pPr>
      <w:r>
        <w:t>6A.1 Tiling Sub-Phases</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93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Sub-phase</w:t>
            </w:r>
          </w:p>
        </w:tc>
        <w:tc>
          <w:tcPr>
            <w:tcW w:type="dxa" w:w="259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Purpose</w:t>
            </w:r>
          </w:p>
        </w:tc>
        <w:tc>
          <w:tcPr>
            <w:tcW w:type="dxa" w:w="30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CUDA MMM analogue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Primary IR fields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Baseline access characterization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 naive implementation and lower-bound math.</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CommonAccessPatternIR; CandidateCostIR; TensorEvolutionGraph roots.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 tile and thread-to-element mapping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Naive one-thread-per-C element mapping.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output_tile_shape; thread_ownership; boundary_predication.</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P7.2</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Global-memory coalescing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2 GMEM coalescing.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lane_to_address_map; coalescing_width; alignment_assumption; transaction_width.</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P7.3</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Reduction-axis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BLOCKSIZE/BK loop over A columns and B rows.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reduction_tile_shape; split_axis; accumulation_scope.</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P7.4</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Shared-memory tile and prefetch hint</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3 shared-memory cache blocking; later TMA/cp.async pipeline realization.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smem_layout; smem_tile_shape; reuse_distance; tma_legality; buffering_feasibility; synchronization_points.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P7.5</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and resource feasibility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calculation after Kernel 3.</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ComputeResourceIR; occupancy_terms; resource_limits.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P7.6</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Per-thread register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4 1D blocktiling and Kernel 5 2D blocktiling.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thread_tile_shape; register_fragment_shape; accumulator_footprint.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P7.7</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Register reuse and inner-loop ordering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5 register caching and outer-product accumulation.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inner_loop_order; register_reuse_factor; smem_access_count.</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P7.8</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Vectorized memory-access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6 transposed As, LDS.128, LDG.E.128, STG.E.128, float4.</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vector_width; alignment_guard; transposed_smem_layout.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P7.9</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Autotuned tile family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9 autotuning.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tile_family; CandidateCostIR confidence; RuntimeVariantIR candidate_id.</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10 warptiling.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warp_tile_shape; warp_lane_map; warp_scheduler_model; bank_conflict_terms.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 or tensor-core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Natural next mapping from warp tiling to tensor-core instructions.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instruction_tile_shape; fragment_descriptor; tensor_core_family.</w:t>
            </w:r>
          </w:p>
        </w:tc>
      </w:tr>
    </w:tbl>
    <w:p/>
    <w:p>
      <w:pPr>
        <w:pStyle w:val="Heading2"/>
      </w:pPr>
      <w:r>
        <w:t>6A.2 CommonTilePlanIR Fields Required By The CUDA MMM Mapping</w:t>
      </w:r>
    </w:p>
    <w:p>
      <w:pPr>
        <w:spacing w:after="120"/>
      </w:pPr>
      <w:r>
        <w:t>CommonTilePlanIR should be detailed enough to represent the following fields directly:</w:t>
      </w:r>
    </w:p>
    <w:p>
      <w:pPr>
        <w:pStyle w:val="ListBullet"/>
        <w:spacing w:after="60"/>
      </w:pPr>
      <w:r>
        <w:t>problem_tile_shape: M, N, K tile shape at the logical operation level.</w:t>
      </w:r>
    </w:p>
    <w:p>
      <w:pPr>
        <w:pStyle w:val="ListBullet"/>
        <w:spacing w:after="60"/>
      </w:pPr>
      <w:r>
        <w:t>output_tile_shape: C tile computed by one CTA, warp, thread, and instruction fragment.</w:t>
      </w:r>
    </w:p>
    <w:p>
      <w:pPr>
        <w:pStyle w:val="ListBullet"/>
        <w:spacing w:after="60"/>
      </w:pPr>
      <w:r>
        <w:t>reduction_tile_shape: BK or equivalent reduction-axis chunk.</w:t>
      </w:r>
    </w:p>
    <w:p>
      <w:pPr>
        <w:pStyle w:val="ListBullet"/>
        <w:spacing w:after="60"/>
      </w:pPr>
      <w:r>
        <w:t>cta_tile_shape: BM, BN, BK and CTA thread count.</w:t>
      </w:r>
    </w:p>
    <w:p>
      <w:pPr>
        <w:pStyle w:val="ListBullet"/>
        <w:spacing w:after="60"/>
      </w:pPr>
      <w:r>
        <w:t>warp_tile_shape: warp-level M/N tile, warp row/column assignment, lane mapping.</w:t>
      </w:r>
    </w:p>
    <w:p>
      <w:pPr>
        <w:pStyle w:val="ListBullet"/>
        <w:spacing w:after="60"/>
      </w:pPr>
      <w:r>
        <w:t>thread_tile_shape: TM, TN and per-thread output ownership.</w:t>
      </w:r>
    </w:p>
    <w:p>
      <w:pPr>
        <w:pStyle w:val="ListBullet"/>
        <w:spacing w:after="60"/>
      </w:pPr>
      <w:r>
        <w:t>register_fragment_shape: accumulator array shape, A/B register cache shape, temporary footprint.</w:t>
      </w:r>
    </w:p>
    <w:p>
      <w:pPr>
        <w:pStyle w:val="ListBullet"/>
        <w:spacing w:after="60"/>
      </w:pPr>
      <w:r>
        <w:t>shared_memory_tile_shape: A/B SMEM tile shapes, bytes per stage, double-buffering compatibility.</w:t>
      </w:r>
    </w:p>
    <w:p>
      <w:pPr>
        <w:pStyle w:val="ListBullet"/>
        <w:spacing w:after="60"/>
      </w:pPr>
      <w:r>
        <w:t>layout_transform: transposed SMEM layout, swizzle, padding, or bank-conflict avoidance transform.</w:t>
      </w:r>
    </w:p>
    <w:p>
      <w:pPr>
        <w:pStyle w:val="ListBullet"/>
        <w:spacing w:after="60"/>
      </w:pPr>
      <w:r>
        <w:t>low_precision_format: dtype family such as BF16, FP8, MXFP8, MXFP4, NVFP4, accumulation dtype, packing alignment, and supported Tensor Core instruction family.</w:t>
      </w:r>
    </w:p>
    <w:p>
      <w:pPr>
        <w:pStyle w:val="ListBullet"/>
        <w:spacing w:after="60"/>
      </w:pPr>
      <w:r>
        <w:t>scale_tile_shape: scale-factor tensor tile shape, scale granularity, scale reuse scope, and scale layout compatibility when the value format uses block or micro-tensor scaling.</w:t>
      </w:r>
    </w:p>
    <w:p>
      <w:pPr>
        <w:pStyle w:val="ListBullet"/>
        <w:spacing w:after="60"/>
      </w:pPr>
      <w:r>
        <w:t>effective_tile_bytes: packed value bytes plus scale metadata bytes, layout padding, alignment padding, and conversion or repacking traffic.</w:t>
      </w:r>
    </w:p>
    <w:p>
      <w:pPr>
        <w:pStyle w:val="ListBullet"/>
        <w:spacing w:after="60"/>
      </w:pPr>
      <w:r>
        <w:t>smem_prefetch_hint: producer-consumer distance, reuse distance, expected stage count, and whether TMA, cp.async, vectorized LDG, or scalar fallback should be evaluated.</w:t>
      </w:r>
    </w:p>
    <w:p>
      <w:pPr>
        <w:pStyle w:val="ListBullet"/>
        <w:spacing w:after="60"/>
      </w:pPr>
      <w:r>
        <w:t>tma_legality: affine source range, rectangular or regularly strided tile, compatible destination layout, required alignment, boundary handling, and alias-safety conditions.</w:t>
      </w:r>
    </w:p>
    <w:p>
      <w:pPr>
        <w:pStyle w:val="ListBullet"/>
        <w:spacing w:after="60"/>
      </w:pPr>
      <w:r>
        <w:t>buffering_feasibility: one-stage, two-stage, or N-stage buffering feasibility under SMEM, register, CTA, and occupancy limits.</w:t>
      </w:r>
    </w:p>
    <w:p>
      <w:pPr>
        <w:pStyle w:val="ListBullet"/>
        <w:spacing w:after="60"/>
      </w:pPr>
      <w:r>
        <w:t>access_vectorization: scalar, float2, float4, LDG/STG width, LDS width, alignment requirement.</w:t>
      </w:r>
    </w:p>
    <w:p>
      <w:pPr>
        <w:pStyle w:val="ListBullet"/>
        <w:spacing w:after="60"/>
      </w:pPr>
      <w:r>
        <w:t>coalescing_model: lane-to-address mapping, transaction width, contiguous-lane count, wasted transaction estimate.</w:t>
      </w:r>
    </w:p>
    <w:p>
      <w:pPr>
        <w:pStyle w:val="ListBullet"/>
        <w:spacing w:after="60"/>
      </w:pPr>
      <w:r>
        <w:t>occupancy_model_inputs: registers/thread, SMEM/CTA, CTAs/SM, warps/SM, launch grid, wave quantization.</w:t>
      </w:r>
    </w:p>
    <w:p>
      <w:pPr>
        <w:pStyle w:val="ListBullet"/>
        <w:spacing w:after="60"/>
      </w:pPr>
      <w:r>
        <w:t>synchronization_model: barriers needed for SMEM tile population, SMEM reuse, and tile overwrite safety.</w:t>
      </w:r>
    </w:p>
    <w:p>
      <w:pPr>
        <w:pStyle w:val="ListBullet"/>
        <w:spacing w:after="60"/>
      </w:pPr>
      <w:r>
        <w:t>arithmetic_intensity_model: FLOPs per GMEM byte, FLOPs per SMEM byte, reuse factors by tile level.</w:t>
      </w:r>
    </w:p>
    <w:p>
      <w:pPr>
        <w:pStyle w:val="ListBullet"/>
        <w:spacing w:after="60"/>
      </w:pPr>
      <w:r>
        <w:t>autotune_dimensions: tunable symbols such as BM, BN, BK, TM, TN, warp tile shape, vector width, stages.</w:t>
      </w:r>
    </w:p>
    <w:p>
      <w:pPr>
        <w:pStyle w:val="ListBullet"/>
        <w:spacing w:after="60"/>
      </w:pPr>
      <w:r>
        <w:t>legality_guards: divisibility, bounds masking, pointer alignment, dtype alignment, layout compatibility.</w:t>
      </w:r>
    </w:p>
    <w:p>
      <w:pPr>
        <w:pStyle w:val="Heading2"/>
      </w:pPr>
      <w:r>
        <w:t>6A.3 Mapping To Later Phases</w:t>
      </w:r>
    </w:p>
    <w:p>
      <w:pPr>
        <w:spacing w:after="120"/>
      </w:pPr>
      <w:r>
        <w:t>P7 creates the tile candidates, but later phases still decide whether and how to use them.</w:t>
      </w:r>
    </w:p>
    <w:p>
      <w:pPr>
        <w:pStyle w:val="ListBullet"/>
        <w:spacing w:after="60"/>
      </w:pPr>
      <w:r>
        <w:t>AI-P8 consumes P7 tile shapes to build fetch, prefetch, double-buffering, cp.async/TMA, and SMEM-to-register pipeline plans.</w:t>
      </w:r>
    </w:p>
    <w:p>
      <w:pPr>
        <w:pStyle w:val="ListBullet"/>
        <w:spacing w:after="60"/>
      </w:pPr>
      <w:r>
        <w:t>AI-P9 consumes P7 tile shapes to choose final loop order, synchronization placement, warp scheduling, instruction shape, and physical kernel realization.</w:t>
      </w:r>
    </w:p>
    <w:p>
      <w:pPr>
        <w:pStyle w:val="ListBullet"/>
        <w:spacing w:after="60"/>
      </w:pPr>
      <w:r>
        <w:t>AI-P10 consumes P7 autotune dimensions and legality guards to build runtime variants keyed by hardware, shape, dtype, alignment, and measured performance.</w:t>
      </w:r>
    </w:p>
    <w:p>
      <w:pPr>
        <w:pStyle w:val="ListBullet"/>
        <w:spacing w:after="60"/>
      </w:pPr>
      <w:r>
        <w:t>AI-P11 feeds measured occupancy, memory transactions, bank conflicts, achieved FLOPs, and guard hit rates back into CandidateCostIR.</w:t>
      </w:r>
    </w:p>
    <w:p>
      <w:pPr>
        <w:spacing w:after="120"/>
      </w:pPr>
      <w:r>
        <w:t>The design lesson from CUDA MMM is that every tiling decision is entangled with memory layout, access pattern, residency, and scheduling. Therefore AI-P7 should create rich CommonTilePlanIR alternatives and defer final selection until cost-model and runtime-variant information are available.</w:t>
      </w:r>
    </w:p>
    <w:p>
      <w:pPr>
        <w:pStyle w:val="Heading2"/>
      </w:pPr>
      <w:r>
        <w:t>6A.4 P7.4 To P8 Prefetch Hint Contract</w:t>
      </w:r>
    </w:p>
    <w:p>
      <w:pPr>
        <w:spacing w:after="120"/>
      </w:pPr>
      <w:r>
        <w:t>P7.4 should not generate the async copy schedule directly. Its responsibility is to preserve enough tile structure for P8 to decide whether a TMA, cp.async, vectorized-load, or scalar fallback movement plan can hide memory latency. This is the same delayed-transformation principle as the rest of the design: P7.4 describes what is worth staging in shared memory; P8 decides how early and by which hardware engine it should be moved.</w:t>
      </w:r>
    </w:p>
    <w:p>
      <w:pPr>
        <w:spacing w:after="120"/>
      </w:pPr>
      <w:r>
        <w:t>For each shared-memory tile candidate, P7.4 should emit:</w:t>
      </w:r>
    </w:p>
    <w:p>
      <w:pPr>
        <w:pStyle w:val="ListBullet"/>
        <w:spacing w:after="60"/>
      </w:pPr>
      <w:r>
        <w:t>smem_tile_shape: A and B tile dimensions, bytes per stage, and edge-tile policy.</w:t>
      </w:r>
    </w:p>
    <w:p>
      <w:pPr>
        <w:pStyle w:val="ListBullet"/>
        <w:spacing w:after="60"/>
      </w:pPr>
      <w:r>
        <w:t>smem_layout: canonical, transposed, swizzled, padded, or bank-conflict-avoiding layout.</w:t>
      </w:r>
    </w:p>
    <w:p>
      <w:pPr>
        <w:pStyle w:val="ListBullet"/>
        <w:spacing w:after="60"/>
      </w:pPr>
      <w:r>
        <w:t>scale_tile_layout: associated scale-factor tile layout and whether it can be staged with, before, or independently from the packed value tile.</w:t>
      </w:r>
    </w:p>
    <w:p>
      <w:pPr>
        <w:pStyle w:val="ListBullet"/>
        <w:spacing w:after="60"/>
      </w:pPr>
      <w:r>
        <w:t>tile_reuse_profile: consumers per staged tile, reuse distance, arithmetic intensity contribution, and expected SMEM-to-register access count.</w:t>
      </w:r>
    </w:p>
    <w:p>
      <w:pPr>
        <w:pStyle w:val="ListBullet"/>
        <w:spacing w:after="60"/>
      </w:pPr>
      <w:r>
        <w:t>prefetch_distance_hint: the candidate number of K-tiles or pipeline stages to fetch ahead.</w:t>
      </w:r>
    </w:p>
    <w:p>
      <w:pPr>
        <w:pStyle w:val="ListBullet"/>
        <w:spacing w:after="60"/>
      </w:pPr>
      <w:r>
        <w:t>buffering_feasibility: whether one-stage, double-buffered, triple-buffered, or deeper staging fits under SMEM, register, occupancy, and barrier constraints.</w:t>
      </w:r>
    </w:p>
    <w:p>
      <w:pPr>
        <w:pStyle w:val="ListBullet"/>
        <w:spacing w:after="60"/>
      </w:pPr>
      <w:r>
        <w:t>tma_candidate: whether the source and destination form a regular multidimensional transfer suitable for TMA.</w:t>
      </w:r>
    </w:p>
    <w:p>
      <w:pPr>
        <w:pStyle w:val="ListBullet"/>
        <w:spacing w:after="60"/>
      </w:pPr>
      <w:r>
        <w:t>tma_legality: affine source range, rectangular or strided tile shape, alignment, compatible destination layout, boundary policy, and alias-safety conditions.</w:t>
      </w:r>
    </w:p>
    <w:p>
      <w:pPr>
        <w:pStyle w:val="ListBullet"/>
        <w:spacing w:after="60"/>
      </w:pPr>
      <w:r>
        <w:t>arrival_and_wait_requirements: barrier or mbarrier requirements between async arrival and consuming warp, warpgroup, or CTA.</w:t>
      </w:r>
    </w:p>
    <w:p>
      <w:pPr>
        <w:pStyle w:val="ListBullet"/>
        <w:spacing w:after="60"/>
      </w:pPr>
      <w:r>
        <w:t>fallback_movement_candidates: cp.async, vectorized LDG plus SMEM store, ordinary LDG/STG, or demand load when TMA is illegal or not profitable.</w:t>
      </w:r>
    </w:p>
    <w:p>
      <w:pPr>
        <w:spacing w:after="120"/>
      </w:pPr>
      <w:r>
        <w:t>P8 consumes those hints to build CommonFetchPlanIR and CommonPipelineIR. A P8 plan should bind the selected movement engine, source/destination memory levels, stage count, prefetch distance, arrival barrier, consumer wait point, edge-tile behavior, and fallback path. The profitability model should charge only the unhidden portion of movement latency, so the plan selection explicitly asks whether the P7.4 tile and P8 pipeline together reduce compute-unit bubbles.</w:t>
      </w:r>
    </w:p>
    <w:p>
      <w:pPr>
        <w:pStyle w:val="Heading1"/>
      </w:pPr>
      <w:r>
        <w:t>7 Candidate Generation And Profitability Architecture</w:t>
      </w:r>
    </w:p>
    <w:p>
      <w:pPr>
        <w:spacing w:after="120"/>
      </w:pPr>
      <w:r>
        <w:t>Candidate generation should produce a candidate tree rather than a sequence of independent pass decisions. Fusion, layout, placement, sharding, tiling, memory residency, fetch, pipeline, communication, and runtime-variant choices become branches within OptimizationCandidateIR and are evaluated as OptimizationPlanIR instances.</w:t>
      </w:r>
    </w:p>
    <w:p>
      <w:pPr>
        <w:spacing w:after="120"/>
        <w:ind w:left="360"/>
      </w:pPr>
      <w:r>
        <w:rPr>
          <w:rFonts w:ascii="Courier New" w:hAnsi="Courier New" w:eastAsia="Courier New"/>
          <w:sz w:val="18"/>
        </w:rPr>
        <w:t>OptimizationPlanIR { plan_id; semantic_region; tensor_evolution_graph; fusion_choices; layout_choices; placement_choices; sharding_choices; communication_choices; tile_choices; memory_residency_choices; fetch_prefetch_choices; pipeline_choices; kernel_choices; estimated_cost; legality; runtime_guards; }</w:t>
      </w:r>
    </w:p>
    <w:p>
      <w:pPr>
        <w:pStyle w:val="Heading2"/>
      </w:pPr>
      <w:r>
        <w:t>7.1 Cost Model Gate</w:t>
      </w:r>
    </w:p>
    <w:p>
      <w:pPr>
        <w:spacing w:after="120"/>
      </w:pPr>
      <w:r>
        <w:t>The optimizer must not commit a fusion, tiling, layout, placement, sharding, memory-residency, fetch/prefetch, communication, or runtime-variant decision only because the transformation is locally legal. Selection requires an explicit cost record and a legality record on the whole candidate plan. This is the main design lesson drawn from Open64 LNO: candidate transformations should remain representational until enough dependence, reuse, memory hierarchy, loop/tile, and machine-resource information has been collected to compare plans.</w:t>
      </w:r>
    </w:p>
    <w:p>
      <w:pPr>
        <w:spacing w:after="120"/>
      </w:pPr>
      <w:r>
        <w:t>This gate applies to static and runtime-adaptive plans. A static selected plan requires CandidateCostIR with sufficient confidence for the target hardware. A runtime variant requires both CandidateCostIR and RuntimeGuardIR so that the runtime can select only among certified variants.</w:t>
      </w:r>
    </w:p>
    <w:p>
      <w:pPr>
        <w:pStyle w:val="Heading2"/>
      </w:pPr>
      <w:r>
        <w:t>7.2 Latency Equation</w:t>
      </w:r>
    </w:p>
    <w:p>
      <w:pPr>
        <w:spacing w:after="120"/>
      </w:pPr>
      <w:r>
        <w:t>Use an explicit plan-level latency model so the optimizer can reason about overlap rather than simply summing all component costs.</w:t>
      </w:r>
    </w:p>
    <w:p>
      <w:pPr>
        <w:spacing w:after="120"/>
        <w:ind w:left="360"/>
      </w:pPr>
      <w:r>
        <w:rPr>
          <w:rFonts w:ascii="Courier New" w:hAnsi="Courier New" w:eastAsia="Courier New"/>
          <w:sz w:val="18"/>
        </w:rPr>
        <w:t>T_total = T_compute + T_memory_unhidden + T_communication_unhidden + T_sync + T_launch + T_runtime_selection</w:t>
      </w:r>
    </w:p>
    <w:p>
      <w:pPr>
        <w:spacing w:after="120"/>
        <w:ind w:left="360"/>
      </w:pPr>
      <w:r>
        <w:rPr>
          <w:rFonts w:ascii="Courier New" w:hAnsi="Courier New" w:eastAsia="Courier New"/>
          <w:sz w:val="18"/>
        </w:rPr>
        <w:t>T_memory_unhidden = max(0, T_memory_raw - T_memory_hidden_by_compute - T_memory_hidden_by_communication)</w:t>
      </w:r>
    </w:p>
    <w:p>
      <w:pPr>
        <w:spacing w:after="120"/>
        <w:ind w:left="360"/>
      </w:pPr>
      <w:r>
        <w:rPr>
          <w:rFonts w:ascii="Courier New" w:hAnsi="Courier New" w:eastAsia="Courier New"/>
          <w:sz w:val="18"/>
        </w:rPr>
        <w:t>T_communication_unhidden = max(0, T_communication_raw - T_communication_hidden_by_compute - T_communication_hidden_by_memory)</w:t>
      </w:r>
    </w:p>
    <w:p>
      <w:pPr>
        <w:spacing w:after="120"/>
        <w:ind w:left="360"/>
      </w:pPr>
      <w:r>
        <w:rPr>
          <w:rFonts w:ascii="Courier New" w:hAnsi="Courier New" w:eastAsia="Courier New"/>
          <w:sz w:val="18"/>
        </w:rPr>
        <w:t>T_compute = max(T_tensor_core, T_cuda_core, T_vector, T_reduction) adjusted by occupancy and issue constraints</w:t>
      </w:r>
    </w:p>
    <w:p>
      <w:pPr>
        <w:spacing w:after="120"/>
      </w:pPr>
      <w:r>
        <w:t>For low-precision formats such as Blackwell NVFP4, the model must not only scale bytes by dtype width. It should expand the equation with scale metadata and layout terms:</w:t>
      </w:r>
    </w:p>
    <w:p>
      <w:pPr>
        <w:spacing w:after="120"/>
        <w:ind w:left="360"/>
      </w:pPr>
      <w:r>
        <w:rPr>
          <w:rFonts w:ascii="Courier New" w:hAnsi="Courier New" w:eastAsia="Courier New"/>
          <w:sz w:val="18"/>
        </w:rPr>
        <w:t>T_total(dtype, tile) = T_compute(dtype, instruction_tile) + T_scale_metadata_load + T_scale_apply_or_fused_scale + T_memory_unhidden(value_tile + scale_tile) + T_sync + T_launch + T_runtime_selection</w:t>
      </w:r>
    </w:p>
    <w:p>
      <w:pPr>
        <w:spacing w:after="120"/>
      </w:pPr>
      <w:r>
        <w:t>CandidateCostIR should store raw and unhidden terms separately. A plan with higher raw memory traffic can still win if the traffic is hidden by a stronger async pipeline; a plan with lower raw traffic can lose if synchronization or occupancy loss makes stalls visible.</w:t>
      </w:r>
    </w:p>
    <w:p>
      <w:pPr>
        <w:pStyle w:val="Heading2"/>
      </w:pPr>
      <w:r>
        <w:t>7.3 Profitability Decision Timing</w:t>
      </w:r>
    </w:p>
    <w:p>
      <w:pPr>
        <w:spacing w:after="120"/>
      </w:pPr>
      <w:r>
        <w:t>Early phases create candidates. Later phases refine candidates. Final selection should occur only after the optimizer can estimate register count, shared-memory footprint, occupancy, communication effect, memory overlap, synchronization, launch count, and runtime guard coverage.</w:t>
      </w:r>
    </w:p>
    <w:p>
      <w:pPr>
        <w:pStyle w:val="Heading2"/>
      </w:pPr>
      <w:r>
        <w:t>7.4 Mandatory Candidate To Rewrite Loop</w:t>
      </w:r>
    </w:p>
    <w:p>
      <w:pPr>
        <w:spacing w:after="120"/>
      </w:pPr>
      <w:r>
        <w:t>The optimizer must contain an explicit commitment point. Delaying transformation is useful only if the compiler eventually selects a plan and rewrites code. For every optimization family, the implementation must provide:</w:t>
      </w:r>
    </w:p>
    <w:p>
      <w:pPr>
        <w:pStyle w:val="ListBullet"/>
        <w:spacing w:after="60"/>
      </w:pPr>
      <w:r>
        <w:t>detector: finds the region and records why it is eligible.</w:t>
      </w:r>
    </w:p>
    <w:p>
      <w:pPr>
        <w:pStyle w:val="ListBullet"/>
        <w:spacing w:after="60"/>
      </w:pPr>
      <w:r>
        <w:t>candidate generator: creates baseline and transformed alternatives.</w:t>
      </w:r>
    </w:p>
    <w:p>
      <w:pPr>
        <w:pStyle w:val="ListBullet"/>
        <w:spacing w:after="60"/>
      </w:pPr>
      <w:r>
        <w:t>legality checker: proves safety or emits a RuntimeGuardIR plus conservative fallback.</w:t>
      </w:r>
    </w:p>
    <w:p>
      <w:pPr>
        <w:pStyle w:val="ListBullet"/>
        <w:spacing w:after="60"/>
      </w:pPr>
      <w:r>
        <w:t>cost builder: fills CandidateCostIR for every candidate, including confidence and missing-cost flags.</w:t>
      </w:r>
    </w:p>
    <w:p>
      <w:pPr>
        <w:pStyle w:val="ListBullet"/>
        <w:spacing w:after="60"/>
      </w:pPr>
      <w:r>
        <w:t>selector: chooses a candidate or records a no-transform decision.</w:t>
      </w:r>
    </w:p>
    <w:p>
      <w:pPr>
        <w:pStyle w:val="ListBullet"/>
        <w:spacing w:after="60"/>
      </w:pPr>
      <w:r>
        <w:t>rewriter: changes the IR into the selected physical form.</w:t>
      </w:r>
    </w:p>
    <w:p>
      <w:pPr>
        <w:pStyle w:val="ListBullet"/>
        <w:spacing w:after="60"/>
      </w:pPr>
      <w:r>
        <w:t>verifier: checks structural validity, numerical correctness, and performance counters.</w:t>
      </w:r>
    </w:p>
    <w:p>
      <w:pPr>
        <w:spacing w:after="120"/>
      </w:pPr>
      <w:r>
        <w:t>The minimum useful selector is intentionally simple:</w:t>
      </w:r>
    </w:p>
    <w:p>
      <w:pPr>
        <w:pStyle w:val="ListBullet"/>
        <w:spacing w:after="60"/>
      </w:pPr>
      <w:r>
        <w:t>Prefer the transformed candidate only if legality is proven or guarded.</w:t>
      </w:r>
    </w:p>
    <w:p>
      <w:pPr>
        <w:pStyle w:val="ListBullet"/>
        <w:spacing w:after="60"/>
      </w:pPr>
      <w:r>
        <w:t>Require estimated benefit above a configurable threshold.</w:t>
      </w:r>
    </w:p>
    <w:p>
      <w:pPr>
        <w:pStyle w:val="ListBullet"/>
        <w:spacing w:after="60"/>
      </w:pPr>
      <w:r>
        <w:t>Reject the transform if register pressure, shared-memory footprint, code size, or synchronization cost crosses a hard limit.</w:t>
      </w:r>
    </w:p>
    <w:p>
      <w:pPr>
        <w:pStyle w:val="ListBullet"/>
        <w:spacing w:after="60"/>
      </w:pPr>
      <w:r>
        <w:t>Emit the selected candidate id, rejected candidate ids, and rejection reasons into telemetry.</w:t>
      </w:r>
    </w:p>
    <w:p>
      <w:pPr>
        <w:spacing w:after="120"/>
      </w:pPr>
      <w:r>
        <w:t>This loop prevents the design principle "do not commit too early" from becoming "never commit." The document's delayed-decision architecture is successful only when AI-P9 can select and lower a real plan.</w:t>
      </w:r>
    </w:p>
    <w:p>
      <w:pPr>
        <w:pStyle w:val="Heading1"/>
      </w:pPr>
      <w:r>
        <w:t>7A CommonTilePlanIR And Hardware Cost Inputs</w:t>
      </w:r>
    </w:p>
    <w:p>
      <w:pPr>
        <w:spacing w:after="120"/>
      </w:pPr>
      <w:r>
        <w:t>CommonTilePlanIR is the persistent representation of tiling choices before code transformation. It should be created early enough for fusion, layout, sharding, residency, and fetch planning to attach constraints, but selected late enough that the cost model can compare full plans.</w:t>
      </w:r>
    </w:p>
    <w:p>
      <w:pPr>
        <w:spacing w:after="120"/>
      </w:pPr>
      <w:r>
        <w:t>CommonTilePlanIR should include:</w:t>
      </w:r>
    </w:p>
    <w:p>
      <w:pPr>
        <w:pStyle w:val="ListBullet"/>
        <w:spacing w:after="60"/>
      </w:pPr>
      <w:r>
        <w:t>semantic region and tensor evolution nodes covered by the tile plan.</w:t>
      </w:r>
    </w:p>
    <w:p>
      <w:pPr>
        <w:pStyle w:val="ListBullet"/>
        <w:spacing w:after="60"/>
      </w:pPr>
      <w:r>
        <w:t>logical tile shape over domain axes, including split/reduction axes.</w:t>
      </w:r>
    </w:p>
    <w:p>
      <w:pPr>
        <w:pStyle w:val="ListBullet"/>
        <w:spacing w:after="60"/>
      </w:pPr>
      <w:r>
        <w:t>distributed tile shape across devices, CTAs, clusters, and pipeline stages.</w:t>
      </w:r>
    </w:p>
    <w:p>
      <w:pPr>
        <w:pStyle w:val="ListBullet"/>
        <w:spacing w:after="60"/>
      </w:pPr>
      <w:r>
        <w:t>CTA or threadblock tile shape, including CTA count, cluster shape, and grid scheduling assumptions.</w:t>
      </w:r>
    </w:p>
    <w:p>
      <w:pPr>
        <w:pStyle w:val="ListBullet"/>
        <w:spacing w:after="60"/>
      </w:pPr>
      <w:r>
        <w:t>warp or warpgroup tile shape and mapping to lanes.</w:t>
      </w:r>
    </w:p>
    <w:p>
      <w:pPr>
        <w:pStyle w:val="ListBullet"/>
        <w:spacing w:after="60"/>
      </w:pPr>
      <w:r>
        <w:t>thread tile shape, per-thread output ownership, and register-fragment shape.</w:t>
      </w:r>
    </w:p>
    <w:p>
      <w:pPr>
        <w:pStyle w:val="ListBullet"/>
        <w:spacing w:after="60"/>
      </w:pPr>
      <w:r>
        <w:t>tensor-core or vector-instruction tile shape, including MMA/WGMMA/WMMA instruction family where relevant.</w:t>
      </w:r>
    </w:p>
    <w:p>
      <w:pPr>
        <w:pStyle w:val="ListBullet"/>
        <w:spacing w:after="60"/>
      </w:pPr>
      <w:r>
        <w:t>low-precision value tile and scale tile structure, including value dtype, accumulation dtype, block-scale granularity, scale-factor layout, scale reuse, and alignment requirements.</w:t>
      </w:r>
    </w:p>
    <w:p>
      <w:pPr>
        <w:pStyle w:val="ListBullet"/>
        <w:spacing w:after="60"/>
      </w:pPr>
      <w:r>
        <w:t>shared-memory staging shape, swizzle, bank-conflict assumptions, and bytes per stage.</w:t>
      </w:r>
    </w:p>
    <w:p>
      <w:pPr>
        <w:pStyle w:val="ListBullet"/>
        <w:spacing w:after="60"/>
      </w:pPr>
      <w:r>
        <w:t>register use, accumulator footprint, temporary footprint, and max register constraint.</w:t>
      </w:r>
    </w:p>
    <w:p>
      <w:pPr>
        <w:pStyle w:val="ListBullet"/>
        <w:spacing w:after="60"/>
      </w:pPr>
      <w:r>
        <w:t>num_warps, num_stages, num_ctas, pipeline depth, async-copy/TMA usage, and barrier requirements.</w:t>
      </w:r>
    </w:p>
    <w:p>
      <w:pPr>
        <w:pStyle w:val="ListBullet"/>
        <w:spacing w:after="60"/>
      </w:pPr>
      <w:r>
        <w:t>occupancy estimate, active CTA/warp/warpgroup estimate, launch-grid utilization, wave quantization, and tail inefficiency.</w:t>
      </w:r>
    </w:p>
    <w:p>
      <w:pPr>
        <w:pStyle w:val="ListBullet"/>
        <w:spacing w:after="60"/>
      </w:pPr>
      <w:r>
        <w:t>memory traffic by tier: HBM/global, L2, shared memory, tensor memory if available, registers, and remote/peer memory.</w:t>
      </w:r>
    </w:p>
    <w:p>
      <w:pPr>
        <w:pStyle w:val="ListBullet"/>
        <w:spacing w:after="60"/>
      </w:pPr>
      <w:r>
        <w:t>overlap assumptions: compute-memory, compute-communication, producer-consumer warp specialization, and epilogue overlap.</w:t>
      </w:r>
    </w:p>
    <w:p>
      <w:pPr>
        <w:pStyle w:val="ListBullet"/>
        <w:spacing w:after="60"/>
      </w:pPr>
      <w:r>
        <w:t>legality constraints: dependence preservation, alignment, layout compatibility, boundary predication, synchronization, and hardware capability.</w:t>
      </w:r>
    </w:p>
    <w:p>
      <w:pPr>
        <w:spacing w:after="120"/>
      </w:pPr>
      <w:r>
        <w:t>For NVIDIA-family GPUs, CandidateCostIR should explicitly model or store inputs for:</w:t>
      </w:r>
    </w:p>
    <w:p>
      <w:pPr>
        <w:pStyle w:val="ListBullet"/>
        <w:spacing w:after="60"/>
      </w:pPr>
      <w:r>
        <w:t>SM count and compute capability.</w:t>
      </w:r>
    </w:p>
    <w:p>
      <w:pPr>
        <w:pStyle w:val="ListBullet"/>
        <w:spacing w:after="60"/>
      </w:pPr>
      <w:r>
        <w:t>warp size and maximum resident warps/threads/CTAs per SM.</w:t>
      </w:r>
    </w:p>
    <w:p>
      <w:pPr>
        <w:pStyle w:val="ListBullet"/>
        <w:spacing w:after="60"/>
      </w:pPr>
      <w:r>
        <w:t>register file size, register allocation granularity, max registers per thread, and spill risk.</w:t>
      </w:r>
    </w:p>
    <w:p>
      <w:pPr>
        <w:pStyle w:val="ListBullet"/>
        <w:spacing w:after="60"/>
      </w:pPr>
      <w:r>
        <w:t>shared-memory capacity per CTA, per-SM carveout, bank structure, and dynamic shared-memory requirements.</w:t>
      </w:r>
    </w:p>
    <w:p>
      <w:pPr>
        <w:pStyle w:val="ListBullet"/>
        <w:spacing w:after="60"/>
      </w:pPr>
      <w:r>
        <w:t>L2 behavior and grid/threadblock swizzling opportunities.</w:t>
      </w:r>
    </w:p>
    <w:p>
      <w:pPr>
        <w:pStyle w:val="ListBullet"/>
        <w:spacing w:after="60"/>
      </w:pPr>
      <w:r>
        <w:t>Tensor Core instruction family and fragment shape.</w:t>
      </w:r>
    </w:p>
    <w:p>
      <w:pPr>
        <w:pStyle w:val="ListBullet"/>
        <w:spacing w:after="60"/>
      </w:pPr>
      <w:r>
        <w:t>async copy or TMA availability, transaction granularity, mbarrier requirements, and pipeline-stage count.</w:t>
      </w:r>
    </w:p>
    <w:p>
      <w:pPr>
        <w:pStyle w:val="ListBullet"/>
        <w:spacing w:after="60"/>
      </w:pPr>
      <w:r>
        <w:t>CTA cluster and distributed shared memory availability on newer architectures.</w:t>
      </w:r>
    </w:p>
    <w:p>
      <w:pPr>
        <w:pStyle w:val="ListBullet"/>
        <w:spacing w:after="60"/>
      </w:pPr>
      <w:r>
        <w:t>tensor memory or architecture-specific storage where exposed by the backend.</w:t>
      </w:r>
    </w:p>
    <w:p>
      <w:pPr>
        <w:pStyle w:val="ListBullet"/>
        <w:spacing w:after="60"/>
      </w:pPr>
      <w:r>
        <w:t>low-precision format support such as FP8, MXFP8, MXFP4, NVFP4, FP6, and backend-specific Tensor Core instruction availability.</w:t>
      </w:r>
    </w:p>
    <w:p>
      <w:pPr>
        <w:pStyle w:val="ListBullet"/>
        <w:spacing w:after="60"/>
      </w:pPr>
      <w:r>
        <w:t>synchronization and fence costs, including cross-proxy or async-memory ordering costs.</w:t>
      </w:r>
    </w:p>
    <w:p>
      <w:pPr>
        <w:pStyle w:val="ListBullet"/>
        <w:spacing w:after="60"/>
      </w:pPr>
      <w:r>
        <w:t>occupancy, wave quantization, and persistent-kernel scheduling constraints.</w:t>
      </w:r>
    </w:p>
    <w:p>
      <w:pPr>
        <w:spacing w:after="120"/>
      </w:pPr>
      <w:r>
        <w:t>The important boundary is that CommonTilePlanIR records the alternatives and constraints. The backend-specific cost extension interprets them for NVIDIA, AMD, CPU, or future accelerators.</w:t>
      </w:r>
    </w:p>
    <w:p>
      <w:pPr>
        <w:pStyle w:val="Heading1"/>
      </w:pPr>
      <w:r>
        <w:t>7B Blackwell FP4 Low Precision Cost Extension</w:t>
      </w:r>
    </w:p>
    <w:p>
      <w:pPr>
        <w:spacing w:after="120"/>
      </w:pPr>
      <w:r>
        <w:t>Blackwell FP4 and NVFP4 should be modeled as a tiling and pipeline change, not merely as a smaller dtype. Native FP4 Tensor Core throughput can make compute much cheaper relative to movement, so the winning plan may shift from compute-maximizing tiles toward tiles that better hide value movement, scale metadata movement, synchronization, and epilogue work.</w:t>
      </w:r>
    </w:p>
    <w:p>
      <w:pPr/>
      <w:r>
        <w:t>Precision-changing GEMM candidates require explicit compiler-option authorization. The proposed -DSL:gemm_precision=preserve|allow_narrow mode defaults to preserve; allow_narrow admits numerically permitted, target-supported formats such as FP8, MXFP4, or NVFP4 for consideration but never forces the smallest bit width. A higher-precision source also requires a region-specific numerical acceptance contract or validated quantization recipe. Hardware capability, -DSL:quant, and cost-model preference alone do not authorize reduced precision. The source-format plan remains the baseline and fallback.</w:t>
      </w:r>
    </w:p>
    <w:p>
      <w:pPr/>
      <w:r>
        <w:t>The target profile describes supported input/scale/accumulator/output formats, instruction shapes, layouts, movement requirements, and resource/cost terms. Common candidate and plan records carry option provenance and legality evidence, while AI policy owns the model-quality criterion. The hardware detail design specifies the proposed option and its gates; neither the option nor operand conversion is implemented yet.</w:t>
      </w:r>
    </w:p>
    <w:p>
      <w:pPr>
        <w:spacing w:after="120"/>
      </w:pPr>
      <w:r>
        <w:t>For Blackwell-class NVFP4 candidates, CandidateCostIR should add a LowPrecisionFormatCostExtension with:</w:t>
      </w:r>
    </w:p>
    <w:p>
      <w:pPr>
        <w:pStyle w:val="ListBullet"/>
        <w:spacing w:after="60"/>
      </w:pPr>
      <w:r>
        <w:t>value dtype: NVFP4, MXFP4, FP8, BF16, FP16, or fallback format.</w:t>
      </w:r>
    </w:p>
    <w:p>
      <w:pPr>
        <w:pStyle w:val="ListBullet"/>
        <w:spacing w:after="60"/>
      </w:pPr>
      <w:r>
        <w:t>accumulation dtype and epilogue dtype.</w:t>
      </w:r>
    </w:p>
    <w:p>
      <w:pPr>
        <w:pStyle w:val="ListBullet"/>
        <w:spacing w:after="60"/>
      </w:pPr>
      <w:r>
        <w:t>value bits, packed value bytes per tile, and alignment or packing constraints.</w:t>
      </w:r>
    </w:p>
    <w:p>
      <w:pPr>
        <w:pStyle w:val="ListBullet"/>
        <w:spacing w:after="60"/>
      </w:pPr>
      <w:r>
        <w:t>scale granularity, scale-factor dtype, scale tile shape, scale layout, and scale metadata bytes per tile.</w:t>
      </w:r>
    </w:p>
    <w:p>
      <w:pPr>
        <w:pStyle w:val="ListBullet"/>
        <w:spacing w:after="60"/>
      </w:pPr>
      <w:r>
        <w:t>scale reuse distance and whether scale factors are consumed at CTA, warp, warpgroup, or instruction-fragment scope.</w:t>
      </w:r>
    </w:p>
    <w:p>
      <w:pPr>
        <w:pStyle w:val="ListBullet"/>
        <w:spacing w:after="60"/>
      </w:pPr>
      <w:r>
        <w:t>Tensor Core instruction family, instruction tile shape, and achievable issue rate for the selected dtype.</w:t>
      </w:r>
    </w:p>
    <w:p>
      <w:pPr>
        <w:pStyle w:val="ListBullet"/>
        <w:spacing w:after="60"/>
      </w:pPr>
      <w:r>
        <w:t>TMA or async-copy legality for both packed value tensors and scale-factor tensors.</w:t>
      </w:r>
    </w:p>
    <w:p>
      <w:pPr>
        <w:pStyle w:val="ListBullet"/>
        <w:spacing w:after="60"/>
      </w:pPr>
      <w:r>
        <w:t>scale application cost, fused-scale availability, dequant/requant cost, and epilogue conversion cost.</w:t>
      </w:r>
    </w:p>
    <w:p>
      <w:pPr>
        <w:pStyle w:val="ListBullet"/>
        <w:spacing w:after="60"/>
      </w:pPr>
      <w:r>
        <w:t>effective arithmetic intensity computed as tensor operations divided by packed value bytes plus scale metadata, padding, and conversion traffic.</w:t>
      </w:r>
    </w:p>
    <w:p>
      <w:pPr>
        <w:spacing w:after="120"/>
      </w:pPr>
      <w:r>
        <w:t>The expected tiling consequence is conditional rather than automatic. FP4 may allow a larger reduction tile or deeper staging because packed values use fewer bytes, but that only wins when scale metadata is regular, reusable, and hidden by the pipeline. A larger BK tile can lose if it increases scale-factor traffic, register pressure, barrier pressure, or edge-tile complexity. Therefore P7 should generate multiple FP4 tile families, including large-BK TMA-oriented variants, smaller-BK higher-occupancy variants, scale-reuse-optimized variants, and FP8 or BF16 fallback variants.</w:t>
      </w:r>
    </w:p>
    <w:p>
      <w:pPr>
        <w:spacing w:after="120"/>
      </w:pPr>
      <w:r>
        <w:t>P7.4 should also emit prefetch hints for the scale tensors. P8 must decide whether value tiles and scale tiles move together, whether scale tiles are prefetched earlier than value tiles, and whether both transfers are legal TMA candidates. P10 should preserve FP4 runtime variants because profitability depends on hardware generation, tensor shape, alignment, batch size, sequence length, scale layout, and measured hidden versus unhidden movement.</w:t>
      </w:r>
    </w:p>
    <w:p>
      <w:pPr>
        <w:pStyle w:val="Heading1"/>
      </w:pPr>
      <w:r>
        <w:t>7C Distributed Alias Ownership And Prefetch Scheduling</w:t>
      </w:r>
    </w:p>
    <w:p>
      <w:pPr>
        <w:spacing w:after="120"/>
      </w:pPr>
      <w:r>
        <w:t>Distributed alias and ownership information should be established earlier than hardware prefetch scheduling. It is part of the correctness substrate for MPI-style or rank-style parallelization across sockets, GPU boards, nodes, racks, or other motherboard-boundary domains. It answers who owns a tensor tile range, who may read it, who may write it, whether it is private, ghost, replicated, reduced, migrated, or unknown, and at what communication epoch the data becomes visible.</w:t>
      </w:r>
    </w:p>
    <w:p>
      <w:pPr>
        <w:spacing w:after="120"/>
      </w:pPr>
      <w:r>
        <w:t>Prefetch scheduling comes later, during hardware board-level optimization. It consumes the distributed alias and ownership facts after tiling, placement, residency, pipeline, stream, DMA/NVLink/RDMA, and synchronization choices are sufficiently concrete. The prefetch scheduler should not rediscover global ownership. It should ask whether a particular tile range can be fetched early without racing a producer, observing stale data, invalidating a reduction, or crossing an unresolved communication epoch.</w:t>
      </w:r>
    </w:p>
    <w:p>
      <w:pPr>
        <w:spacing w:after="120"/>
      </w:pPr>
      <w:r>
        <w:t>CommonDistributedAliasIR should include:</w:t>
      </w:r>
    </w:p>
    <w:p>
      <w:pPr>
        <w:pStyle w:val="ListBullet"/>
        <w:spacing w:after="60"/>
      </w:pPr>
      <w:r>
        <w:t>object_id and tensor evolution node.</w:t>
      </w:r>
    </w:p>
    <w:p>
      <w:pPr>
        <w:pStyle w:val="ListBullet"/>
        <w:spacing w:after="60"/>
      </w:pPr>
      <w:r>
        <w:t>base object and representation descriptor.</w:t>
      </w:r>
    </w:p>
    <w:p>
      <w:pPr>
        <w:pStyle w:val="ListBullet"/>
        <w:spacing w:after="60"/>
      </w:pPr>
      <w:r>
        <w:t>tile or memory range expression, preferably affine when available.</w:t>
      </w:r>
    </w:p>
    <w:p>
      <w:pPr>
        <w:pStyle w:val="ListBullet"/>
        <w:spacing w:after="60"/>
      </w:pPr>
      <w:r>
        <w:t>owner rank, device, socket, board, node, or rank group.</w:t>
      </w:r>
    </w:p>
    <w:p>
      <w:pPr>
        <w:pStyle w:val="ListBullet"/>
        <w:spacing w:after="60"/>
      </w:pPr>
      <w:r>
        <w:t>access mode: read, write, readwrite, reduce, atomic, or unknown.</w:t>
      </w:r>
    </w:p>
    <w:p>
      <w:pPr>
        <w:pStyle w:val="ListBullet"/>
        <w:spacing w:after="60"/>
      </w:pPr>
      <w:r>
        <w:t>region role: private, owned, ghost, replicated, reduced, migrated, remote, or unknown.</w:t>
      </w:r>
    </w:p>
    <w:p>
      <w:pPr>
        <w:pStyle w:val="ListBullet"/>
        <w:spacing w:after="60"/>
      </w:pPr>
      <w:r>
        <w:t>alias class: noalias, may_alias, must_alias, disjoint_by_rank, disjoint_by_range, guarded_noalias, or unknown.</w:t>
      </w:r>
    </w:p>
    <w:p>
      <w:pPr>
        <w:pStyle w:val="ListBullet"/>
        <w:spacing w:after="60"/>
      </w:pPr>
      <w:r>
        <w:t>producer epoch and consumer epoch.</w:t>
      </w:r>
    </w:p>
    <w:p>
      <w:pPr>
        <w:pStyle w:val="ListBullet"/>
        <w:spacing w:after="60"/>
      </w:pPr>
      <w:r>
        <w:t>visibility condition: collective completion, send/receive completion, DMA event, stream event, barrier, fence, or runtime guard.</w:t>
      </w:r>
    </w:p>
    <w:p>
      <w:pPr>
        <w:pStyle w:val="ListBullet"/>
        <w:spacing w:after="60"/>
      </w:pPr>
      <w:r>
        <w:t>communication source: none, send/receive, broadcast, allgather, reducescatter, allreduce, alltoall, peer copy, RDMA, or runtime-managed migration.</w:t>
      </w:r>
    </w:p>
    <w:p>
      <w:pPr>
        <w:pStyle w:val="ListBullet"/>
        <w:spacing w:after="60"/>
      </w:pPr>
      <w:r>
        <w:t>separation proof: rank ownership, disjoint affine range, layout partition, type/object identity, runtime guard, or profile-derived hypothesis.</w:t>
      </w:r>
    </w:p>
    <w:p>
      <w:pPr>
        <w:pStyle w:val="ListBullet"/>
        <w:spacing w:after="60"/>
      </w:pPr>
      <w:r>
        <w:t>prefetch safety window: earliest legal fetch point, latest useful fetch point, invalidation point, and producer-consumer hazard status.</w:t>
      </w:r>
    </w:p>
    <w:p>
      <w:pPr>
        <w:spacing w:after="120"/>
      </w:pPr>
      <w:r>
        <w:t>This gives the common substrate a bridge between Open64-style parallel-region variable information and MPI-style distributed-memory planning. Open64's SMP/OpenMP model needs a region variable list because the memory space is shared. DSC's distributed model needs range-and-epoch alias facts because parallelization crosses device, board, and node boundaries before the late hardware scheduler decides how to hide latency.</w:t>
      </w:r>
    </w:p>
    <w:p>
      <w:pPr>
        <w:pStyle w:val="Heading1"/>
      </w:pPr>
      <w:r>
        <w:t>7D Open64 Loop Multiversioning Design Lesson</w:t>
      </w:r>
    </w:p>
    <w:p>
      <w:pPr>
        <w:spacing w:after="120"/>
      </w:pPr>
      <w:r>
        <w:t>Open64 loop multiversioning provides a useful precedent for AI-P10 runtime variants. When static alias analysis cannot prove that memory ranges are disjoint, Open64 does not have to permanently choose the conservative plan. It can generate two versions of the loop, attach a runtime range-disjointness predicate, and select the faster no-alias version only when the predicate proves that the relevant memory ranges do not overlap. Otherwise, execution falls back to the conservative version.</w:t>
      </w:r>
    </w:p>
    <w:p>
      <w:pPr>
        <w:spacing w:after="120"/>
      </w:pPr>
      <w:r>
        <w:t>The design lesson for DSC is to treat guarded runtime selection as a first-class optimization mechanism, not only as a late code-generation trick. If a plan is profitable under a stronger alias, ownership, shape, residency, or communication-epoch assumption, the compiler may keep both the guarded fast plan and the conservative fallback as OptimizationPlanIR alternatives. RuntimeGuardIR records the predicate, and CommonDistributedAliasIR records the tile-range facts that the predicate proves or depends on.</w:t>
      </w:r>
    </w:p>
    <w:p>
      <w:pPr>
        <w:spacing w:after="120"/>
      </w:pPr>
      <w:r>
        <w:t>The AI and distributed-memory analogue is:</w:t>
      </w:r>
    </w:p>
    <w:p>
      <w:pPr>
        <w:pStyle w:val="ListBullet"/>
        <w:spacing w:after="60"/>
      </w:pPr>
      <w:r>
        <w:t>guarded no-alias tile plan: tensor tile ranges are disjoint by rank, affine range, layout partition, or runtime guard.</w:t>
      </w:r>
    </w:p>
    <w:p>
      <w:pPr>
        <w:pStyle w:val="ListBullet"/>
        <w:spacing w:after="60"/>
      </w:pPr>
      <w:r>
        <w:t>guarded prefetch plan: a tile can be fetched early because the producer epoch, invalidation point, and visibility condition are satisfied.</w:t>
      </w:r>
    </w:p>
    <w:p>
      <w:pPr>
        <w:pStyle w:val="ListBullet"/>
        <w:spacing w:after="60"/>
      </w:pPr>
      <w:r>
        <w:t>guarded communication-overlap plan: a receive, peer copy, or collective result is known visible before the consumer tile executes.</w:t>
      </w:r>
    </w:p>
    <w:p>
      <w:pPr>
        <w:pStyle w:val="ListBullet"/>
        <w:spacing w:after="60"/>
      </w:pPr>
      <w:r>
        <w:t>fallback plan: use conservative ordering, reduced prefetch distance, explicit synchronization, or less aggressive fusion when the guard fails.</w:t>
      </w:r>
    </w:p>
    <w:p>
      <w:pPr>
        <w:spacing w:after="120"/>
      </w:pPr>
      <w:r>
        <w:t>This strengthens the phase-ordering rule. AI-P4 and AI-P5 establish distributed ownership and visibility facts; AI-P7 through AI-P9 build candidate tile, pipeline, and schedule plans; AI-P10 can select among certified variants using guards derived from those earlier facts. The runtime guard does not justify an unsafe transformation. It selects among already-legal plans whose assumptions have been explicitly modeled and costed.</w:t>
      </w:r>
    </w:p>
    <w:p>
      <w:pPr>
        <w:pStyle w:val="Heading2"/>
      </w:pPr>
      <w:r>
        <w:t>7D.1 Historical Lineage For Guarded Multiversioning</w:t>
      </w:r>
    </w:p>
    <w:p>
      <w:pPr>
        <w:spacing w:after="120"/>
      </w:pPr>
      <w:r>
        <w:t>Historical compiler literature from the 1980s and 1990s supports this design direction, although the terminology was usually run-time disambiguation, run-time dependence testing, inspector/executor, speculative run-time parallelization, or dynamic memory disambiguation rather than loop multiversioning.</w:t>
      </w:r>
    </w:p>
    <w:p>
      <w:pPr>
        <w:spacing w:after="120"/>
      </w:pPr>
      <w:r>
        <w:t>The strongest direct precedent is Nicolau's 1989 run-time disambiguation work. The compiler identifies memory operations whose static dependence relationship is uncertain, emits address-comparison code, and selects between code that assumes interference and code that assumes no interference. This is the same architectural pattern as Open64's guarded no-alias loop version: pay a bounded run-time predicate cost to escape a permanently conservative plan when the predicate proves the fast case.</w:t>
      </w:r>
    </w:p>
    <w:p>
      <w:pPr>
        <w:spacing w:after="120"/>
      </w:pPr>
      <w:r>
        <w:t>Related work broadened the same idea in different directions. Midkiff and Padua generated synchronization for concurrent loops when dependences could not be ignored. Saltz, Crowley, Mirchandaney, and Berryman studied run-time scheduling and execution of loops on message-passing machines, especially for indirect array references. Rauchwerger and Padua's Privatizing DOALL and LRPD tests moved further toward run-time validation of aggressive parallel plans, including speculative execution with fallback or re-execution when the run-time dependence test fails. Bernstein, Cohen, and Maydan's IBM XL work used dynamic memory disambiguation for array references to enable optimizations such as software pipelining, loop-invariant motion, and redundant load elimination.</w:t>
      </w:r>
    </w:p>
    <w:p>
      <w:pPr>
        <w:spacing w:after="120"/>
      </w:pPr>
      <w:r>
        <w:t>The key takeaway for DSC is:</w:t>
      </w:r>
    </w:p>
    <w:p>
      <w:pPr>
        <w:pStyle w:val="ListBullet"/>
        <w:spacing w:after="60"/>
      </w:pPr>
      <w:r>
        <w:t>Static uncertainty should not force one conservative plan when a run-time predicate can cheaply prove a better case.</w:t>
      </w:r>
    </w:p>
    <w:p>
      <w:pPr>
        <w:pStyle w:val="ListBullet"/>
        <w:spacing w:after="60"/>
      </w:pPr>
      <w:r>
        <w:t>The compiler should represent both the guarded fast plan and the conservative fallback plan.</w:t>
      </w:r>
    </w:p>
    <w:p>
      <w:pPr>
        <w:pStyle w:val="ListBullet"/>
        <w:spacing w:after="60"/>
      </w:pPr>
      <w:r>
        <w:t>RuntimeGuardIR should record the predicate, predicate cost, expected hit rate, and failure action.</w:t>
      </w:r>
    </w:p>
    <w:p>
      <w:pPr>
        <w:pStyle w:val="ListBullet"/>
        <w:spacing w:after="60"/>
      </w:pPr>
      <w:r>
        <w:t>CandidateCostIR should model the expected value of the guarded plan, including guard overhead and fallback probability.</w:t>
      </w:r>
    </w:p>
    <w:p>
      <w:pPr>
        <w:pStyle w:val="ListBullet"/>
        <w:spacing w:after="60"/>
      </w:pPr>
      <w:r>
        <w:t>CommonDistributedAliasIR should provide the tile-range, ownership, and visibility facts used by the guard.</w:t>
      </w:r>
    </w:p>
    <w:p>
      <w:pPr>
        <w:pStyle w:val="ListBullet"/>
        <w:spacing w:after="60"/>
      </w:pPr>
      <w:r>
        <w:t>Telemetry should record guard hit rate, miss rate, and realized cost so later compilation can keep, refine, or remove a guarded variant.</w:t>
      </w:r>
    </w:p>
    <w:p>
      <w:pPr>
        <w:pStyle w:val="Heading1"/>
      </w:pPr>
      <w:r>
        <w:t>8 Data Layout Placement Fetch Prefetch Async Pipeline And Bubble Minimization</w:t>
      </w:r>
    </w:p>
    <w:p>
      <w:pPr>
        <w:spacing w:after="120"/>
      </w:pPr>
      <w:r>
        <w:t>The compiler should minimize compute bubbles by making data movement a first-class plan component. The central question is not only where a tensor lives, but over what time interval it lives there, who consumes it next, whether the next transfer can be started early, and whether the transfer can be hidden behind compute or communication.</w:t>
      </w:r>
    </w:p>
    <w:p>
      <w:pPr>
        <w:pStyle w:val="Heading2"/>
      </w:pPr>
      <w:r>
        <w:t>8.1 Layout And Placement</w:t>
      </w:r>
    </w:p>
    <w:p>
      <w:pPr>
        <w:pStyle w:val="ListBullet"/>
        <w:spacing w:after="60"/>
      </w:pPr>
      <w:r>
        <w:t>Keep logical layout separate from physical realization so one semantic tensor can have multiple plan-specific representations.</w:t>
      </w:r>
    </w:p>
    <w:p>
      <w:pPr>
        <w:pStyle w:val="ListBullet"/>
        <w:spacing w:after="60"/>
      </w:pPr>
      <w:r>
        <w:t>Use placement to model device, remote HBM, CPU memory, pinned memory, and replicated or partitioned ownership.</w:t>
      </w:r>
    </w:p>
    <w:p>
      <w:pPr>
        <w:pStyle w:val="ListBullet"/>
        <w:spacing w:after="60"/>
      </w:pPr>
      <w:r>
        <w:t>Use residency to model transient on-chip placement such as L2 working sets, shared-memory tiles, and register fragments.</w:t>
      </w:r>
    </w:p>
    <w:p>
      <w:pPr>
        <w:pStyle w:val="ListBullet"/>
        <w:spacing w:after="60"/>
      </w:pPr>
      <w:r>
        <w:t>Represent layout conversion as an explicit evolution edge with cost and validity conditions.</w:t>
      </w:r>
    </w:p>
    <w:p>
      <w:pPr>
        <w:pStyle w:val="Heading2"/>
      </w:pPr>
      <w:r>
        <w:t>8.2 Fetch Prefetch And Async Movement</w:t>
      </w:r>
    </w:p>
    <w:p>
      <w:pPr>
        <w:pStyle w:val="ListBullet"/>
        <w:spacing w:after="60"/>
      </w:pPr>
      <w:r>
        <w:t>Attach fetch plans to producer-consumer timing rather than treating prefetch as a late annotation.</w:t>
      </w:r>
    </w:p>
    <w:p>
      <w:pPr>
        <w:pStyle w:val="ListBullet"/>
        <w:spacing w:after="60"/>
      </w:pPr>
      <w:r>
        <w:t>Consume P7.4 smem_prefetch_hint, tma_legality, buffering_feasibility, tile_reuse_profile, and arrival_and_wait_requirements to construct the actual movement schedule.</w:t>
      </w:r>
    </w:p>
    <w:p>
      <w:pPr>
        <w:pStyle w:val="ListBullet"/>
        <w:spacing w:after="60"/>
      </w:pPr>
      <w:r>
        <w:t>Prefer TMA for legal multidimensional bulk transfers when the tile is regular, aligned or guardable, and the destination SMEM layout is compatible with the compute layout. Fall back to cp.async, vectorized global loads, or demand loads when those conditions fail.</w:t>
      </w:r>
    </w:p>
    <w:p>
      <w:pPr>
        <w:pStyle w:val="ListBullet"/>
        <w:spacing w:after="60"/>
      </w:pPr>
      <w:r>
        <w:t>Consume CommonDistributedAliasIR to prove that the prefetched tile range will not be overwritten, invalidated, reduced, migrated, or made visible only after a later communication epoch.</w:t>
      </w:r>
    </w:p>
    <w:p>
      <w:pPr>
        <w:pStyle w:val="ListBullet"/>
        <w:spacing w:after="60"/>
      </w:pPr>
      <w:r>
        <w:t>Model async copies, double buffering, triple buffering, stream assignment, and dependency barriers in CommonPipelineIR.</w:t>
      </w:r>
    </w:p>
    <w:p>
      <w:pPr>
        <w:pStyle w:val="ListBullet"/>
        <w:spacing w:after="60"/>
      </w:pPr>
      <w:r>
        <w:t>Represent CommonFetchPlanIR as the selected movement plan: source memory, destination memory, tile range, movement engine, stage count, prefetch distance, issue point, arrival barrier, consumer wait, boundary policy, and fallback path.</w:t>
      </w:r>
    </w:p>
    <w:p>
      <w:pPr>
        <w:pStyle w:val="ListBullet"/>
        <w:spacing w:after="60"/>
      </w:pPr>
      <w:r>
        <w:t>Expose KV-cache paging and prefix-cache hits as AI-specific runtime-state inputs to common runtime-variant selection.</w:t>
      </w:r>
    </w:p>
    <w:p>
      <w:pPr>
        <w:pStyle w:val="ListBullet"/>
        <w:spacing w:after="60"/>
      </w:pPr>
      <w:r>
        <w:t>Measure hidden versus unhidden memory movement in telemetry so the model improves over time.</w:t>
      </w:r>
    </w:p>
    <w:p>
      <w:pPr>
        <w:pStyle w:val="Heading2"/>
      </w:pPr>
      <w:r>
        <w:t>8.3 Compute Bubble Minimization</w:t>
      </w:r>
    </w:p>
    <w:p>
      <w:pPr>
        <w:spacing w:after="120"/>
      </w:pPr>
      <w:r>
        <w:t>A compute bubble appears when a compute resource is ready but its operands, communication result, synchronization condition, or launch dependency are not ready. Bubble minimization requires coordinated decisions across layout, placement, fetch, tiling, fusion, stream assignment, and communication scheduling.</w:t>
      </w:r>
    </w:p>
    <w:p>
      <w:pPr>
        <w:pStyle w:val="Heading1"/>
      </w:pPr>
      <w:r>
        <w:t>9 Implementation Priority Order</w:t>
      </w:r>
    </w:p>
    <w:p>
      <w:pPr>
        <w:spacing w:after="120"/>
      </w:pPr>
      <w:r>
        <w:t>The implementation order must now be measured by transformed programs, not by IR objects alone. Each milestone below has an action requirement and an acceptance gate.</w:t>
      </w:r>
    </w:p>
    <w:p>
      <w:r>
        <w:t>The first execution case is a standalone common.matmul.v1. It exercises multi-level tiling without fusion. The fusion priority below is a separate, later case and is not a prerequisite for certifying the first tiled matmul.</w:t>
      </w:r>
    </w:p>
    <w:p>
      <w:pPr>
        <w:pStyle w:val="ListBullet"/>
        <w:spacing w:after="60"/>
      </w:pPr>
      <w:r>
        <w:t>Priority 1: Minimal optimization harness. Add a benchmark driver, before/after IR dump, correctness checker, timing harness, and telemetry record. Acceptance gate: every optimization run emits baseline runtime, transformed runtime if any, selected candidate id, and rejection reasons.</w:t>
      </w:r>
    </w:p>
    <w:p>
      <w:pPr>
        <w:pStyle w:val="ListBullet"/>
        <w:spacing w:after="60"/>
      </w:pPr>
      <w:r>
        <w:t>Priority 2: First real tiling path. Select one canonical GEMM, convolution, or matmul-like loop/tensor region. Detect it, generate at least two tile candidates plus baseline, estimate memory traffic and resource pressure, rewrite the loop or kernel, and measure. Acceptance gate: transformed IR is visibly tiled and either improves performance or records a cost-model miss.</w:t>
      </w:r>
    </w:p>
    <w:p>
      <w:pPr>
        <w:pStyle w:val="ListBullet"/>
        <w:spacing w:after="60"/>
      </w:pPr>
      <w:r>
        <w:t>Priority 3: First real fusion path. Select one narrow producer-consumer pattern such as MatMul+Bias, Bias+Activation, or elementwise chain. Generate fused and unfused candidates, prove legality, estimate materialization savings versus register pressure, rewrite, and measure. Acceptance gate: transformed IR has one materialization removed or records why fusion was rejected.</w:t>
      </w:r>
    </w:p>
    <w:p>
      <w:pPr>
        <w:pStyle w:val="ListBullet"/>
        <w:spacing w:after="60"/>
      </w:pPr>
      <w:r>
        <w:t>Priority 4: P7.4/P8 pipeline path. For the tiled kernel, generate a shared-memory staging plan and a fetch/prefetch plan. The first implementation may use a simple double-buffer model or backend-specific async-copy hook. Acceptance gate: the selected plan records stage count, movement engine, barriers, and hidden versus unhidden memory estimate.</w:t>
      </w:r>
    </w:p>
    <w:p>
      <w:pPr>
        <w:pStyle w:val="ListBullet"/>
        <w:spacing w:after="60"/>
      </w:pPr>
      <w:r>
        <w:t>Priority 5: Cost-model calibration. Compare predicted benefit against measured benefit for the first tiling and fusion paths. Acceptance gate: CandidateCostIR records prediction error and identifies whether the miss came from compute, memory, synchronization, occupancy, or launch terms.</w:t>
      </w:r>
    </w:p>
    <w:p>
      <w:pPr>
        <w:pStyle w:val="ListBullet"/>
        <w:spacing w:after="60"/>
      </w:pPr>
      <w:r>
        <w:t>Priority 6: Runtime variants. Generate at least two certified variants for one optimization, attach guards, and select between them at runtime. Acceptance gate: guard hit/miss rate and selected variant id are recorded in telemetry.</w:t>
      </w:r>
    </w:p>
    <w:p>
      <w:pPr>
        <w:pStyle w:val="ListBullet"/>
        <w:spacing w:after="60"/>
      </w:pPr>
      <w:r>
        <w:t>Priority 7: Parallelization integration. Add CommonParallelizationIR, placement, sharding, and communication-intent derivation after the local candidate-to-rewrite loop is working. Acceptance gate: the distributed plan either lowers into explicit communication or records the exact unresolved ownership/alias blocker.</w:t>
      </w:r>
    </w:p>
    <w:p>
      <w:pPr>
        <w:pStyle w:val="Heading2"/>
      </w:pPr>
      <w:r>
        <w:t>9.1 Minimum First Optimization Slice</w:t>
      </w:r>
    </w:p>
    <w:p>
      <w:pPr>
        <w:spacing w:after="120"/>
      </w:pPr>
      <w:r>
        <w:t>The first coding target should be deliberately small. A recommended slice is:</w:t>
      </w:r>
    </w:p>
    <w:p>
      <w:pPr>
        <w:pStyle w:val="ListBullet"/>
        <w:spacing w:after="60"/>
      </w:pPr>
      <w:r>
        <w:t>Input: one canonical matmul-like region or loop nest.</w:t>
      </w:r>
    </w:p>
    <w:p>
      <w:pPr>
        <w:pStyle w:val="ListBullet"/>
        <w:spacing w:after="60"/>
      </w:pPr>
      <w:r>
        <w:t>Baseline: current lowering without tiling.</w:t>
      </w:r>
    </w:p>
    <w:p>
      <w:pPr>
        <w:pStyle w:val="ListBullet"/>
        <w:spacing w:after="60"/>
      </w:pPr>
      <w:r>
        <w:t>Candidate A: simple fixed tile over M/N/K or equivalent loop axes.</w:t>
      </w:r>
    </w:p>
    <w:p>
      <w:pPr>
        <w:pStyle w:val="ListBullet"/>
        <w:spacing w:after="60"/>
      </w:pPr>
      <w:r>
        <w:t>Candidate B: alternative tile with different reduction tile or register tile size.</w:t>
      </w:r>
    </w:p>
    <w:p>
      <w:pPr>
        <w:pStyle w:val="ListBullet"/>
        <w:spacing w:after="60"/>
      </w:pPr>
      <w:r>
        <w:t>Cost: estimate bytes moved, loop overhead, register pressure proxy, shared-memory footprint if used, and launch count.</w:t>
      </w:r>
    </w:p>
    <w:p>
      <w:pPr>
        <w:pStyle w:val="ListBullet"/>
        <w:spacing w:after="60"/>
      </w:pPr>
      <w:r>
        <w:t>Rewrite: emit the selected tiled form.</w:t>
      </w:r>
    </w:p>
    <w:p>
      <w:pPr>
        <w:pStyle w:val="ListBullet"/>
        <w:spacing w:after="60"/>
      </w:pPr>
      <w:r>
        <w:t>Validate: compare output numerically and measure runtime.</w:t>
      </w:r>
    </w:p>
    <w:p>
      <w:pPr>
        <w:spacing w:after="120"/>
      </w:pPr>
      <w:r>
        <w:t>This slice is intentionally smaller than the full design. It proves the compiler can make a choice and act. Once this loop exists, the architecture can grow without remaining purely descriptive.</w:t>
      </w:r>
    </w:p>
    <w:p>
      <w:pPr>
        <w:pStyle w:val="Heading2"/>
      </w:pPr>
      <w:r>
        <w:t>9.2 Minimum First Fusion Slice</w:t>
      </w:r>
    </w:p>
    <w:p>
      <w:pPr>
        <w:spacing w:after="120"/>
      </w:pPr>
      <w:r>
        <w:t>The first fusion target should also be narrow:</w:t>
      </w:r>
    </w:p>
    <w:p>
      <w:pPr>
        <w:pStyle w:val="ListBullet"/>
        <w:spacing w:after="60"/>
      </w:pPr>
      <w:r>
        <w:t>Input: producer-consumer elementwise chain or MatMul plus simple epilogue.</w:t>
      </w:r>
    </w:p>
    <w:p>
      <w:pPr>
        <w:pStyle w:val="ListBullet"/>
        <w:spacing w:after="60"/>
      </w:pPr>
      <w:r>
        <w:t>Baseline: materialized intermediate.</w:t>
      </w:r>
    </w:p>
    <w:p>
      <w:pPr>
        <w:pStyle w:val="ListBullet"/>
        <w:spacing w:after="60"/>
      </w:pPr>
      <w:r>
        <w:t>Candidate: fused region that removes the intermediate write and read.</w:t>
      </w:r>
    </w:p>
    <w:p>
      <w:pPr>
        <w:pStyle w:val="ListBullet"/>
        <w:spacing w:after="60"/>
      </w:pPr>
      <w:r>
        <w:t>Legality: shape compatibility, single-consumer or safe multi-consumer handling, no unresolved side effects.</w:t>
      </w:r>
    </w:p>
    <w:p>
      <w:pPr>
        <w:pStyle w:val="ListBullet"/>
        <w:spacing w:after="60"/>
      </w:pPr>
      <w:r>
        <w:t>Cost: materialized bytes removed, launch removed, register pressure added, occupancy risk.</w:t>
      </w:r>
    </w:p>
    <w:p>
      <w:pPr>
        <w:pStyle w:val="ListBullet"/>
        <w:spacing w:after="60"/>
      </w:pPr>
      <w:r>
        <w:t>Rewrite: replace the region with fused IR.</w:t>
      </w:r>
    </w:p>
    <w:p>
      <w:pPr>
        <w:pStyle w:val="ListBullet"/>
        <w:spacing w:after="60"/>
      </w:pPr>
      <w:r>
        <w:t>Validate: compare output numerically and measure runtime.</w:t>
      </w:r>
    </w:p>
    <w:p>
      <w:pPr>
        <w:spacing w:after="120"/>
      </w:pPr>
      <w:r>
        <w:t>Fusion is not considered implemented until the rewrite removes a real materialization or launch, not merely when FusionCandidateIR exists.</w:t>
      </w:r>
    </w:p>
    <w:p>
      <w:pPr>
        <w:pStyle w:val="Heading2"/>
      </w:pPr>
      <w:r>
        <w:t>9.3 No Optimization Is Also A Result</w:t>
      </w:r>
    </w:p>
    <w:p>
      <w:pPr>
        <w:spacing w:after="120"/>
      </w:pPr>
      <w:r>
        <w:t>A rejected transform is acceptable only if it is explicit. The compiler should emit a WOPT trace record into the normal .t trace file with:</w:t>
      </w:r>
    </w:p>
    <w:p>
      <w:pPr>
        <w:pStyle w:val="ListBullet"/>
        <w:spacing w:after="60"/>
      </w:pPr>
      <w:r>
        <w:t>region id and pattern name.</w:t>
      </w:r>
    </w:p>
    <w:p>
      <w:pPr>
        <w:pStyle w:val="ListBullet"/>
        <w:spacing w:after="60"/>
      </w:pPr>
      <w:r>
        <w:t>generated candidates.</w:t>
      </w:r>
    </w:p>
    <w:p>
      <w:pPr>
        <w:pStyle w:val="ListBullet"/>
        <w:spacing w:after="60"/>
      </w:pPr>
      <w:r>
        <w:t>legality failures.</w:t>
      </w:r>
    </w:p>
    <w:p>
      <w:pPr>
        <w:pStyle w:val="ListBullet"/>
        <w:spacing w:after="60"/>
      </w:pPr>
      <w:r>
        <w:t>cost failures.</w:t>
      </w:r>
    </w:p>
    <w:p>
      <w:pPr>
        <w:pStyle w:val="ListBullet"/>
        <w:spacing w:after="60"/>
      </w:pPr>
      <w:r>
        <w:t>missing analysis or backend support.</w:t>
      </w:r>
    </w:p>
    <w:p>
      <w:pPr>
        <w:pStyle w:val="ListBullet"/>
        <w:spacing w:after="60"/>
      </w:pPr>
      <w:r>
        <w:t>next implementation blocker.</w:t>
      </w:r>
    </w:p>
    <w:p>
      <w:pPr>
        <w:spacing w:after="120"/>
      </w:pPr>
      <w:r>
        <w:t>This makes minimal optimization visible as an engineering fact rather than a mystery.</w:t>
      </w:r>
    </w:p>
    <w:p>
      <w:pPr>
        <w:pStyle w:val="Heading2"/>
      </w:pPr>
      <w:r>
        <w:t>9.4 WOPT Trace Integration For AI Optimization</w:t>
      </w:r>
    </w:p>
    <w:p>
      <w:pPr>
        <w:spacing w:after="120"/>
      </w:pPr>
      <w:r>
        <w:t>The implementation trace should follow the existing Open64/WOPT trace convention rather than introducing a separate compiler-side log as the primary record. WOPT writes diagnostic trace content to the .t file through TFile, and trace masks are queried with Get_Trace(phase, mask).</w:t>
      </w:r>
    </w:p>
    <w:p>
      <w:pPr>
        <w:spacing w:after="120"/>
      </w:pPr>
      <w:r>
        <w:t>Relevant source anchors:</w:t>
      </w:r>
    </w:p>
    <w:p>
      <w:pPr>
        <w:pStyle w:val="ListBullet"/>
        <w:spacing w:after="60"/>
      </w:pPr>
      <w:r>
        <w:t>common/util/tracing.h: TP_WOPT1, TP_WOPT2, TP_WOPT3, TP_GLOBOPT, and TFile.</w:t>
      </w:r>
    </w:p>
    <w:p>
      <w:pPr>
        <w:pStyle w:val="ListBullet"/>
        <w:spacing w:after="60"/>
      </w:pPr>
      <w:r>
        <w:t>common/util/tracing.c: trace phase ids OPT, OP2, and OP3; Get_Trace_Phase_Number; Get_Trace.</w:t>
      </w:r>
    </w:p>
    <w:p>
      <w:pPr>
        <w:pStyle w:val="ListBullet"/>
        <w:spacing w:after="60"/>
      </w:pPr>
      <w:r>
        <w:t>common/com/config.cxx: Process_Trace_Option; -ttPHASE:MASK selects trace mask bits, while -trPHASE selects IR dumps for a phase.</w:t>
      </w:r>
    </w:p>
    <w:p>
      <w:pPr>
        <w:pStyle w:val="ListBullet"/>
        <w:spacing w:after="60"/>
      </w:pPr>
      <w:r>
        <w:t>be/opt/opt_defs.h: WOPT trace-mask definitions.</w:t>
      </w:r>
    </w:p>
    <w:p>
      <w:pPr>
        <w:spacing w:after="120"/>
      </w:pPr>
      <w:r>
        <w:t>Proposed allocation:</w:t>
      </w:r>
    </w:p>
    <w:p>
      <w:pPr>
        <w:spacing w:after="120"/>
        <w:ind w:left="360"/>
      </w:pPr>
      <w:r>
        <w:rPr>
          <w:rFonts w:ascii="Courier New" w:hAnsi="Courier New" w:eastAsia="Courier New"/>
          <w:sz w:val="18"/>
        </w:rPr>
        <w:t>phase: TP_WOPT2 / OP2 / numeric phase 26</w:t>
        <w:br/>
        <w:t>mask:  0x00800000</w:t>
        <w:br/>
        <w:t>name:  AI_OPT_TRACE_FLAG</w:t>
        <w:br/>
        <w:t>use:   AI optimization candidate, cost, selection, rewrite, and no-transform trace</w:t>
      </w:r>
    </w:p>
    <w:p>
      <w:pPr>
        <w:spacing w:after="120"/>
      </w:pPr>
      <w:r>
        <w:t>The source-level constant should be added near the existing TP_WOPT2 flags in be/opt/opt_defs.h:</w:t>
      </w:r>
    </w:p>
    <w:p>
      <w:pPr>
        <w:spacing w:after="120"/>
        <w:ind w:left="360"/>
      </w:pPr>
      <w:r>
        <w:rPr>
          <w:rFonts w:ascii="Courier New" w:hAnsi="Courier New" w:eastAsia="Courier New"/>
          <w:sz w:val="18"/>
        </w:rPr>
        <w:t>#define AI_OPT_TRACE_FLAG 0x00800000 /* trace AI optimization planning */</w:t>
      </w:r>
    </w:p>
    <w:p>
      <w:pPr>
        <w:spacing w:after="120"/>
      </w:pPr>
      <w:r>
        <w:t>The operational switch should be:</w:t>
      </w:r>
    </w:p>
    <w:p>
      <w:pPr>
        <w:spacing w:after="120"/>
        <w:ind w:left="360"/>
      </w:pPr>
      <w:r>
        <w:rPr>
          <w:rFonts w:ascii="Courier New" w:hAnsi="Courier New" w:eastAsia="Courier New"/>
          <w:sz w:val="18"/>
        </w:rPr>
        <w:t>-Wb,-ttOP2:0x00800000</w:t>
      </w:r>
    </w:p>
    <w:p>
      <w:pPr>
        <w:spacing w:after="120"/>
      </w:pPr>
      <w:r>
        <w:t>The numeric equivalent is:</w:t>
      </w:r>
    </w:p>
    <w:p>
      <w:pPr>
        <w:spacing w:after="120"/>
        <w:ind w:left="360"/>
      </w:pPr>
      <w:r>
        <w:rPr>
          <w:rFonts w:ascii="Courier New" w:hAnsi="Courier New" w:eastAsia="Courier New"/>
          <w:sz w:val="18"/>
        </w:rPr>
        <w:t>-Wb,-tt26:0x00800000</w:t>
      </w:r>
    </w:p>
    <w:p>
      <w:pPr>
        <w:spacing w:after="120"/>
      </w:pPr>
      <w:r>
        <w:t>If an IR dump is also needed around WOPT, use the existing IR trace selector separately:</w:t>
      </w:r>
    </w:p>
    <w:p>
      <w:pPr>
        <w:spacing w:after="120"/>
        <w:ind w:left="360"/>
      </w:pPr>
      <w:r>
        <w:rPr>
          <w:rFonts w:ascii="Courier New" w:hAnsi="Courier New" w:eastAsia="Courier New"/>
          <w:sz w:val="18"/>
        </w:rPr>
        <w:t>-Wb,-trOPT</w:t>
        <w:br/>
        <w:t>-Wb,-trOP2</w:t>
      </w:r>
    </w:p>
    <w:p>
      <w:pPr>
        <w:spacing w:after="120"/>
      </w:pPr>
      <w:r>
        <w:t>This distinction matters: -tt owns mask-bit debugging, while -tr owns per-phase IR dumps. The AI optimization decision trace should therefore be gated by Get_Trace(TP_WOPT2, AI_OPT_TRACE_FLAG) and printed to TFile; optional IR dumps can be requested with -tr.</w:t>
      </w:r>
    </w:p>
    <w:p>
      <w:pPr>
        <w:spacing w:after="120"/>
      </w:pPr>
      <w:r>
        <w:t>Trace records use whitespace-separated positional columns. Tokens must contain no whitespace; - means not applicable. The first ten columns are fixed, and any remaining columns follow the record schema below. The first PASS row carries the schema version so a summary tool can reject an unknown layout.</w:t>
      </w:r>
    </w:p>
    <w:p>
      <w:pPr>
        <w:spacing w:after="120"/>
        <w:ind w:left="360"/>
      </w:pPr>
      <w:r>
        <w:rPr>
          <w:rFonts w:ascii="Courier New" w:hAnsi="Courier New" w:eastAsia="Courier New"/>
          <w:sz w:val="16"/>
        </w:rPr>
        <w:t>AI_OPT RECORD PU PHASE REGION CAND KIND DECISION TOTAL_CYCLES REASON [PAYLOAD...]</w:t>
      </w:r>
    </w:p>
    <w:p>
      <w:pPr>
        <w:spacing w:after="120"/>
      </w:pPr>
      <w:r>
        <w:t>The payload is positional for each record; values and units are fixed by this table. TOTAL_CYCLES is an estimate, not a measured runtime.</w:t>
      </w:r>
    </w:p>
    <w:tbl>
      <w:tblPr>
        <w:tblW w:type="auto" w:w="0"/>
        <w:jc w:val="center"/>
        <w:tblLayout w:type="fixed"/>
        <w:tblLook w:firstColumn="1" w:firstRow="1" w:lastColumn="0" w:lastRow="0" w:noHBand="0" w:noVBand="1" w:val="04A0"/>
      </w:tblPr>
      <w:tblGrid>
        <w:gridCol w:w="1584"/>
        <w:gridCol w:w="8496"/>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Record</w:t>
            </w:r>
          </w:p>
        </w:tc>
        <w:tc>
          <w:tcPr>
            <w:tcW w:type="dxa" w:w="849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Payload columns, in order</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PASS</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schema_version target_model</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Matmul: M N K dtype. Attention: batch sequence heads head_dim dtype.</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CAND</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Tile: CTA_tile warp_tile stages warps. Fusion: fusion_pattern.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LEGAL</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shared_bytes registers_per_thread active_CTAs_per_SM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COST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compute memory_unhidden communication_unhidden sync launch runtime_selection memory_raw memory_hidden; all in cycles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SELECT</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no payload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HINT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movement_engine stages prefetch_distance pingpong</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REWRITE</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loops_changed materializations_removed launches_removed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SKIP</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next_blocker</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END</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regions candidates rewrites skips</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DETAIL</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subtype-specific columns; subtype is the REASON column</w:t>
            </w:r>
          </w:p>
        </w:tc>
      </w:tr>
    </w:tbl>
    <w:p/>
    <w:p>
      <w:pPr>
        <w:spacing w:after="120"/>
      </w:pPr>
      <w:r>
        <w:t>For COST, TOTAL_CYCLES = compute + memory_unhidden + communication_unhidden + sync + launch + runtime_selection. memory_hidden is already excluded from memory_unhidden; do not subtract it again. A candidate's COST record should be explainable by the resource estimates in its LEGAL and optional DETAIL records.</w:t>
      </w:r>
    </w:p>
    <w:p>
      <w:pPr>
        <w:spacing w:after="120"/>
      </w:pPr>
      <w:r>
        <w:t>Example of two legal tiling candidates and a selected prefetch plan:</w:t>
      </w:r>
    </w:p>
    <w:p>
      <w:pPr>
        <w:spacing w:after="120"/>
        <w:ind w:left="360"/>
      </w:pPr>
      <w:r>
        <w:rPr>
          <w:rFonts w:ascii="Courier New" w:hAnsi="Courier New" w:eastAsia="Courier New"/>
          <w:sz w:val="14"/>
        </w:rPr>
        <w:t>AI_OPT PASS    matmul_0 P0 -   -  -        begin  -      ok       1 sm90</w:t>
        <w:br/>
        <w:t>AI_OPT REGION  matmul_0 P1 r12 -  matmul   -      -      ok       4096 4096 4096 fp16</w:t>
        <w:br/>
        <w:t>AI_OPT CAND    matmul_0 P7 r12 c1 tile     -      -      ok       128x128x64 64x64x64 3 8</w:t>
        <w:br/>
        <w:t>AI_OPT LEGAL   matmul_0 P7 r12 c1 tile     yes    -      ok       131072 112 1</w:t>
        <w:br/>
        <w:t>AI_OPT COST    matmul_0 P7 r12 c1 tile     -      163840 ok       131072 28672 0 4096 0 0 53248 24576</w:t>
        <w:br/>
        <w:t>AI_OPT CAND    matmul_0 P7 r12 c2 tile     -      -      ok       64x128x64 32x64x64 4 4</w:t>
        <w:br/>
        <w:t>AI_OPT LEGAL   matmul_0 P7 r12 c2 tile     yes    -      ok       98304 96 2</w:t>
        <w:br/>
        <w:t>AI_OPT COST    matmul_0 P7 r12 c2 tile     -      159744 ok       131072 24576 0 4096 0 0 49152 24576</w:t>
        <w:br/>
        <w:t>AI_OPT SELECT  matmul_0 P7 r12 c2 tile     select 159744 min_cost</w:t>
        <w:br/>
        <w:t>AI_OPT HINT    matmul_0 P8 r12 c2 prefetch yes    -      ok       tma 4 2 1</w:t>
        <w:br/>
        <w:t>AI_OPT REWRITE matmul_0 P9 r12 c2 tile     yes    159744 applied  3 0 0</w:t>
        <w:br/>
        <w:t>AI_OPT END     matmul_0 P9 -   -  -        done   -      ok       1 2 1 0</w:t>
      </w:r>
    </w:p>
    <w:p>
      <w:pPr>
        <w:spacing w:after="120"/>
      </w:pPr>
      <w:r>
        <w:t>A rejected candidate still ends with a concise record:</w:t>
      </w:r>
    </w:p>
    <w:p>
      <w:pPr>
        <w:spacing w:after="120"/>
        <w:ind w:left="360"/>
      </w:pPr>
      <w:r>
        <w:rPr>
          <w:rFonts w:ascii="Courier New" w:hAnsi="Courier New" w:eastAsia="Courier New"/>
          <w:sz w:val="14"/>
        </w:rPr>
        <w:t>AI_OPT REGION attention_3 P1 r44 -  attention -    - ok            8 2048 32 128 fp16</w:t>
        <w:br/>
        <w:t>AI_OPT CAND   attention_3 P2 r44 c9 fusion    -    - ok            qk_softmax_v</w:t>
        <w:br/>
        <w:t>AI_OPT LEGAL  attention_3 P2 r44 c9 fusion    no   - alias_unknown - - -</w:t>
        <w:br/>
        <w:t>AI_OPT SKIP   attention_3 P2 r44 c9 fusion    skip - alias_unknown tile_range_alias</w:t>
      </w:r>
    </w:p>
    <w:p>
      <w:pPr>
        <w:keepNext/>
        <w:spacing w:after="120"/>
      </w:pPr>
      <w:r>
        <w:t>Other pattern-specific CAND and REGION payloads need documented schemas before emission. Optional detail remains one line per fact, with the same fixed columns and a subtype in REASON; occ means active CTAs, registers per thread, shared bytes, while pipe means engine, stages, bubble cycles, hidden memory cycles:</w:t>
      </w:r>
    </w:p>
    <w:p>
      <w:pPr>
        <w:spacing w:after="120"/>
        <w:ind w:left="360"/>
      </w:pPr>
      <w:r>
        <w:rPr>
          <w:rFonts w:ascii="Courier New" w:hAnsi="Courier New" w:eastAsia="Courier New"/>
          <w:sz w:val="16"/>
        </w:rPr>
        <w:t>AI_OPT DETAIL matmul_0 P7 r12 c2 cost - 159744 occ  2 96 98304</w:t>
        <w:br/>
        <w:t>AI_OPT DETAIL matmul_0 P8 r12 c2 cost - 159744 pipe tma 4 4096 24576</w:t>
      </w:r>
    </w:p>
    <w:p>
      <w:pPr>
        <w:spacing w:after="120"/>
      </w:pPr>
      <w:r>
        <w:t>The first summary tool should scan only lines beginning with AI_OPT in the .t file. It should parse columns by record type and schema version, group by PU/region/candidate, and ignore unrelated WOPT output.</w:t>
      </w:r>
    </w:p>
    <w:p>
      <w:pPr>
        <w:spacing w:after="120"/>
      </w:pPr>
      <w:r>
        <w:t>Minimum trace contract for the first optimization slice:</w:t>
      </w:r>
    </w:p>
    <w:p>
      <w:pPr>
        <w:pStyle w:val="ListBullet"/>
        <w:spacing w:after="60"/>
      </w:pPr>
      <w:r>
        <w:t>With -Wb,-ttOP2:0x00800000, the .t file must contain AI_OPT PASS and AI_OPT END.</w:t>
      </w:r>
    </w:p>
    <w:p>
      <w:pPr>
        <w:pStyle w:val="ListBullet"/>
        <w:spacing w:after="60"/>
      </w:pPr>
      <w:r>
        <w:t>Every analyzed region must produce exactly one terminal decision: AI_OPT REWRITE or AI_OPT SKIP.</w:t>
      </w:r>
    </w:p>
    <w:p>
      <w:pPr>
        <w:pStyle w:val="ListBullet"/>
        <w:spacing w:after="60"/>
      </w:pPr>
      <w:r>
        <w:t>Every selected rewrite must have preceding AI_OPT CAND, AI_OPT LEGAL, AI_OPT COST, and AI_OPT SELECT records for the same candidate.</w:t>
      </w:r>
    </w:p>
    <w:p>
      <w:pPr>
        <w:pStyle w:val="ListBullet"/>
        <w:spacing w:after="60"/>
      </w:pPr>
      <w:r>
        <w:t>Every skipped region must include a reason and next blocker so no optimization remains explainable.</w:t>
      </w:r>
    </w:p>
    <w:p>
      <w:pPr>
        <w:pStyle w:val="ListBullet"/>
        <w:spacing w:after="60"/>
      </w:pPr>
      <w:r>
        <w:t>Summary tooling should report counts by pattern, decision, skip reason, and transformed IR kind.</w:t>
      </w:r>
    </w:p>
    <w:p>
      <w:pPr>
        <w:pStyle w:val="Heading2"/>
      </w:pPr>
      <w:r>
        <w:t>9.5 Optimization Report Contract By Phase</w:t>
      </w:r>
    </w:p>
    <w:p>
      <w:pPr>
        <w:spacing w:after="120"/>
      </w:pPr>
      <w:r>
        <w:t>Every phase must state what it learned, which alternatives it kept or rejected, and what the next phase must resolve. A trace analyzer must distinguish not run, ran with no eligible region, analyzed but blocked, and selected and rewritten. The table below is the minimum report contract, not a claim that the current trace schema or compiler already supplies every field.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511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What the tool must summarize</w:t>
            </w:r>
          </w:p>
        </w:tc>
        <w:tc>
          <w:tcPr>
            <w:tcW w:type="dxa" w:w="280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Evidence or gap</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 analysis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Regions found and missed; operator pattern, tensor role, shape, dtype, dynamic dimensions, and unresolved semantic assumptions.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 plus phase status; missed patterns not yet recorded.</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 and locality</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Producer/consumer span, last use, reuse or working-set estimate, dominant traffic, and alias uncertainty that limits reuse.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Per-region DETAIL with units and provenance;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Fused and unfused alternatives, intermediate bytes and launches potentially removed, legality, and why each fusion remains provisional or is rejected.</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and a mandatory baseline candidate.</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 alternatives, conversion bytes/cost, expected coalescing or reuse effect, and constraints passed to placement.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and layout cost/detail; payload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 and sharding</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Ownership and shard alternatives, cross-device bytes, memory balance, alias or visibility assumptions, and rejected mappings.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Plan lineage and distributed-alias facts; trace records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and transfers implied by each placement, bytes, topology/path, exposed time and overlap, and unresolved boundaries.</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Communication DETAIL and plan linkage; schemas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physical layout and residency</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HBM/L2/SMEM/register placement, footprint versus capacity, spill or eviction risk, occupancy effect, and rejected residency plans.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 COST, residency DETAIL, and resource limits.</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Baseline and tile candidates, legal and resource failures, cost terms, winner versus baseline, expected gain, and confidence.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SELECT; baseline and confidence required.</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and async movement</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Engine, stages, distance, barriers, fallback, raw and hidden memory time, residual compute bubbles, and why the pipeline wins.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HINT, COST, pipeline DETAIL; barrier and bubble schemas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Physical kernel fusion and scheduling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Whole-plan composition, rejected alternatives, fusion boundary, launches and syncs, selected cost, IR changes, and structural verification.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plan id, SELECT, REWRITE, verification record.</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 and adaptation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Guarded variants, guard coverage and fallback, selection overhead, cost by workload bucket, and static default.</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Guard/variant detail and workload-bucket schema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and profile feedback</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Observed latency and traffic versus predictions, model error by term, variant hit rate, and next tuning action.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External profile join; compile-only trace reports unavailable.</w:t>
            </w:r>
          </w:p>
        </w:tc>
      </w:tr>
    </w:tbl>
    <w:p/>
    <w:p>
      <w:pPr>
        <w:spacing w:after="120"/>
      </w:pPr>
      <w:r>
        <w:t>The tool should produce a phase rollup and, for each PU/region, a compact candidate ledger: baseline, alternatives, legality, predicted total and cost components, confidence, selected plan, selection reason, rewrite result, verification, and remaining blocker. It should state the source of each number: analytical estimate, learned estimate, measurement, or unavailable. A cost estimate must never be presented as measured speedup.</w:t>
      </w:r>
    </w:p>
    <w:p>
      <w:pPr>
        <w:pStyle w:val="Heading2"/>
      </w:pPr>
      <w:r>
        <w:t>9.6 Trace And Analyzer Gaps To Close Before Implementation</w:t>
      </w:r>
    </w:p>
    <w:p>
      <w:pPr>
        <w:spacing w:after="120"/>
      </w:pPr>
      <w:r>
        <w:t>The v0.2 positional records are a useful starting point, but they cannot yet support the complete report above. The following additions are required before claiming the report is implemented:</w:t>
      </w:r>
    </w:p>
    <w:p>
      <w:pPr>
        <w:pStyle w:val="ListBullet"/>
        <w:spacing w:after="60"/>
      </w:pPr>
      <w:r>
        <w:t>Phase coverage: emit a compact phase-end status and counts for each enabled phase, including zero eligible regions and a reason for disabled or blocked phases. Otherwise an absent record is ambiguous.</w:t>
      </w:r>
    </w:p>
    <w:p>
      <w:pPr>
        <w:pStyle w:val="ListBullet"/>
        <w:spacing w:after="60"/>
      </w:pPr>
      <w:r>
        <w:t>Baseline and plan lineage: cost a conservative baseline for every region and identify which component candidates form each whole OptimizationPlanIR. Keep ids stable from generation through selection and rewrite. Otherwise expected gain and cross-phase linkage are not defensible.</w:t>
      </w:r>
    </w:p>
    <w:p>
      <w:pPr>
        <w:pStyle w:val="ListBullet"/>
        <w:spacing w:after="60"/>
      </w:pPr>
      <w:r>
        <w:t>Profitability evidence: record cost-model source, confidence or missing-cost flag, target/resource assumptions, baseline and selected totals, and each rejection reason. Preserve raw and unhidden memory/communication separately; compare whole plans under the same assumptions.</w:t>
      </w:r>
    </w:p>
    <w:p>
      <w:pPr>
        <w:pStyle w:val="ListBullet"/>
        <w:spacing w:after="60"/>
      </w:pPr>
      <w:r>
        <w:t>Decision and transformation evidence: identify the selected whole plan, distinguish cost from legality rejection, record before/after IR identities and concrete change counts, and emit structural verification pass/fail. SELECT without successful REWRITE and verification is not an applied optimization.</w:t>
      </w:r>
    </w:p>
    <w:p>
      <w:pPr>
        <w:pStyle w:val="ListBullet"/>
        <w:spacing w:after="60"/>
      </w:pPr>
      <w:r>
        <w:t>Runtime and profile boundary: record guard/fallback definitions and workload buckets. Join measured telemetry only through a documented compilation/profile identity; keep predicted cycles and observed latency in separate columns and units.</w:t>
      </w:r>
    </w:p>
    <w:p>
      <w:pPr>
        <w:pStyle w:val="ListBullet"/>
        <w:spacing w:after="60"/>
      </w:pPr>
      <w:r>
        <w:t>Versioned schemas and validation: define payloads and units for every pattern and DETAIL subtype; increment the trace schema version when adding records. Reject unknown schemas, duplicate terminal decisions, missing baseline/cost, unmatched ids, inconsistent COST sums, and SELECT/REWRITE mismatches.</w:t>
      </w:r>
    </w:p>
    <w:p>
      <w:pPr>
        <w:spacing w:after="120"/>
      </w:pPr>
      <w:r>
        <w:t>The proposed analyzer command is ai-opt-report &lt;compile.t&gt; [--pu NAME] [--region ID] [--phase P7] [--candidates]. Its default output should be a readable text report with a coverage table, phase rollup, candidate/profitability ledger, decision reasons, transformation/verification results, and an explicit data unavailable section. It must ignore unrelated WOPT lines. Machine-readable export may be added later, but should not replace the compact human report or reintroduce repetitive compiler-side JSONL.</w:t>
      </w:r>
    </w:p>
    <w:p>
      <w:pPr>
        <w:spacing w:after="120"/>
      </w:pPr>
      <w:r>
        <w:t>Acceptance gate for the first optimization slice: a selected region and a skipped region both produce complete, checkable reports; the selected report shows baseline versus selected cost and the verified IR change; the skipped report names its blocker; a malformed or incomplete trace fails visibly. Refine report requirements with each new optimization family before its trace records are emitted.</w:t>
      </w:r>
    </w:p>
    <w:p>
      <w:pPr>
        <w:pStyle w:val="Heading2"/>
      </w:pPr>
      <w:r>
        <w:t>9.7 Matmul Trace, Report, And Durable Artifact Convention</w:t>
      </w:r>
    </w:p>
    <w:p>
      <w:pPr/>
      <w:r>
        <w:t>The first matmul optimization uses the compiler's normal .t file as the unmodified source of truth. ai-opt-report derives focused, readable logs from AI_OPT records; these logs are not separate compiler emissions. The raw .t file and every derived log are retained in the same immutable review receipt. The initial common.matmul.v1 case has no fusion candidate or fusion rewrite; AI-P2 is explicitly not_applicable.</w:t>
      </w:r>
    </w:p>
    <w:p>
      <w:pPr/>
      <w:r>
        <w:t>Every derived .log file begins with exactly one line of the form # What it summarizes: &lt;phase-specific description&gt;. No timestamp, banner, or source metadata precedes it. The next lines identify the raw .t SHA-256, trace schema version, target, compilation identity, PU/region, and phase status. The report generator owns these descriptions and tests the exact first-line prefix.</w:t>
      </w:r>
    </w:p>
    <w:tbl>
      <w:tblPr>
        <w:tblW w:type="auto" w:w="0"/>
        <w:tblLayout w:type="fixed"/>
        <w:tblLook w:firstColumn="1" w:firstRow="1" w:lastColumn="0" w:lastRow="0" w:noHBand="0" w:noVBand="1" w:val="04A0"/>
      </w:tblPr>
      <w:tblGrid>
        <w:gridCol w:w="3389"/>
        <w:gridCol w:w="3389"/>
        <w:gridCol w:w="3389"/>
      </w:tblGrid>
      <w:tr>
        <w:tc>
          <w:tcPr>
            <w:tcW w:type="dxa" w:w="792"/>
          </w:tcPr>
          <w:p>
            <w:r>
              <w:rPr>
                <w:b/>
                <w:sz w:val="17"/>
              </w:rPr>
              <w:t>Phase</w:t>
            </w:r>
          </w:p>
        </w:tc>
        <w:tc>
          <w:tcPr>
            <w:tcW w:type="dxa" w:w="2232"/>
          </w:tcPr>
          <w:p>
            <w:r>
              <w:rPr>
                <w:b/>
                <w:sz w:val="17"/>
              </w:rPr>
              <w:t>Derived file under reports/phases/</w:t>
            </w:r>
          </w:p>
        </w:tc>
        <w:tc>
          <w:tcPr>
            <w:tcW w:type="dxa" w:w="6264"/>
          </w:tcPr>
          <w:p>
            <w:r>
              <w:rPr>
                <w:b/>
                <w:sz w:val="17"/>
              </w:rPr>
              <w:t>Required first-line description after # What it summarizes:</w:t>
            </w:r>
          </w:p>
        </w:tc>
      </w:tr>
      <w:tr>
        <w:tc>
          <w:tcPr>
            <w:tcW w:type="dxa" w:w="792"/>
          </w:tcPr>
          <w:p>
            <w:r>
              <w:rPr>
                <w:sz w:val="17"/>
              </w:rPr>
              <w:t>AI-P0</w:t>
            </w:r>
          </w:p>
        </w:tc>
        <w:tc>
          <w:tcPr>
            <w:tcW w:type="dxa" w:w="2232"/>
          </w:tcPr>
          <w:p>
            <w:r>
              <w:rPr>
                <w:sz w:val="17"/>
              </w:rPr>
              <w:t>semantic.log</w:t>
            </w:r>
          </w:p>
        </w:tc>
        <w:tc>
          <w:tcPr>
            <w:tcW w:type="dxa" w:w="6264"/>
          </w:tcPr>
          <w:p>
            <w:r>
              <w:rPr>
                <w:sz w:val="17"/>
              </w:rPr>
              <w:t>Matmul regions found, tensor roles, shapes, dtypes, and unresolved semantic facts.</w:t>
            </w:r>
          </w:p>
        </w:tc>
      </w:tr>
      <w:tr>
        <w:tc>
          <w:tcPr>
            <w:tcW w:type="dxa" w:w="792"/>
          </w:tcPr>
          <w:p>
            <w:r>
              <w:rPr>
                <w:sz w:val="17"/>
              </w:rPr>
              <w:t>AI-P1</w:t>
            </w:r>
          </w:p>
        </w:tc>
        <w:tc>
          <w:tcPr>
            <w:tcW w:type="dxa" w:w="2232"/>
          </w:tcPr>
          <w:p>
            <w:r>
              <w:rPr>
                <w:sz w:val="17"/>
              </w:rPr>
              <w:t>locality.log</w:t>
            </w:r>
          </w:p>
        </w:tc>
        <w:tc>
          <w:tcPr>
            <w:tcW w:type="dxa" w:w="6264"/>
          </w:tcPr>
          <w:p>
            <w:r>
              <w:rPr>
                <w:sz w:val="17"/>
              </w:rPr>
              <w:t>Tensor lifetimes, reuse, traffic baseline, and alias uncertainty.</w:t>
            </w:r>
          </w:p>
        </w:tc>
      </w:tr>
      <w:tr>
        <w:tc>
          <w:tcPr>
            <w:tcW w:type="dxa" w:w="792"/>
          </w:tcPr>
          <w:p>
            <w:r>
              <w:rPr>
                <w:sz w:val="17"/>
              </w:rPr>
              <w:t>AI-P2</w:t>
            </w:r>
          </w:p>
        </w:tc>
        <w:tc>
          <w:tcPr>
            <w:tcW w:type="dxa" w:w="2232"/>
          </w:tcPr>
          <w:p>
            <w:r>
              <w:rPr>
                <w:sz w:val="17"/>
              </w:rPr>
              <w:t>fusion.log</w:t>
            </w:r>
          </w:p>
        </w:tc>
        <w:tc>
          <w:tcPr>
            <w:tcW w:type="dxa" w:w="6264"/>
          </w:tcPr>
          <w:p>
            <w:r>
              <w:rPr>
                <w:sz w:val="17"/>
              </w:rPr>
              <w:t>Fusion candidates, legality, costs, and decisions; out of scope for the first matmul case.</w:t>
            </w:r>
          </w:p>
        </w:tc>
      </w:tr>
      <w:tr>
        <w:tc>
          <w:tcPr>
            <w:tcW w:type="dxa" w:w="792"/>
          </w:tcPr>
          <w:p>
            <w:r>
              <w:rPr>
                <w:sz w:val="17"/>
              </w:rPr>
              <w:t>AI-P3</w:t>
            </w:r>
          </w:p>
        </w:tc>
        <w:tc>
          <w:tcPr>
            <w:tcW w:type="dxa" w:w="2232"/>
          </w:tcPr>
          <w:p>
            <w:r>
              <w:rPr>
                <w:sz w:val="17"/>
              </w:rPr>
              <w:t>layout.log</w:t>
            </w:r>
          </w:p>
        </w:tc>
        <w:tc>
          <w:tcPr>
            <w:tcW w:type="dxa" w:w="6264"/>
          </w:tcPr>
          <w:p>
            <w:r>
              <w:rPr>
                <w:sz w:val="17"/>
              </w:rPr>
              <w:t>Logical layout alternatives, conversion costs, and access implications.</w:t>
            </w:r>
          </w:p>
        </w:tc>
      </w:tr>
      <w:tr>
        <w:tc>
          <w:tcPr>
            <w:tcW w:type="dxa" w:w="792"/>
          </w:tcPr>
          <w:p>
            <w:r>
              <w:rPr>
                <w:sz w:val="17"/>
              </w:rPr>
              <w:t>AI-P4</w:t>
            </w:r>
          </w:p>
        </w:tc>
        <w:tc>
          <w:tcPr>
            <w:tcW w:type="dxa" w:w="2232"/>
          </w:tcPr>
          <w:p>
            <w:r>
              <w:rPr>
                <w:sz w:val="17"/>
              </w:rPr>
              <w:t>placement.log</w:t>
            </w:r>
          </w:p>
        </w:tc>
        <w:tc>
          <w:tcPr>
            <w:tcW w:type="dxa" w:w="6264"/>
          </w:tcPr>
          <w:p>
            <w:r>
              <w:rPr>
                <w:sz w:val="17"/>
              </w:rPr>
              <w:t>Device ownership, shard alternatives, and rejected placements.</w:t>
            </w:r>
          </w:p>
        </w:tc>
      </w:tr>
      <w:tr>
        <w:tc>
          <w:tcPr>
            <w:tcW w:type="dxa" w:w="792"/>
          </w:tcPr>
          <w:p>
            <w:r>
              <w:rPr>
                <w:sz w:val="17"/>
              </w:rPr>
              <w:t>AI-P5</w:t>
            </w:r>
          </w:p>
        </w:tc>
        <w:tc>
          <w:tcPr>
            <w:tcW w:type="dxa" w:w="2232"/>
          </w:tcPr>
          <w:p>
            <w:r>
              <w:rPr>
                <w:sz w:val="17"/>
              </w:rPr>
              <w:t>communication.log</w:t>
            </w:r>
          </w:p>
        </w:tc>
        <w:tc>
          <w:tcPr>
            <w:tcW w:type="dxa" w:w="6264"/>
          </w:tcPr>
          <w:p>
            <w:r>
              <w:rPr>
                <w:sz w:val="17"/>
              </w:rPr>
              <w:t>Required transfers or collectives, exposed cost, and unresolved boundaries.</w:t>
            </w:r>
          </w:p>
        </w:tc>
      </w:tr>
      <w:tr>
        <w:tc>
          <w:tcPr>
            <w:tcW w:type="dxa" w:w="792"/>
          </w:tcPr>
          <w:p>
            <w:r>
              <w:rPr>
                <w:sz w:val="17"/>
              </w:rPr>
              <w:t>AI-P6</w:t>
            </w:r>
          </w:p>
        </w:tc>
        <w:tc>
          <w:tcPr>
            <w:tcW w:type="dxa" w:w="2232"/>
          </w:tcPr>
          <w:p>
            <w:r>
              <w:rPr>
                <w:sz w:val="17"/>
              </w:rPr>
              <w:t>residency.log</w:t>
            </w:r>
          </w:p>
        </w:tc>
        <w:tc>
          <w:tcPr>
            <w:tcW w:type="dxa" w:w="6264"/>
          </w:tcPr>
          <w:p>
            <w:r>
              <w:rPr>
                <w:sz w:val="17"/>
              </w:rPr>
              <w:t>Memory-level footprints, capacity, occupancy constraints, and rejected residency plans.</w:t>
            </w:r>
          </w:p>
        </w:tc>
      </w:tr>
      <w:tr>
        <w:tc>
          <w:tcPr>
            <w:tcW w:type="dxa" w:w="792"/>
          </w:tcPr>
          <w:p>
            <w:r>
              <w:rPr>
                <w:sz w:val="17"/>
              </w:rPr>
              <w:t>AI-P7</w:t>
            </w:r>
          </w:p>
        </w:tc>
        <w:tc>
          <w:tcPr>
            <w:tcW w:type="dxa" w:w="2232"/>
          </w:tcPr>
          <w:p>
            <w:r>
              <w:rPr>
                <w:sz w:val="17"/>
              </w:rPr>
              <w:t>tile.log</w:t>
            </w:r>
          </w:p>
        </w:tc>
        <w:tc>
          <w:tcPr>
            <w:tcW w:type="dxa" w:w="6264"/>
          </w:tcPr>
          <w:p>
            <w:r>
              <w:rPr>
                <w:sz w:val="17"/>
              </w:rPr>
              <w:t>Matmul baseline, G0-G11 tile refinements, legality, resources, estimated costs, and tile selection.</w:t>
            </w:r>
          </w:p>
        </w:tc>
      </w:tr>
      <w:tr>
        <w:tc>
          <w:tcPr>
            <w:tcW w:type="dxa" w:w="792"/>
          </w:tcPr>
          <w:p>
            <w:r>
              <w:rPr>
                <w:sz w:val="17"/>
              </w:rPr>
              <w:t>AI-P8</w:t>
            </w:r>
          </w:p>
        </w:tc>
        <w:tc>
          <w:tcPr>
            <w:tcW w:type="dxa" w:w="2232"/>
          </w:tcPr>
          <w:p>
            <w:r>
              <w:rPr>
                <w:sz w:val="17"/>
              </w:rPr>
              <w:t>fetch-pipeline.log</w:t>
            </w:r>
          </w:p>
        </w:tc>
        <w:tc>
          <w:tcPr>
            <w:tcW w:type="dxa" w:w="6264"/>
          </w:tcPr>
          <w:p>
            <w:r>
              <w:rPr>
                <w:sz w:val="17"/>
              </w:rPr>
              <w:t>Movement engines, stages, prefetch distance, barriers, overlap, and fallback.</w:t>
            </w:r>
          </w:p>
        </w:tc>
      </w:tr>
      <w:tr>
        <w:tc>
          <w:tcPr>
            <w:tcW w:type="dxa" w:w="792"/>
          </w:tcPr>
          <w:p>
            <w:r>
              <w:rPr>
                <w:sz w:val="17"/>
              </w:rPr>
              <w:t>AI-P9</w:t>
            </w:r>
          </w:p>
        </w:tc>
        <w:tc>
          <w:tcPr>
            <w:tcW w:type="dxa" w:w="2232"/>
          </w:tcPr>
          <w:p>
            <w:r>
              <w:rPr>
                <w:sz w:val="17"/>
              </w:rPr>
              <w:t>physical-plan.log</w:t>
            </w:r>
          </w:p>
        </w:tc>
        <w:tc>
          <w:tcPr>
            <w:tcW w:type="dxa" w:w="6264"/>
          </w:tcPr>
          <w:p>
            <w:r>
              <w:rPr>
                <w:sz w:val="17"/>
              </w:rPr>
              <w:t>Complete plan selection, actual rewrite, before/after IR identity, and verification.</w:t>
            </w:r>
          </w:p>
        </w:tc>
      </w:tr>
      <w:tr>
        <w:tc>
          <w:tcPr>
            <w:tcW w:type="dxa" w:w="792"/>
          </w:tcPr>
          <w:p>
            <w:r>
              <w:rPr>
                <w:sz w:val="17"/>
              </w:rPr>
              <w:t>AI-P10</w:t>
            </w:r>
          </w:p>
        </w:tc>
        <w:tc>
          <w:tcPr>
            <w:tcW w:type="dxa" w:w="2232"/>
          </w:tcPr>
          <w:p>
            <w:r>
              <w:rPr>
                <w:sz w:val="17"/>
              </w:rPr>
              <w:t>runtime-variant.log</w:t>
            </w:r>
          </w:p>
        </w:tc>
        <w:tc>
          <w:tcPr>
            <w:tcW w:type="dxa" w:w="6264"/>
          </w:tcPr>
          <w:p>
            <w:r>
              <w:rPr>
                <w:sz w:val="17"/>
              </w:rPr>
              <w:t>Certified variants, guards, guard cost, and fallback.</w:t>
            </w:r>
          </w:p>
        </w:tc>
      </w:tr>
      <w:tr>
        <w:tc>
          <w:tcPr>
            <w:tcW w:type="dxa" w:w="792"/>
          </w:tcPr>
          <w:p>
            <w:r>
              <w:rPr>
                <w:sz w:val="17"/>
              </w:rPr>
              <w:t>AI-P11</w:t>
            </w:r>
          </w:p>
        </w:tc>
        <w:tc>
          <w:tcPr>
            <w:tcW w:type="dxa" w:w="2232"/>
          </w:tcPr>
          <w:p>
            <w:r>
              <w:rPr>
                <w:sz w:val="17"/>
              </w:rPr>
              <w:t>feedback.log</w:t>
            </w:r>
          </w:p>
        </w:tc>
        <w:tc>
          <w:tcPr>
            <w:tcW w:type="dxa" w:w="6264"/>
          </w:tcPr>
          <w:p>
            <w:r>
              <w:rPr>
                <w:sz w:val="17"/>
              </w:rPr>
              <w:t>Measured versus predicted results and cost-model corrections when profile data exists.</w:t>
            </w:r>
          </w:p>
        </w:tc>
      </w:tr>
    </w:tbl>
    <w:p>
      <w:pPr/>
      <w:r>
        <w:t>reports/optimization.log begins # What it summarizes: Complete P0-P11 optimization process, including every phase decision and non-execution reason. It contains the complete content of each phase log in phase order, separated by a phase heading; no phase detail is omitted merely because it rejected or did not apply a transformation. reports/optimization-summary.log begins # What it summarizes: Cross-phase coverage, selected plans, applied rewrites, measurements, and remaining blockers. It is the compact entry point, not a replacement for optimization.log. It has one row for every AI-P0 through AI-P11 phase with status, reason, region/candidate counts, selected plan, and rewrite count. The phase log body appears exactly once in optimization.log; the summary contains only rollup facts.</w:t>
      </w:r>
    </w:p>
    <w:p>
      <w:pPr/>
      <w:r>
        <w:t>The driver must emit explicit phase coverage records even when a phase is not invoked. The report distinguishes disabled_by_option, disabled_by_policy, not_applicable, no_eligible_region, analyzed_no_rewrite, rewritten, and failed. A disabled phase records the controlling option or optimization-level policy; not_applicable records the workload scope; analyzed_no_rewrite records the legality or profitability reason and next blocker. Missing required coverage, unmatched candidate/plan IDs, duplicate terminal decisions, a selected plan without verified rewrite evidence, and inconsistent cost units are trace errors, never inferred phase statuses. Compile-time estimates and measured runtime stay in separate fields with explicit units and provenance; AIO-9's current low-confidence relative score must not be relabeled as cycles.</w:t>
      </w:r>
    </w:p>
    <w:p>
      <w:pPr/>
      <w:r>
        <w:t>The durable destination mirrors the FHE effort's receipt convention without reusing its domain directory: /Users/shinmingliu/open64/artifacts/review/ai-optimization/matmul-f32-v1/&lt;target-id&gt;/&lt;milestone&gt;/sha256-&lt;full-primary-artifact-digest&gt;/. Milestones are m0-baseline, m1-trace-report, m2-multilevel-tiling, and m3-prefetch-pipeline.</w:t>
      </w:r>
    </w:p>
    <w:p>
      <w:r>
        <w:t>The pre-trace m0-baseline receipt retains source, binary .B/separate-process .T, correctness and timing evidence, and explicitly marks AI trace reports unavailable. From m1-trace-report onward, every receipt also retains the unmodified traces/compile.t, all derived reports above, and plan/cost records. Every receipt retains exact commands, receipt.json, and SHA256SUMS, and records producer commit and binary hash, input hashes, options, target/driver identity, evidence class, and the preceding receipt identity.</w:t>
      </w:r>
    </w:p>
    <w:p>
      <w:r>
        <w:t>Produce in fresh staging, verify, hash, promote atomically without replacement, reopen from the final path, then update INDEX.md, index.json, and current. Never clean or overwrite an accepted receipt. Existing artifacts/ai_optimization/ output remains legacy evidence and is not moved or pruned by this convention.</w:t>
      </w:r>
    </w:p>
    <w:p>
      <w:pPr>
        <w:pStyle w:val="Heading1"/>
      </w:pPr>
      <w:r>
        <w:t>10 Research Inspirations And DSC Design Proposals</w:t>
      </w:r>
    </w:p>
    <w:p>
      <w:pPr>
        <w:spacing w:after="120"/>
      </w:pPr>
      <w:r>
        <w:t>This section records provenance. Research papers motivate design directions, but the IR structures and phase ordering in this document are DSC design proposals unless explicitly implemented and validated.</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 item</w:t>
            </w:r>
          </w:p>
        </w:tc>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Venue or date</w:t>
            </w:r>
          </w:p>
        </w:tc>
        <w:tc>
          <w:tcPr>
            <w:tcW w:type="dxa" w:w="33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Research-derived idea</w:t>
            </w:r>
          </w:p>
        </w:tc>
        <w:tc>
          <w:tcPr>
            <w:tcW w:type="dxa" w:w="367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DSC design inspiration</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Mercury</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SOSP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Asynchronous multi-GPU operator optimization for LLMs with remote-memory scheduling and communication-aware planning.</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treating remote HBM, communication, and overlap as first-class plan components.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Neptune</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2025 arXiv, PLDI 2026 line</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Advanced ML operator fusion for locality and parallelism on GPUs, especially reduction-operator sequences.</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persistent fusion candidates refined with layout, tiling, and parallelism.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PipeThreader</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OSDI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Software-defined pipelining for efficient DNN execution on heterogeneous GPU hardware units.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CommonPipelineIR, explicit buffering, async movement, and bubble minimization.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XNNC Fusion</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CC 2025</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Greedy clustering operator fusion in a production neural-network compiler with profitability-guided expansion.</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practical candidate generation and bounded profitability search.</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HELM</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2026</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Compiler-guided heterogeneous LLM execution with compile-time CPU/GPU partitioning and KV-cache management for memory-constrained systems.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placement planning, heterogeneous residency, and runtime memory-state awareness.</w:t>
            </w:r>
          </w:p>
        </w:tc>
      </w:tr>
    </w:tbl>
    <w:p/>
    <w:p>
      <w:pPr>
        <w:spacing w:after="120"/>
      </w:pPr>
      <w:r>
        <w:t>DSC design proposals in this v0.3 skeleton include the TensorEvolutionGraph-centered control plane, common-versus-AI ownership split, OptimizationCandidateIR and OptimizationPlanIR as profitability units, phase-to-IR matrix, explicit unhidden-latency accounting, the WOPT trace and analyzer contracts, and the stated implementation priority sequence.</w:t>
      </w:r>
    </w:p>
    <w:p>
      <w:pPr>
        <w:pStyle w:val="Heading2"/>
      </w:pPr>
      <w:r>
        <w:t>10.1 Open64 LNO TVM CUDA CUTLASS And Triton Design Comparison</w:t>
      </w:r>
    </w:p>
    <w:p>
      <w:pPr>
        <w:spacing w:after="120"/>
      </w:pPr>
      <w:r>
        <w:t>Open64 LNO represents the classical automatic compiler model. It delays loop transformation until dependence, reuse, loop-order, block-size, cache, TLB, loop-overhead, unroll, and target-resource information have been collected. Its cache model explicitly chooses tiling and block size from legal loop/tile alternatives, evaluates memory and loop overhead costs, and repeats the decision across memory-hierarchy levels. This strongly supports the DSC rule that transformation legality is not enough; plan selection must be cost-model gated.</w:t>
      </w:r>
    </w:p>
    <w:p>
      <w:pPr>
        <w:spacing w:after="120"/>
      </w:pPr>
      <w:r>
        <w:t>TVM represents the modern tensor-compiler search lineage. AutoTVM starts from expert-written schedule templates with tiling knobs, so the search space is practical but bounded by the template author. Ansor moves toward automatic sketch generation from tensor expressions and uses learned cost models plus hardware measurement to choose schedules. TensorIR and MetaSchedule make this cleaner by representing schedulable tensor programs and applying schedule rules such as multi-level tiling, parallelization, vectorization, unrolling, and tensorization. In the MetaSchedule RFC, matmul tiling is expressed as sampled perfect tiles and an SSRSRS spatial/reduction ordering, which is a compact example of making tiling alternatives explicit before selection.</w:t>
      </w:r>
    </w:p>
    <w:p>
      <w:pPr>
        <w:spacing w:after="120"/>
      </w:pPr>
      <w:r>
        <w:t>TVM's newer DLight path adds a complementary design point: deterministic rule-based GPU scheduling. DLight applies predefined rules for common patterns such as GEMM, GEMV, reductions, and fallback kernels, trading some peak adaptability for fast compile time and reliable known-pattern coverage. The lesson for DSC is that search and rules should coexist. CommonTilePlanIR should support both generated candidate families for cost-model search and rule-produced candidates for common, latency-sensitive workloads.</w:t>
      </w:r>
    </w:p>
    <w:p>
      <w:pPr>
        <w:spacing w:after="120"/>
      </w:pPr>
      <w:r>
        <w:t>CUDA and CUTLASS represent a different point in the design space. NVIDIA GPU tiling is not only a loop transformation. It is a mapping to threadblocks, warps, warp groups, shared memory, registers, Tensor Cores, synchronization, async copy, and occupancy. CUDA therefore exposes execution configuration and shared-memory use to the programmer/runtime, while CUTLASS expresses a hierarchical tiling model: threadblock tile, warp tile, instruction tile, shared-memory stage, register fragment, epilogue, and scheduler. The lesson is that our IR must represent hardware hierarchy explicitly rather than treating tile size as a scalar.</w:t>
      </w:r>
    </w:p>
    <w:p>
      <w:pPr>
        <w:spacing w:after="120"/>
      </w:pPr>
      <w:r>
        <w:t>Triton sits between these two models. Triton kernels expose program/block meta-parameters such as BLOCK_M, BLOCK_N, BLOCK_K, num_warps, num_stages, num_ctas, and maxnreg through configuration and autotuning. The compiler then lowers through MLIR-based Triton and TritonGPU representations and applies target-specific passes for layout assignment, CTA locality, TMA lowering, MMA lowering, barriers, tensor-memory allocation, tensor-memory layout, and interleaving. Triton therefore does not fully recover a whole-program LNO view, but it does keep tile/program choices visible as compile-time parameters long enough for backend lowering and autotuning.</w:t>
      </w:r>
    </w:p>
    <w:p>
      <w:pPr>
        <w:spacing w:after="120"/>
      </w:pPr>
      <w:r>
        <w:t>The DSC direction should combine the strongest parts:</w:t>
      </w:r>
    </w:p>
    <w:p>
      <w:pPr>
        <w:pStyle w:val="ListBullet"/>
        <w:spacing w:after="60"/>
      </w:pPr>
      <w:r>
        <w:t>From Open64 LNO: delayed transformation, legality plus cost-model gated selection, and reuse/memory hierarchy reasoning before rewriting.</w:t>
      </w:r>
    </w:p>
    <w:p>
      <w:pPr>
        <w:pStyle w:val="ListBullet"/>
        <w:spacing w:after="60"/>
      </w:pPr>
      <w:r>
        <w:t>From TVM/Ansor/MetaSchedule: explicit schedule-space construction, multi-level tiling candidates, learned cost models, measurement feedback, and persistent tuning records.</w:t>
      </w:r>
    </w:p>
    <w:p>
      <w:pPr>
        <w:pStyle w:val="ListBullet"/>
        <w:spacing w:after="60"/>
      </w:pPr>
      <w:r>
        <w:t>From TVM DLight: deterministic rule-produced tile plans for common GPU patterns when compile time or deployment constraints make full search unattractive.</w:t>
      </w:r>
    </w:p>
    <w:p>
      <w:pPr>
        <w:pStyle w:val="ListBullet"/>
        <w:spacing w:after="60"/>
      </w:pPr>
      <w:r>
        <w:t>From CUDA/CUTLASS: explicit hierarchical tiling that matches hardware execution levels and resource constraints.</w:t>
      </w:r>
    </w:p>
    <w:p>
      <w:pPr>
        <w:pStyle w:val="ListBullet"/>
        <w:spacing w:after="60"/>
      </w:pPr>
      <w:r>
        <w:t>From Triton: tile choices as first-class compile-time parameters, MLIR-style staged lowering, backend-specific layout/pipeline passes, and empirical autotuning when analytical cost confidence is insufficient.</w:t>
      </w:r>
    </w:p>
    <w:p>
      <w:pPr>
        <w:spacing w:after="120"/>
      </w:pPr>
      <w:r>
        <w:t>This comparison upgrades the design requirement: tiling decisions should be represented as CommonTilePlanIR alternatives inside OptimizationCandidateIR and selected only through OptimizationPlanIR cost evaluation, with backend-specific hardware extensions supplying the NVIDIA, AMD, CPU, or accelerator constraints. CommonTilePlanIR should be able to record both search-generated alternatives and rule-generated alternatives, while CandidateCostIR records whether the evidence came from analytical modeling, learned prediction, hardware measurement, deterministic rule confidence, or runtime telemetry.</w:t>
      </w:r>
    </w:p>
    <w:p>
      <w:pPr>
        <w:pStyle w:val="Heading1"/>
      </w:pPr>
      <w:r>
        <w:t>11 Open Sections For Continuous Expansion</w:t>
      </w:r>
    </w:p>
    <w:p>
      <w:pPr>
        <w:pStyle w:val="Heading2"/>
      </w:pPr>
      <w:r>
        <w:t>11.1 Detailed paper notes</w:t>
      </w:r>
    </w:p>
    <w:p>
      <w:pPr>
        <w:spacing w:after="120"/>
      </w:pPr>
      <w:r>
        <w:t>Add one subsection per paper with problem statement, mechanism, result, limitations, and DSC mapping.</w:t>
      </w:r>
    </w:p>
    <w:p>
      <w:pPr>
        <w:pStyle w:val="Heading2"/>
      </w:pPr>
      <w:r>
        <w:t>11.2 Concrete IR schemas</w:t>
      </w:r>
    </w:p>
    <w:p>
      <w:pPr>
        <w:spacing w:after="120"/>
      </w:pPr>
      <w:r>
        <w:t>Expand each IR object into fields, invariants, serialization, validation rules, and examples.</w:t>
      </w:r>
    </w:p>
    <w:p>
      <w:pPr>
        <w:pStyle w:val="Heading2"/>
      </w:pPr>
      <w:r>
        <w:t>11.2.1 CommonTilePlanIR schema</w:t>
      </w:r>
    </w:p>
    <w:p>
      <w:pPr>
        <w:spacing w:after="120"/>
      </w:pPr>
      <w:r>
        <w:t>Define the exact field schema for hierarchical tile levels, hardware resource estimates, backend-specific extensions, legality records, cost-model bindings, and lowering contracts. Include explicit fields for problem, output, reduction, CTA, SMEM, warp, thread, register, vector, and instruction tile shapes, plus coalescing model, vectorization width, layout transform, occupancy inputs, synchronization points, arithmetic intensity, autotune dimensions, and legality guards.</w:t>
      </w:r>
    </w:p>
    <w:p>
      <w:pPr>
        <w:pStyle w:val="Heading2"/>
      </w:pPr>
      <w:r>
        <w:t>11.2.2 CommonDistributedAliasIR schema</w:t>
      </w:r>
    </w:p>
    <w:p>
      <w:pPr>
        <w:spacing w:after="120"/>
      </w:pPr>
      <w:r>
        <w:t>Define the exact field schema for tensor tile ranges, ownership domains, mod/ref/reduce modes, alias classes, communication epochs, visibility conditions, runtime guards, and prefetch safety windows.</w:t>
      </w:r>
    </w:p>
    <w:p>
      <w:pPr>
        <w:pStyle w:val="Heading2"/>
      </w:pPr>
      <w:r>
        <w:t>11.2.3 Guarded runtime variant schema</w:t>
      </w:r>
    </w:p>
    <w:p>
      <w:pPr>
        <w:spacing w:after="120"/>
      </w:pPr>
      <w:r>
        <w:t>Define the exact field schema for guarded fast plans, conservative fallback plans, guard predicates, runtime cost of guard evaluation, guard confidence, and telemetry feedback for guard hit rate.</w:t>
      </w:r>
    </w:p>
    <w:p>
      <w:pPr>
        <w:pStyle w:val="Heading2"/>
      </w:pPr>
      <w:r>
        <w:t>11.3 Legality model</w:t>
      </w:r>
    </w:p>
    <w:p>
      <w:pPr>
        <w:spacing w:after="120"/>
      </w:pPr>
      <w:r>
        <w:t>Define legality rules for fusion, layout conversion, sharding, runtime variant selection, and numerical tolerance.</w:t>
      </w:r>
    </w:p>
    <w:p>
      <w:pPr>
        <w:pStyle w:val="Heading2"/>
      </w:pPr>
      <w:r>
        <w:t>11.4 Cost model calibration</w:t>
      </w:r>
    </w:p>
    <w:p>
      <w:pPr>
        <w:spacing w:after="120"/>
      </w:pPr>
      <w:r>
        <w:t>Add hardware calibration sources, benchmark kernels, fitted parameters, confidence intervals, and fallback heuristics.</w:t>
      </w:r>
    </w:p>
    <w:p>
      <w:pPr>
        <w:pStyle w:val="Heading2"/>
      </w:pPr>
      <w:r>
        <w:t>11.5 Telemetry schema</w:t>
      </w:r>
    </w:p>
    <w:p>
      <w:pPr>
        <w:spacing w:after="120"/>
      </w:pPr>
      <w:r>
        <w:t>Define runtime counters, profile record format, aggregation windows, and recompilation triggers.</w:t>
      </w:r>
    </w:p>
    <w:p>
      <w:pPr>
        <w:pStyle w:val="Heading2"/>
      </w:pPr>
      <w:r>
        <w:t>11.6 Integration with FHE common substrate</w:t>
      </w:r>
    </w:p>
    <w:p>
      <w:pPr>
        <w:spacing w:after="120"/>
      </w:pPr>
      <w:r>
        <w:t>Compare AI requirements against FHE optimization-control requirements and identify reusable substrate fields.</w:t>
      </w:r>
    </w:p>
    <w:p>
      <w:pPr>
        <w:pStyle w:val="Heading2"/>
      </w:pPr>
      <w:r>
        <w:t>11.7 Prototype milestones</w:t>
      </w:r>
    </w:p>
    <w:p>
      <w:pPr>
        <w:spacing w:after="120"/>
      </w:pPr>
      <w:r>
        <w:t>Maintain the action-gated milestone list from section 9. Each prototype milestone must include the detector, candidate generator, legality checker, selector, rewriter, verifier, and measured outcome.</w:t>
      </w:r>
    </w:p>
    <w:p>
      <w:pPr>
        <w:pStyle w:val="Heading2"/>
      </w:pPr>
      <w:r>
        <w:t>11.8 Risk register</w:t>
      </w:r>
    </w:p>
    <w:p>
      <w:pPr>
        <w:spacing w:after="120"/>
      </w:pPr>
      <w:r>
        <w:t>Track risks such as candidate explosion, inaccurate overlap modeling, runtime policy instability, and excessive IR complexity.</w:t>
      </w:r>
    </w:p>
    <w:p>
      <w:pPr>
        <w:pStyle w:val="Heading1"/>
      </w:pPr>
      <w:r>
        <w:t>12 Reference Notes</w:t>
      </w:r>
    </w:p>
    <w:p>
      <w:pPr>
        <w:pStyle w:val="ListBullet"/>
        <w:spacing w:after="60"/>
      </w:pPr>
      <w:r>
        <w:t>Mercury: SOSP 2025 paper listing and metadata reviewed as research inspiration for asynchronous multi-GPU LLM operator optimization via remote-memory scheduling.</w:t>
      </w:r>
    </w:p>
    <w:p>
      <w:pPr>
        <w:pStyle w:val="ListBullet"/>
        <w:spacing w:after="60"/>
      </w:pPr>
      <w:r>
        <w:t>Neptune: arXiv 2025 and project metadata reviewed as research inspiration for advanced ML operator fusion for locality and parallelism on GPUs.</w:t>
      </w:r>
    </w:p>
    <w:p>
      <w:pPr>
        <w:pStyle w:val="ListBullet"/>
        <w:spacing w:after="60"/>
      </w:pPr>
      <w:r>
        <w:t>PipeThreader: OSDI 2025 paper metadata reviewed as research inspiration for software-defined DNN pipelining.</w:t>
      </w:r>
    </w:p>
    <w:p>
      <w:pPr>
        <w:pStyle w:val="ListBullet"/>
        <w:spacing w:after="60"/>
      </w:pPr>
      <w:r>
        <w:t>XNNC Fusion: CC 2025 paper metadata reviewed as research inspiration for production-style greedy operator fusion.</w:t>
      </w:r>
    </w:p>
    <w:p>
      <w:pPr>
        <w:pStyle w:val="ListBullet"/>
        <w:spacing w:after="60"/>
      </w:pPr>
      <w:r>
        <w:t>HELM: 2026 compiler-guided heterogeneous LLM execution metadata reviewed as research inspiration for CPU/GPU placement and KV-cache memory management.</w:t>
      </w:r>
    </w:p>
    <w:p>
      <w:pPr>
        <w:pStyle w:val="ListBullet"/>
        <w:spacing w:after="60"/>
      </w:pPr>
      <w:r>
        <w:t>Simon Boehm 2022, How to Optimize a CUDA Matmul Kernel for cuBLAS-like Performance: concrete CUDA SGEMM worklog used as a one-to-one case study for refined AI-P7 multi-level tiling, CommonTilePlanIR fields, resource modeling, autotuning, warp tiling, and runtime kernel selection.</w:t>
      </w:r>
    </w:p>
    <w:p>
      <w:pPr>
        <w:pStyle w:val="ListBullet"/>
        <w:spacing w:after="60"/>
      </w:pPr>
      <w:r>
        <w:t>Midkiff and Padua 1987, Compiler Algorithms for Synchronization: historical precedent for compiler-generated synchronization when loop dependences prevent unconditional parallel execution.</w:t>
      </w:r>
    </w:p>
    <w:p>
      <w:pPr>
        <w:pStyle w:val="ListBullet"/>
        <w:spacing w:after="60"/>
      </w:pPr>
      <w:r>
        <w:t>Polychronopoulos 1988, compiler optimizations for enhancing parallelism: historical precedent for compiler-inserted run-time dependence analysis through bookkeeping and control statements.</w:t>
      </w:r>
    </w:p>
    <w:p>
      <w:pPr>
        <w:pStyle w:val="ListBullet"/>
        <w:spacing w:after="60"/>
      </w:pPr>
      <w:r>
        <w:t>Nicolau 1989, Run-Time Disambiguation: historical precedent for emitting run-time address checks and selecting between conservative and no-interference code paths.</w:t>
      </w:r>
    </w:p>
    <w:p>
      <w:pPr>
        <w:pStyle w:val="ListBullet"/>
        <w:spacing w:after="60"/>
      </w:pPr>
      <w:r>
        <w:t>Saltz, Crowley, Mirchandaney, and Berryman 1990, Run-time scheduling and execution of loops on message passing machines: historical precedent for run-time planning of loops with indirect accesses on distributed-memory systems.</w:t>
      </w:r>
    </w:p>
    <w:p>
      <w:pPr>
        <w:pStyle w:val="ListBullet"/>
        <w:spacing w:after="60"/>
      </w:pPr>
      <w:r>
        <w:t>Rauchwerger and Padua 1994, Privatizing DOALL Test: historical precedent for run-time identification of fully parallel loops and dynamic privatization.</w:t>
      </w:r>
    </w:p>
    <w:p>
      <w:pPr>
        <w:pStyle w:val="ListBullet"/>
        <w:spacing w:after="60"/>
      </w:pPr>
      <w:r>
        <w:t>Bernstein, Cohen, and Maydan 1994, Dynamic memory disambiguation for array references: historical precedent for deferring array-reference disambiguation to run time to enable loop optimizations.</w:t>
      </w:r>
    </w:p>
    <w:p>
      <w:pPr>
        <w:pStyle w:val="ListBullet"/>
        <w:spacing w:after="60"/>
      </w:pPr>
      <w:r>
        <w:t>Rauchwerger and Padua 1995, LRPD Test: historical precedent for speculative run-time parallelization with validation and serial fallback or re-execution when dependence tests fail.</w:t>
      </w:r>
    </w:p>
    <w:p>
      <w:pPr>
        <w:pStyle w:val="ListBullet"/>
        <w:spacing w:after="60"/>
      </w:pPr>
      <w:r>
        <w:t>TVM AutoTVM and Ansor documentation: used as design evidence for the transition from expert schedule templates to automatic sketch generation, learned cost modeling, hardware measurement, and tuning feedback.</w:t>
      </w:r>
    </w:p>
    <w:p>
      <w:pPr>
        <w:pStyle w:val="ListBullet"/>
        <w:spacing w:after="60"/>
      </w:pPr>
      <w:r>
        <w:t>TVM TensorIR and MetaSchedule documentation and RFC: used as design evidence for explicit schedulable tensor programs, multi-level tiling rules, sampled tile factors, SSRSRS spatial/reduction organization, search strategies, tuning databases, and measured schedule selection.</w:t>
      </w:r>
    </w:p>
    <w:p>
      <w:pPr>
        <w:pStyle w:val="ListBullet"/>
        <w:spacing w:after="60"/>
      </w:pPr>
      <w:r>
        <w:t>TVM DLight documentation: used as design evidence for deterministic rule-based GPU scheduling that complements full search for common GEMM, GEMV, reduction, and fallback patterns.</w:t>
      </w:r>
    </w:p>
    <w:p>
      <w:pPr>
        <w:pStyle w:val="ListBullet"/>
        <w:spacing w:after="60"/>
      </w:pPr>
      <w:r>
        <w:t>Open64 LNO: local source review of LNO cache modeling, loop-nest modeling, and tiling/block-size selection used as design evidence for delayed cost-gated plan selection.</w:t>
      </w:r>
    </w:p>
    <w:p>
      <w:pPr>
        <w:pStyle w:val="ListBullet"/>
        <w:spacing w:after="60"/>
      </w:pPr>
      <w:r>
        <w:t>NVIDIA Blackwell architecture, NVFP4, Transformer Engine, and cuDNN frontend documentation: used as design evidence that FP4/NVFP4 changes tiling decisions through native Tensor Core throughput, packed value layout, scale-factor metadata, scale layout requirements, TMA/pipeline legality, and dtype-specific runtime variants.</w:t>
      </w:r>
    </w:p>
    <w:p>
      <w:pPr>
        <w:pStyle w:val="ListBullet"/>
        <w:spacing w:after="60"/>
      </w:pPr>
      <w:r>
        <w:t>NVIDIA CUDA and CUTLASS documentation: used as design evidence for explicit GPU hierarchy, occupancy, shared memory, Tensor Core tiling, asynchronous movement, and pipeline constraints.</w:t>
      </w:r>
    </w:p>
    <w:p>
      <w:pPr>
        <w:pStyle w:val="ListBullet"/>
        <w:spacing w:after="60"/>
      </w:pPr>
      <w:r>
        <w:t>Triton compiler documentation and source metadata: used as design evidence for block meta-parameters, autotune configurations, MLIR-based lowering, target-specific layout/pipeline passes, TMA/MMA lowering, barriers, and tensor-memory handling.</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compiler optimization design</dc:title>
  <dc:subject>Version v0.3 living design skeleton</dc:subject>
  <dc:creator>DSC architecture research</dc:creator>
  <cp:keywords/>
  <dc:description>Generated as a living skeleton from current AI optimization phase-ordering and research-opportunity discussion.</dc:description>
  <cp:lastModifiedBy/>
  <cp:revision>1</cp:revision>
  <dcterms:created xsi:type="dcterms:W3CDTF">2013-12-23T23:15:00Z</dcterms:created>
  <dcterms:modified xsi:type="dcterms:W3CDTF">2013-12-23T23:15:00Z</dcterms:modified>
  <cp:category/>
</cp:coreProperties>
</file>