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F8B4" w14:textId="77777777" w:rsidR="00FF41A4" w:rsidRDefault="00000000">
      <w:pPr>
        <w:spacing w:before="100" w:after="100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BA312" wp14:editId="33EBB1EC">
                <wp:simplePos x="0" y="0"/>
                <wp:positionH relativeFrom="column">
                  <wp:posOffset>2247896</wp:posOffset>
                </wp:positionH>
                <wp:positionV relativeFrom="paragraph">
                  <wp:posOffset>-53336</wp:posOffset>
                </wp:positionV>
                <wp:extent cx="3447416" cy="4634234"/>
                <wp:effectExtent l="0" t="0" r="19684" b="13966"/>
                <wp:wrapNone/>
                <wp:docPr id="36630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6" cy="463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2199CE" w14:textId="77777777" w:rsidR="00FF41A4" w:rsidRDefault="00000000">
                            <w:pPr>
                              <w:shd w:val="clear" w:color="auto" w:fill="FFFF00"/>
                            </w:pPr>
                            <w:r>
                              <w:t>(Delete this yellow text box of instructions when done)</w:t>
                            </w:r>
                          </w:p>
                          <w:p w14:paraId="6F1640B6" w14:textId="77777777" w:rsidR="00FF41A4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00"/>
                              <w:ind w:left="360"/>
                            </w:pPr>
                            <w:r>
                              <w:t>Select the table desired (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or dx) and delete the table not needed.</w:t>
                            </w:r>
                          </w:p>
                          <w:p w14:paraId="43BD6DE5" w14:textId="77777777" w:rsidR="00FF41A4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00"/>
                              <w:ind w:left="360"/>
                            </w:pPr>
                            <w:r>
                              <w:t>Enter assessment for each cell for the domains (columns). For criteria, use the link in the header of the table.</w:t>
                            </w:r>
                          </w:p>
                          <w:p w14:paraId="552DB3B2" w14:textId="77777777" w:rsidR="00FF41A4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00"/>
                              <w:ind w:left="360"/>
                            </w:pPr>
                            <w:r>
                              <w:t>Fill cell color red if high risk and pink if unclear.</w:t>
                            </w:r>
                          </w:p>
                          <w:p w14:paraId="555394C5" w14:textId="77777777" w:rsidR="00FF41A4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00"/>
                              <w:ind w:left="360"/>
                            </w:pPr>
                            <w:r>
                              <w:t>Color the “Subjects and summary risk” column. If for a study, any domain (cell) is red, make the summary cell red. If none are red, but at least one is pink, make summary cell pink.</w:t>
                            </w:r>
                          </w:p>
                          <w:p w14:paraId="027F32FF" w14:textId="77777777" w:rsidR="00FF41A4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00"/>
                              <w:ind w:left="360"/>
                            </w:pPr>
                            <w:r>
                              <w:t>Add up the number of subjects from studies of low, unclear, and high risk and put the sums in the cell to the right of “Summary). If</w:t>
                            </w:r>
                          </w:p>
                          <w:p w14:paraId="64D4038D" w14:textId="77777777" w:rsidR="00FF41A4" w:rsidRDefault="000000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FF00"/>
                              <w:ind w:left="720"/>
                            </w:pPr>
                            <w:r>
                              <w:t>If &gt; 50% of subjects from studies with high risk of bias, then color summary cell red for ‘very serious risk of bias’.</w:t>
                            </w:r>
                          </w:p>
                          <w:p w14:paraId="34992ACB" w14:textId="77777777" w:rsidR="00FF41A4" w:rsidRDefault="000000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hd w:val="clear" w:color="auto" w:fill="FFFF00"/>
                              <w:ind w:left="720"/>
                            </w:pPr>
                            <w:r>
                              <w:t>Else, if &gt; 25% of subjects from studies with high risk of bias, color summary cell pink for ‘Serious risk of bias’.</w:t>
                            </w:r>
                          </w:p>
                          <w:p w14:paraId="730B6DCF" w14:textId="77777777" w:rsidR="00FF41A4" w:rsidRDefault="00FF41A4">
                            <w:pPr>
                              <w:shd w:val="clear" w:color="auto" w:fill="FFFF00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BA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-4.2pt;width:271.45pt;height:3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N95AEAANQDAAAOAAAAZHJzL2Uyb0RvYy54bWysU8Fu2zAMvQ/YPwi6L3YcN22NOMXWIMOA&#10;Yh2Q7QNkWY4FyJJGKbGzrx8le0m69VRMB1oU6afHR2r1MHSKHAU4aXRJ57OUEqG5qaXel/TH9+2H&#10;O0qcZ7pmymhR0pNw9GH9/t2qt4XITGtULYAgiHZFb0vaem+LJHG8FR1zM2OFxmBjoGMeXdgnNbAe&#10;0TuVZGm6THoDtQXDhXN4uhmDdB3xm0Zw/9w0TniiSorcfLQQbRVssl6xYg/MtpJPNNgbWHRMarz0&#10;DLVhnpEDyH+gOsnBONP4GTddYppGchFrwGrm6V/V7FpmRawFxXH2LJP7f7D863FnvwHxwyczYAOD&#10;IL11hcPDUM/QQBe+yJRgHCU8nWUTgyccDxd5fpvPl5RwjOXLRZ4t8oCTXH634PxnYToSNiUF7EuU&#10;ix2fnB9T/6SE25xRst5KpaID++pRATky7OE2rgn9RZrSpC/p/U12F5FfxNw1RBrXaxCBwoa5drwq&#10;IkxpSmM5F13Czg/VMIlVmfqEGuIzwNpaA78o6XGkSup+HhgIStQXjT27n+d5mMHo5De3GTpwHamu&#10;I0xzhCqpp2TcPvpxbnFwLPNPemd5aEWUyH48eLOVUcpAbmQ0ccbRic2YxjzM5rUfsy6Pcf0bAAD/&#10;/wMAUEsDBBQABgAIAAAAIQB2AYqO3gAAAAoBAAAPAAAAZHJzL2Rvd25yZXYueG1sTI/BTsMwEETv&#10;SPyDtUjcWqclhDRkUyEkJK6klbi68ZJEjdeR7TYJX485wXE0o5k35X42g7iS871lhM06AUHcWN1z&#10;i3A8vK1yED4o1mqwTAgLedhXtzelKrSd+IOudWhFLGFfKIQuhLGQ0jcdGeXXdiSO3pd1RoUoXSu1&#10;U1MsN4PcJkkmjeo5LnRqpNeOmnN9MQjTssijPfQ8yvBZu+xs++/3FPH+bn55BhFoDn9h+MWP6FBF&#10;ppO9sPZiQHh4TOOXgLDKUxAxkO+yHYgTwtN2k4KsSvn/QvUDAAD//wMAUEsBAi0AFAAGAAgAAAAh&#10;ALaDOJL+AAAA4QEAABMAAAAAAAAAAAAAAAAAAAAAAFtDb250ZW50X1R5cGVzXS54bWxQSwECLQAU&#10;AAYACAAAACEAOP0h/9YAAACUAQAACwAAAAAAAAAAAAAAAAAvAQAAX3JlbHMvLnJlbHNQSwECLQAU&#10;AAYACAAAACEAArjzfeQBAADUAwAADgAAAAAAAAAAAAAAAAAuAgAAZHJzL2Uyb0RvYy54bWxQSwEC&#10;LQAUAAYACAAAACEAdgGKjt4AAAAKAQAADwAAAAAAAAAAAAAAAAA+BAAAZHJzL2Rvd25yZXYueG1s&#10;UEsFBgAAAAAEAAQA8wAAAEkFAAAAAA==&#10;" strokeweight=".26467mm">
                <v:textbox style="mso-fit-shape-to-text:t">
                  <w:txbxContent>
                    <w:p w14:paraId="472199CE" w14:textId="77777777" w:rsidR="00FF41A4" w:rsidRDefault="00000000">
                      <w:pPr>
                        <w:shd w:val="clear" w:color="auto" w:fill="FFFF00"/>
                      </w:pPr>
                      <w:r>
                        <w:t>(Delete this yellow text box of instructions when done)</w:t>
                      </w:r>
                    </w:p>
                    <w:p w14:paraId="6F1640B6" w14:textId="77777777" w:rsidR="00FF41A4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00"/>
                        <w:ind w:left="360"/>
                      </w:pPr>
                      <w:r>
                        <w:t>Select the table desired (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or dx) and delete the table not needed.</w:t>
                      </w:r>
                    </w:p>
                    <w:p w14:paraId="43BD6DE5" w14:textId="77777777" w:rsidR="00FF41A4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00"/>
                        <w:ind w:left="360"/>
                      </w:pPr>
                      <w:r>
                        <w:t>Enter assessment for each cell for the domains (columns). For criteria, use the link in the header of the table.</w:t>
                      </w:r>
                    </w:p>
                    <w:p w14:paraId="552DB3B2" w14:textId="77777777" w:rsidR="00FF41A4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00"/>
                        <w:ind w:left="360"/>
                      </w:pPr>
                      <w:r>
                        <w:t>Fill cell color red if high risk and pink if unclear.</w:t>
                      </w:r>
                    </w:p>
                    <w:p w14:paraId="555394C5" w14:textId="77777777" w:rsidR="00FF41A4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00"/>
                        <w:ind w:left="360"/>
                      </w:pPr>
                      <w:r>
                        <w:t>Color the “Subjects and summary risk” column. If for a study, any domain (cell) is red, make the summary cell red. If none are red, but at least one is pink, make summary cell pink.</w:t>
                      </w:r>
                    </w:p>
                    <w:p w14:paraId="027F32FF" w14:textId="77777777" w:rsidR="00FF41A4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00"/>
                        <w:ind w:left="360"/>
                      </w:pPr>
                      <w:r>
                        <w:t>Add up the number of subjects from studies of low, unclear, and high risk and put the sums in the cell to the right of “Summary). If</w:t>
                      </w:r>
                    </w:p>
                    <w:p w14:paraId="64D4038D" w14:textId="77777777" w:rsidR="00FF41A4" w:rsidRDefault="000000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FF00"/>
                        <w:ind w:left="720"/>
                      </w:pPr>
                      <w:r>
                        <w:t>If &gt; 50% of subjects from studies with high risk of bias, then color summary cell red for ‘very serious risk of bias’.</w:t>
                      </w:r>
                    </w:p>
                    <w:p w14:paraId="34992ACB" w14:textId="77777777" w:rsidR="00FF41A4" w:rsidRDefault="000000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hd w:val="clear" w:color="auto" w:fill="FFFF00"/>
                        <w:ind w:left="720"/>
                      </w:pPr>
                      <w:r>
                        <w:t>Else, if &gt; 25% of subjects from studies with high risk of bias, color summary cell pink for ‘Serious risk of bias’.</w:t>
                      </w:r>
                    </w:p>
                    <w:p w14:paraId="730B6DCF" w14:textId="77777777" w:rsidR="00FF41A4" w:rsidRDefault="00FF41A4">
                      <w:pPr>
                        <w:shd w:val="clear" w:color="auto" w:fill="FFFF0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</w:t>
      </w:r>
      <w:proofErr w:type="spellEnd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: Risk of bias</w:t>
      </w:r>
    </w:p>
    <w:p w14:paraId="02A8C013" w14:textId="77777777" w:rsidR="00FF41A4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Studies of interventions </w:t>
      </w:r>
    </w:p>
    <w:tbl>
      <w:tblPr>
        <w:tblW w:w="130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8"/>
        <w:gridCol w:w="1602"/>
        <w:gridCol w:w="1725"/>
        <w:gridCol w:w="1260"/>
        <w:gridCol w:w="1260"/>
        <w:gridCol w:w="1260"/>
        <w:gridCol w:w="1170"/>
        <w:gridCol w:w="1080"/>
        <w:gridCol w:w="1231"/>
      </w:tblGrid>
      <w:tr w:rsidR="00FF41A4" w14:paraId="2BB68C2E" w14:textId="77777777">
        <w:tblPrEx>
          <w:tblCellMar>
            <w:top w:w="0" w:type="dxa"/>
            <w:bottom w:w="0" w:type="dxa"/>
          </w:tblCellMar>
        </w:tblPrEx>
        <w:tc>
          <w:tcPr>
            <w:tcW w:w="13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D5299" w14:textId="77777777" w:rsidR="00FF41A4" w:rsidRDefault="00000000">
            <w:r>
              <w:rPr>
                <w:rFonts w:ascii="Times New Roman" w:hAnsi="Times New Roman"/>
                <w:b/>
                <w:bCs/>
              </w:rPr>
              <w:t xml:space="preserve">Table. </w:t>
            </w:r>
            <w:r>
              <w:rPr>
                <w:rFonts w:ascii="Times New Roman" w:hAnsi="Times New Roman"/>
                <w:bCs/>
              </w:rPr>
              <w:t xml:space="preserve">Risk of bias for included studies. Criteria for determinations are from the Cochrane Handbook, Table 8.5.d. Available at </w:t>
            </w:r>
            <w:hyperlink r:id="rId7" w:history="1">
              <w:r>
                <w:rPr>
                  <w:rStyle w:val="Hyperlink"/>
                </w:rPr>
                <w:t>http://han</w:t>
              </w:r>
              <w:bookmarkStart w:id="0" w:name="_Hlt488590729"/>
              <w:bookmarkStart w:id="1" w:name="_Hlt488590730"/>
              <w:r>
                <w:rPr>
                  <w:rStyle w:val="Hyperlink"/>
                </w:rPr>
                <w:t>d</w:t>
              </w:r>
              <w:bookmarkEnd w:id="0"/>
              <w:bookmarkEnd w:id="1"/>
              <w:r>
                <w:rPr>
                  <w:rStyle w:val="Hyperlink"/>
                </w:rPr>
                <w:t>book-5-1.cochrane.org/chapt</w:t>
              </w:r>
              <w:bookmarkStart w:id="2" w:name="_Hlt489301481"/>
              <w:bookmarkStart w:id="3" w:name="_Hlt489301482"/>
              <w:r>
                <w:rPr>
                  <w:rStyle w:val="Hyperlink"/>
                </w:rPr>
                <w:t>e</w:t>
              </w:r>
              <w:bookmarkEnd w:id="2"/>
              <w:bookmarkEnd w:id="3"/>
              <w:r>
                <w:rPr>
                  <w:rStyle w:val="Hyperlink"/>
                </w:rPr>
                <w:t>r_8/table_8_5_d_criteria_for_judging_risk</w:t>
              </w:r>
              <w:bookmarkStart w:id="4" w:name="_Hlt488865403"/>
              <w:bookmarkStart w:id="5" w:name="_Hlt488865404"/>
              <w:r>
                <w:rPr>
                  <w:rStyle w:val="Hyperlink"/>
                </w:rPr>
                <w:t>_</w:t>
              </w:r>
              <w:bookmarkEnd w:id="4"/>
              <w:bookmarkEnd w:id="5"/>
              <w:r>
                <w:rPr>
                  <w:rStyle w:val="Hyperlink"/>
                </w:rPr>
                <w:t>of_bias_in_the_risk_of.htm</w:t>
              </w:r>
            </w:hyperlink>
            <w:r>
              <w:t xml:space="preserve"> </w:t>
            </w:r>
            <w:r>
              <w:rPr>
                <w:rFonts w:ascii="Times New Roman" w:hAnsi="Times New Roman"/>
                <w:bCs/>
              </w:rPr>
              <w:t>.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FF41A4" w14:paraId="35D9714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C8DF7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</w:rPr>
              <w:t>Study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EFA9E" w14:textId="77777777" w:rsidR="00FF41A4" w:rsidRDefault="0000000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Subjects and summary risk*</w:t>
            </w: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180F4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Selection bias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CC649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Performance bias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FE0D2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Detection bias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0AD56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Attrition bias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675F0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Reporting bias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74CC8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Other biases</w:t>
            </w:r>
          </w:p>
        </w:tc>
      </w:tr>
      <w:tr w:rsidR="00FF41A4" w14:paraId="7AFBC95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B2B05" w14:textId="77777777" w:rsidR="00FF41A4" w:rsidRDefault="00FF41A4">
            <w:pPr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E5F8C" w14:textId="77777777" w:rsidR="00FF41A4" w:rsidRDefault="00FF41A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433BC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Random sequence generation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17DC6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Allocation concealment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3118A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Blinding of participants and personnel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4914F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Blinding of outcome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743B0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Incomplete outcome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C956B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Selective reporting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D2BF2" w14:textId="77777777" w:rsidR="00FF41A4" w:rsidRDefault="00000000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bCs/>
              </w:rPr>
              <w:t>E.g.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imbalanced compliance, co-interventions, or other.</w:t>
            </w:r>
          </w:p>
        </w:tc>
      </w:tr>
      <w:tr w:rsidR="00FF41A4" w14:paraId="395F6DD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7F40F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Summary</w:t>
            </w:r>
          </w:p>
        </w:tc>
        <w:tc>
          <w:tcPr>
            <w:tcW w:w="16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ABB31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Total: 1125</w:t>
            </w:r>
            <w:r>
              <w:rPr>
                <w:rFonts w:cs="Calibri"/>
              </w:rPr>
              <w:br/>
              <w:t>Low risk 0%</w:t>
            </w:r>
            <w:r>
              <w:rPr>
                <w:rFonts w:cs="Calibri"/>
              </w:rPr>
              <w:br/>
              <w:t>Unclear risk: 0%</w:t>
            </w:r>
            <w:r>
              <w:rPr>
                <w:rFonts w:cs="Calibri"/>
              </w:rPr>
              <w:br/>
              <w:t>High risk: 100%</w:t>
            </w:r>
          </w:p>
        </w:tc>
        <w:tc>
          <w:tcPr>
            <w:tcW w:w="172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C152D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5390A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9F85E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A0FC7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C3935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08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B8005" w14:textId="77777777" w:rsidR="00FF41A4" w:rsidRDefault="00FF41A4">
            <w:pPr>
              <w:rPr>
                <w:rFonts w:cs="Calibri"/>
              </w:rPr>
            </w:pPr>
          </w:p>
        </w:tc>
        <w:tc>
          <w:tcPr>
            <w:tcW w:w="1231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0A85" w14:textId="77777777" w:rsidR="00FF41A4" w:rsidRDefault="00FF41A4">
            <w:pPr>
              <w:rPr>
                <w:rFonts w:cs="Calibri"/>
              </w:rPr>
            </w:pPr>
          </w:p>
        </w:tc>
      </w:tr>
      <w:tr w:rsidR="00FF41A4" w14:paraId="0D3E8E0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52BDE" w14:textId="77777777" w:rsidR="00FF41A4" w:rsidRDefault="00000000">
            <w:proofErr w:type="spellStart"/>
            <w:r>
              <w:t>Perruzi</w:t>
            </w:r>
            <w:proofErr w:type="spellEnd"/>
            <w:r>
              <w:t>, 1993</w:t>
            </w:r>
            <w:r>
              <w:br/>
              <w:t xml:space="preserve">PMID </w:t>
            </w:r>
            <w:hyperlink r:id="rId8" w:history="1">
              <w:r>
                <w:rPr>
                  <w:rStyle w:val="Hyperlink"/>
                </w:rPr>
                <w:t>8472567</w:t>
              </w:r>
            </w:hyperlink>
          </w:p>
        </w:tc>
        <w:tc>
          <w:tcPr>
            <w:tcW w:w="16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0B2EC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  <w:tc>
          <w:tcPr>
            <w:tcW w:w="172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E852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4A70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96A74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B92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E2022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8CF2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FC87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041472F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A705D" w14:textId="77777777" w:rsidR="00FF41A4" w:rsidRDefault="00000000">
            <w:r>
              <w:rPr>
                <w:rFonts w:ascii="Times New Roman" w:hAnsi="Times New Roman"/>
                <w:shd w:val="clear" w:color="auto" w:fill="F6F8FA"/>
              </w:rPr>
              <w:t>Thorpe 2000</w:t>
            </w:r>
            <w:r>
              <w:rPr>
                <w:rFonts w:ascii="Times New Roman" w:hAnsi="Times New Roman"/>
                <w:shd w:val="clear" w:color="auto" w:fill="F6F8FA"/>
              </w:rPr>
              <w:br/>
              <w:t>PMID </w:t>
            </w:r>
            <w:hyperlink r:id="rId9" w:history="1">
              <w:r>
                <w:rPr>
                  <w:rStyle w:val="Hyperlink"/>
                  <w:rFonts w:ascii="Times New Roman" w:hAnsi="Times New Roman"/>
                  <w:shd w:val="clear" w:color="auto" w:fill="F6F8FA"/>
                </w:rPr>
                <w:t>10594430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57BDF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DFCEA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C9438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F01E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8174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14F36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8BDB4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CA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2A297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4C39AAB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B4E2A" w14:textId="77777777" w:rsidR="00FF41A4" w:rsidRDefault="00000000">
            <w:r>
              <w:t>MacIsaac, 2003</w:t>
            </w:r>
            <w:r>
              <w:br/>
              <w:t xml:space="preserve">PMID </w:t>
            </w:r>
            <w:hyperlink r:id="rId10" w:history="1">
              <w:r>
                <w:rPr>
                  <w:rStyle w:val="Hyperlink"/>
                </w:rPr>
                <w:t>14719427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27255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8EEE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Low risk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1434C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835E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 (non-blinded)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F6EE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High risk </w:t>
            </w:r>
            <w:r>
              <w:rPr>
                <w:rFonts w:cs="Calibri"/>
              </w:rPr>
              <w:br/>
              <w:t>(non-blinded)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FB319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8BB0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D55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599C22F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62476" w14:textId="77777777" w:rsidR="00FF41A4" w:rsidRDefault="00000000">
            <w:r>
              <w:t>Harber, 2006</w:t>
            </w:r>
            <w:r>
              <w:br/>
              <w:t xml:space="preserve">PMID </w:t>
            </w:r>
            <w:hyperlink r:id="rId11" w:history="1">
              <w:r>
                <w:rPr>
                  <w:rStyle w:val="Hyperlink"/>
                </w:rPr>
                <w:t>16913337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1ACBE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49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CC1C0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1BC97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BE87" w14:textId="77777777" w:rsidR="00FF41A4" w:rsidRDefault="00000000">
            <w:r>
              <w:rPr>
                <w:rFonts w:cs="Calibri"/>
              </w:rPr>
              <w:t>Low risk</w:t>
            </w:r>
            <w:r>
              <w:rPr>
                <w:rFonts w:cs="Calibri"/>
              </w:rPr>
              <w:br/>
              <w:t>(non-blinded)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61A6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0E28C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006F9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870CC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7E55191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73ECB" w14:textId="77777777" w:rsidR="00FF41A4" w:rsidRDefault="00000000">
            <w:r>
              <w:lastRenderedPageBreak/>
              <w:t>Mukhopadhyay, 2010</w:t>
            </w:r>
            <w:r>
              <w:br/>
              <w:t xml:space="preserve">PMID </w:t>
            </w:r>
            <w:hyperlink r:id="rId12" w:history="1">
              <w:r>
                <w:rPr>
                  <w:rStyle w:val="Hyperlink"/>
                </w:rPr>
                <w:t>20105285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0C765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250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E1268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 (non-randomized)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4F9C5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EDA2D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 (non-blinded)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4C17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FF41C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4C13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65705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3767954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0124C" w14:textId="77777777" w:rsidR="00FF41A4" w:rsidRDefault="00000000">
            <w:r>
              <w:t>Rezende, 2010</w:t>
            </w:r>
            <w:r>
              <w:br/>
              <w:t xml:space="preserve">PMID </w:t>
            </w:r>
            <w:hyperlink r:id="rId13" w:history="1">
              <w:r>
                <w:rPr>
                  <w:rStyle w:val="Hyperlink"/>
                </w:rPr>
                <w:t>25303693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AB52A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127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4F801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B2000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7471D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 (blinded)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F654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E9B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77B86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BB7E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</w:tr>
      <w:tr w:rsidR="00FF41A4" w14:paraId="5C3DF5C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5DF91" w14:textId="77777777" w:rsidR="00FF41A4" w:rsidRDefault="00000000">
            <w:r>
              <w:t>Riessen, 2015</w:t>
            </w:r>
            <w:r>
              <w:br/>
              <w:t xml:space="preserve">PMID </w:t>
            </w:r>
            <w:hyperlink r:id="rId14" w:history="1">
              <w:r>
                <w:rPr>
                  <w:rStyle w:val="Hyperlink"/>
                </w:rPr>
                <w:t>24635773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E884D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91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FEEE1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High risk </w:t>
            </w:r>
            <w:r>
              <w:rPr>
                <w:rFonts w:cs="Calibri"/>
              </w:rPr>
              <w:br/>
              <w:t>(non-randomized)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BFFCA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97E4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FBF72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06C67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8C26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C7AC0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</w:tr>
      <w:tr w:rsidR="00FF41A4" w14:paraId="4348496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AF849" w14:textId="77777777" w:rsidR="00FF41A4" w:rsidRDefault="00000000">
            <w:r>
              <w:t>Dolman, 2015</w:t>
            </w:r>
            <w:r>
              <w:br/>
              <w:t xml:space="preserve">PMID </w:t>
            </w:r>
            <w:hyperlink r:id="rId15" w:history="1">
              <w:r>
                <w:rPr>
                  <w:rStyle w:val="Hyperlink"/>
                </w:rPr>
                <w:t>26164619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3E14F" w14:textId="77777777" w:rsidR="00FF41A4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248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776E7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High risk </w:t>
            </w:r>
            <w:r>
              <w:rPr>
                <w:rFonts w:cs="Calibri"/>
              </w:rPr>
              <w:br/>
              <w:t>(non-randomized)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68A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24A3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A3896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9B53F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Unclear risk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B1B29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High risk†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DD59B" w14:textId="77777777" w:rsidR="00FF41A4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Low risk</w:t>
            </w:r>
          </w:p>
        </w:tc>
      </w:tr>
      <w:tr w:rsidR="00FF41A4" w14:paraId="798E17E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45001" w14:textId="77777777" w:rsidR="00FF41A4" w:rsidRDefault="00FF41A4">
            <w:pPr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E0590" w14:textId="77777777" w:rsidR="00FF41A4" w:rsidRDefault="00FF41A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83EEE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Random sequence generation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2ED3A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Allocation concealment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3AFD2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Blinding of participants and personnel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CFEC0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Blinding of outcome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60882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Incomplete outcome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12757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Selective reporting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EEC5B" w14:textId="77777777" w:rsidR="00FF41A4" w:rsidRDefault="00000000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bCs/>
              </w:rPr>
              <w:t>E.g.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imbalanced compliance, co-interventions, or other.</w:t>
            </w:r>
          </w:p>
        </w:tc>
      </w:tr>
      <w:tr w:rsidR="00FF41A4" w14:paraId="44CD41B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8DA21" w14:textId="77777777" w:rsidR="00FF41A4" w:rsidRDefault="00FF41A4">
            <w:pPr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507B8" w14:textId="77777777" w:rsidR="00FF41A4" w:rsidRDefault="00FF41A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5EE9E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Selection bias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FF5E5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Performance bias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92B83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Detection bias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6E17B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Attrition bias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521ED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Reporting bias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331E1" w14:textId="77777777" w:rsidR="00FF41A4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Other biases</w:t>
            </w:r>
          </w:p>
        </w:tc>
      </w:tr>
      <w:tr w:rsidR="00FF41A4" w14:paraId="71A82C76" w14:textId="77777777">
        <w:tblPrEx>
          <w:tblCellMar>
            <w:top w:w="0" w:type="dxa"/>
            <w:bottom w:w="0" w:type="dxa"/>
          </w:tblCellMar>
        </w:tblPrEx>
        <w:tc>
          <w:tcPr>
            <w:tcW w:w="13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F773B" w14:textId="77777777" w:rsidR="00FF41A4" w:rsidRDefault="0000000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Notes:</w:t>
            </w:r>
          </w:p>
          <w:p w14:paraId="166DD32D" w14:textId="77777777" w:rsidR="00FF41A4" w:rsidRDefault="00000000">
            <w:r>
              <w:rPr>
                <w:rFonts w:ascii="Times New Roman" w:hAnsi="Times New Roman"/>
                <w:bCs/>
              </w:rPr>
              <w:t xml:space="preserve">* Summary determination based on Cochrane Handbook, Table 8.7. Available at </w:t>
            </w:r>
            <w:hyperlink r:id="rId16" w:history="1">
              <w:r>
                <w:rPr>
                  <w:rStyle w:val="Hyperlink"/>
                </w:rPr>
                <w:t>http://handbo</w:t>
              </w:r>
              <w:bookmarkStart w:id="6" w:name="_Hlt488873710"/>
              <w:bookmarkStart w:id="7" w:name="_Hlt488873711"/>
              <w:r>
                <w:rPr>
                  <w:rStyle w:val="Hyperlink"/>
                </w:rPr>
                <w:t>o</w:t>
              </w:r>
              <w:bookmarkEnd w:id="6"/>
              <w:bookmarkEnd w:id="7"/>
              <w:r>
                <w:rPr>
                  <w:rStyle w:val="Hyperlink"/>
                </w:rPr>
                <w:t>k-5-1.cochrane.org/chapter_8/table_8_5_d_criteria_for_judging_risk_of_bias_in_the_risk_of.htm</w:t>
              </w:r>
            </w:hyperlink>
            <w:r>
              <w:t xml:space="preserve"> </w:t>
            </w:r>
          </w:p>
          <w:p w14:paraId="0E4B166E" w14:textId="77777777" w:rsidR="00FF41A4" w:rsidRDefault="00000000">
            <w:r>
              <w:t xml:space="preserve">† </w:t>
            </w:r>
            <w:r>
              <w:rPr>
                <w:rFonts w:cs="Calibri"/>
              </w:rPr>
              <w:t>Trial was not prospectively registered.</w:t>
            </w:r>
          </w:p>
        </w:tc>
      </w:tr>
    </w:tbl>
    <w:p w14:paraId="5BBE950A" w14:textId="77777777" w:rsidR="00FF41A4" w:rsidRDefault="00FF41A4">
      <w:pPr>
        <w:spacing w:before="100" w:after="100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</w:p>
    <w:p w14:paraId="3968894F" w14:textId="77777777" w:rsidR="00FF41A4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Studies of interventions </w:t>
      </w:r>
    </w:p>
    <w:p w14:paraId="7A686C05" w14:textId="77777777" w:rsidR="00FF41A4" w:rsidRDefault="00000000">
      <w:pPr>
        <w:pStyle w:val="NormalWeb"/>
        <w:spacing w:before="0" w:after="240"/>
      </w:pPr>
      <w:r>
        <w:rPr>
          <w:rFonts w:ascii="Segoe UI" w:hAnsi="Segoe UI" w:cs="Segoe UI"/>
          <w:color w:val="24292E"/>
        </w:rPr>
        <w:t>Based on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QUADAS-2</w:t>
        </w:r>
      </w:hyperlink>
      <w:r>
        <w:rPr>
          <w:rFonts w:ascii="Segoe UI" w:hAnsi="Segoe UI" w:cs="Segoe UI"/>
          <w:color w:val="24292E"/>
        </w:rPr>
        <w:t>.</w:t>
      </w:r>
    </w:p>
    <w:tbl>
      <w:tblPr>
        <w:tblW w:w="133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4"/>
        <w:gridCol w:w="1520"/>
        <w:gridCol w:w="2393"/>
        <w:gridCol w:w="1609"/>
        <w:gridCol w:w="2717"/>
        <w:gridCol w:w="2347"/>
      </w:tblGrid>
      <w:tr w:rsidR="00FF41A4" w14:paraId="0B66E17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04F13B" w14:textId="77777777" w:rsidR="00FF41A4" w:rsidRDefault="00000000">
            <w:pPr>
              <w:spacing w:after="240"/>
              <w:jc w:val="center"/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Study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A73030" w14:textId="77777777" w:rsidR="00FF41A4" w:rsidRDefault="00000000">
            <w:pPr>
              <w:spacing w:after="240"/>
              <w:jc w:val="center"/>
            </w:pPr>
            <w:r>
              <w:rPr>
                <w:rFonts w:ascii="Segoe UI" w:hAnsi="Segoe UI" w:cs="Segoe UI"/>
                <w:b/>
                <w:bCs/>
                <w:color w:val="24292E"/>
              </w:rPr>
              <w:t>PMID</w:t>
            </w:r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06D6B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b/>
                <w:bCs/>
                <w:color w:val="24292E"/>
              </w:rPr>
              <w:t>Patient selection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25C64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b/>
                <w:bCs/>
                <w:color w:val="24292E"/>
              </w:rPr>
              <w:t>Index test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BF3CD8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b/>
                <w:bCs/>
                <w:color w:val="24292E"/>
              </w:rPr>
              <w:t>Reference standard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8E2679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b/>
                <w:bCs/>
                <w:color w:val="24292E"/>
              </w:rPr>
              <w:t>Flow and timing</w:t>
            </w:r>
          </w:p>
        </w:tc>
      </w:tr>
      <w:tr w:rsidR="00FF41A4" w14:paraId="3612E2FF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E4BFFE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Marik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A62F5D" w14:textId="77777777" w:rsidR="00FF41A4" w:rsidRDefault="00000000">
            <w:pPr>
              <w:spacing w:after="240"/>
            </w:pPr>
            <w:hyperlink r:id="rId18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25572383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3F68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64B0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3A04AB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D1F0E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5685FE53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B22C3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Duus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14951" w14:textId="77777777" w:rsidR="00FF41A4" w:rsidRDefault="00000000">
            <w:pPr>
              <w:spacing w:after="240"/>
            </w:pPr>
            <w:hyperlink r:id="rId19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25262530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B65DE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E1B19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26B4A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AF497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0D96A899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7A9C34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Tong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75FDE" w14:textId="77777777" w:rsidR="00FF41A4" w:rsidRDefault="00000000">
            <w:pPr>
              <w:spacing w:after="240"/>
            </w:pPr>
            <w:hyperlink r:id="rId20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25907844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58D8E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46C7B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29A1A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9EB51B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6565EC4B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EBC9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Benomar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6B45F" w14:textId="77777777" w:rsidR="00FF41A4" w:rsidRDefault="00000000">
            <w:pPr>
              <w:spacing w:after="240"/>
            </w:pPr>
            <w:hyperlink r:id="rId21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20665001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E2521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505D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CFBB7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017EAF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2BD0F1CD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26E898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Monnet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B5BF8B" w14:textId="77777777" w:rsidR="00FF41A4" w:rsidRDefault="00000000">
            <w:pPr>
              <w:spacing w:after="240"/>
            </w:pPr>
            <w:hyperlink r:id="rId22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16540963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23DC4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87539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05F08F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A8A85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4E94A0D8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90504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Monnet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21F20" w14:textId="77777777" w:rsidR="00FF41A4" w:rsidRDefault="00000000">
            <w:pPr>
              <w:spacing w:after="240"/>
            </w:pPr>
            <w:hyperlink r:id="rId23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19237902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91031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F60FE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A8C47F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86F5E8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7D8B3B32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EB626D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Preau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BAEE9" w14:textId="77777777" w:rsidR="00FF41A4" w:rsidRDefault="00000000">
            <w:pPr>
              <w:spacing w:after="240"/>
            </w:pPr>
            <w:hyperlink r:id="rId24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20016380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E20D24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EF885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0C302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B60283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4CF5C76A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6AE4AC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Monge Garica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D38FE5" w14:textId="77777777" w:rsidR="00FF41A4" w:rsidRDefault="00000000">
            <w:pPr>
              <w:spacing w:after="240"/>
            </w:pPr>
            <w:hyperlink r:id="rId25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22449292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4363C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E160CE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BA3D7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9433F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0FF51C72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00D58" w14:textId="77777777" w:rsidR="00FF41A4" w:rsidRDefault="00000000">
            <w:pPr>
              <w:spacing w:after="240"/>
            </w:pPr>
            <w:proofErr w:type="spellStart"/>
            <w:r>
              <w:rPr>
                <w:rFonts w:ascii="Segoe UI" w:hAnsi="Segoe UI" w:cs="Segoe UI"/>
                <w:color w:val="24292E"/>
              </w:rPr>
              <w:t>Kupersztych-Hagege</w:t>
            </w:r>
            <w:proofErr w:type="spellEnd"/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3CA8A9" w14:textId="77777777" w:rsidR="00FF41A4" w:rsidRDefault="00000000">
            <w:pPr>
              <w:spacing w:after="240"/>
            </w:pPr>
            <w:hyperlink r:id="rId26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23985531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1F1E02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EF88F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26AE0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B06EA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0C269A85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1084C" w14:textId="77777777" w:rsidR="00FF41A4" w:rsidRDefault="00000000">
            <w:pPr>
              <w:spacing w:after="240"/>
            </w:pPr>
            <w:proofErr w:type="spellStart"/>
            <w:r>
              <w:rPr>
                <w:rFonts w:ascii="Segoe UI" w:hAnsi="Segoe UI" w:cs="Segoe UI"/>
                <w:color w:val="24292E"/>
              </w:rPr>
              <w:t>Lanspa</w:t>
            </w:r>
            <w:proofErr w:type="spellEnd"/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B81F01" w14:textId="77777777" w:rsidR="00FF41A4" w:rsidRDefault="00000000">
            <w:pPr>
              <w:spacing w:after="240"/>
            </w:pPr>
            <w:hyperlink r:id="rId27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23084132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A4992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35489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DDD69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93CCDA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  <w:tr w:rsidR="00FF41A4" w14:paraId="37F965D6" w14:textId="77777777">
        <w:tblPrEx>
          <w:tblCellMar>
            <w:top w:w="0" w:type="dxa"/>
            <w:bottom w:w="0" w:type="dxa"/>
          </w:tblCellMar>
        </w:tblPrEx>
        <w:tc>
          <w:tcPr>
            <w:tcW w:w="27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2933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Michard</w:t>
            </w:r>
          </w:p>
        </w:tc>
        <w:tc>
          <w:tcPr>
            <w:tcW w:w="15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5A574" w14:textId="77777777" w:rsidR="00FF41A4" w:rsidRDefault="00000000">
            <w:pPr>
              <w:spacing w:after="240"/>
            </w:pPr>
            <w:hyperlink r:id="rId28" w:history="1">
              <w:r>
                <w:rPr>
                  <w:rStyle w:val="Hyperlink"/>
                  <w:rFonts w:ascii="Segoe UI" w:hAnsi="Segoe UI" w:cs="Segoe UI"/>
                  <w:color w:val="0366D6"/>
                  <w:u w:val="none"/>
                </w:rPr>
                <w:t>11534577</w:t>
              </w:r>
            </w:hyperlink>
          </w:p>
        </w:tc>
        <w:tc>
          <w:tcPr>
            <w:tcW w:w="23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92723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F34F1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EE97B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FC4B0" w14:textId="77777777" w:rsidR="00FF41A4" w:rsidRDefault="00000000">
            <w:pPr>
              <w:spacing w:after="240"/>
            </w:pPr>
            <w:r>
              <w:rPr>
                <w:rFonts w:ascii="Segoe UI" w:hAnsi="Segoe UI" w:cs="Segoe UI"/>
                <w:color w:val="24292E"/>
              </w:rPr>
              <w:t>? risk</w:t>
            </w:r>
          </w:p>
        </w:tc>
      </w:tr>
    </w:tbl>
    <w:p w14:paraId="75C48AAC" w14:textId="77777777" w:rsidR="00FF41A4" w:rsidRDefault="00000000">
      <w:pPr>
        <w:pStyle w:val="NormalWeb"/>
        <w:spacing w:before="0" w:after="240"/>
      </w:pPr>
      <w:r>
        <w:rPr>
          <w:rStyle w:val="Strong"/>
          <w:rFonts w:ascii="Segoe UI" w:hAnsi="Segoe UI" w:cs="Segoe UI"/>
          <w:color w:val="24292E"/>
        </w:rPr>
        <w:t>Footnotes:</w:t>
      </w:r>
      <w:r>
        <w:rPr>
          <w:rFonts w:ascii="Segoe UI" w:hAnsi="Segoe UI" w:cs="Segoe UI"/>
          <w:color w:val="24292E"/>
        </w:rPr>
        <w:t> * †</w:t>
      </w:r>
    </w:p>
    <w:p w14:paraId="1008D0B6" w14:textId="77777777" w:rsidR="00FF41A4" w:rsidRDefault="00FF41A4">
      <w:pPr>
        <w:spacing w:before="100" w:after="100"/>
        <w:rPr>
          <w:rFonts w:ascii="Times New Roman" w:eastAsia="Times New Roman" w:hAnsi="Times New Roman"/>
          <w:b/>
          <w:bCs/>
          <w:kern w:val="3"/>
          <w:sz w:val="24"/>
          <w:szCs w:val="48"/>
        </w:rPr>
      </w:pPr>
    </w:p>
    <w:sectPr w:rsidR="00FF41A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BC8E" w14:textId="77777777" w:rsidR="00A919C2" w:rsidRDefault="00A919C2">
      <w:pPr>
        <w:spacing w:after="0"/>
      </w:pPr>
      <w:r>
        <w:separator/>
      </w:r>
    </w:p>
  </w:endnote>
  <w:endnote w:type="continuationSeparator" w:id="0">
    <w:p w14:paraId="49EB0CE3" w14:textId="77777777" w:rsidR="00A919C2" w:rsidRDefault="00A91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488B" w14:textId="77777777" w:rsidR="00A919C2" w:rsidRDefault="00A919C2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401F37E" w14:textId="77777777" w:rsidR="00A919C2" w:rsidRDefault="00A919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465"/>
    <w:multiLevelType w:val="multilevel"/>
    <w:tmpl w:val="4CDE63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029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41A4"/>
    <w:rsid w:val="009E3759"/>
    <w:rsid w:val="00A919C2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701"/>
  <w15:docId w15:val="{F60DC5A0-324F-4CC2-A025-45446AD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Spacing">
    <w:name w:val="No Spacing"/>
    <w:pPr>
      <w:suppressAutoHyphens/>
      <w:spacing w:after="0"/>
    </w:pPr>
  </w:style>
  <w:style w:type="character" w:customStyle="1" w:styleId="st">
    <w:name w:val="st"/>
    <w:basedOn w:val="DefaultParagraphFont"/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8472567" TargetMode="External"/><Relationship Id="rId13" Type="http://schemas.openxmlformats.org/officeDocument/2006/relationships/hyperlink" Target="http://pubmed.gov/25303693" TargetMode="External"/><Relationship Id="rId18" Type="http://schemas.openxmlformats.org/officeDocument/2006/relationships/hyperlink" Target="http://pubmed.gov/25572383" TargetMode="External"/><Relationship Id="rId26" Type="http://schemas.openxmlformats.org/officeDocument/2006/relationships/hyperlink" Target="http://pubmed.gov/239855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bmed.gov/20665001" TargetMode="External"/><Relationship Id="rId7" Type="http://schemas.openxmlformats.org/officeDocument/2006/relationships/hyperlink" Target="http://handbook-5-1.cochrane.org/chapter_8/table_8_5_d_criteria_for_judging_risk_of_bias_in_the_risk_of.htm" TargetMode="External"/><Relationship Id="rId12" Type="http://schemas.openxmlformats.org/officeDocument/2006/relationships/hyperlink" Target="http://pubmed.gov/20105285" TargetMode="External"/><Relationship Id="rId17" Type="http://schemas.openxmlformats.org/officeDocument/2006/relationships/hyperlink" Target="http://www.bristol.ac.uk/social-community-medicine/projects/quadas/quadas-2/" TargetMode="External"/><Relationship Id="rId25" Type="http://schemas.openxmlformats.org/officeDocument/2006/relationships/hyperlink" Target="http://pubmed.gov/22449292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dbook-5-1.cochrane.org/chapter_8/table_8_5_d_criteria_for_judging_risk_of_bias_in_the_risk_of.htm" TargetMode="External"/><Relationship Id="rId20" Type="http://schemas.openxmlformats.org/officeDocument/2006/relationships/hyperlink" Target="http://pubmed.gov/2590784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med.gov/16913337" TargetMode="External"/><Relationship Id="rId24" Type="http://schemas.openxmlformats.org/officeDocument/2006/relationships/hyperlink" Target="http://pubmed.gov/200163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bmed.gov/26164619" TargetMode="External"/><Relationship Id="rId23" Type="http://schemas.openxmlformats.org/officeDocument/2006/relationships/hyperlink" Target="http://pubmed.gov/19237902" TargetMode="External"/><Relationship Id="rId28" Type="http://schemas.openxmlformats.org/officeDocument/2006/relationships/hyperlink" Target="http://pubmed.gov/11534577" TargetMode="External"/><Relationship Id="rId10" Type="http://schemas.openxmlformats.org/officeDocument/2006/relationships/hyperlink" Target="http://pubmed.gov/14719427" TargetMode="External"/><Relationship Id="rId19" Type="http://schemas.openxmlformats.org/officeDocument/2006/relationships/hyperlink" Target="http://pubmed.gov/2526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med.gov/10594430" TargetMode="External"/><Relationship Id="rId14" Type="http://schemas.openxmlformats.org/officeDocument/2006/relationships/hyperlink" Target="http://pubmed.gov/24635773" TargetMode="External"/><Relationship Id="rId22" Type="http://schemas.openxmlformats.org/officeDocument/2006/relationships/hyperlink" Target="http://pubmed.gov/16540963" TargetMode="External"/><Relationship Id="rId27" Type="http://schemas.openxmlformats.org/officeDocument/2006/relationships/hyperlink" Target="http://pubmed.gov/23084132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2446</Characters>
  <Application>Microsoft Office Word</Application>
  <DocSecurity>0</DocSecurity>
  <Lines>259</Lines>
  <Paragraphs>183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Badgett</dc:creator>
  <cp:lastModifiedBy>Bob Badgett</cp:lastModifiedBy>
  <cp:revision>2</cp:revision>
  <cp:lastPrinted>2017-08-01T11:12:00Z</cp:lastPrinted>
  <dcterms:created xsi:type="dcterms:W3CDTF">2023-11-15T17:45:00Z</dcterms:created>
  <dcterms:modified xsi:type="dcterms:W3CDTF">2023-11-15T17:45:00Z</dcterms:modified>
</cp:coreProperties>
</file>