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013d4ae2bb181ae91e0a5db9fbb66f45c1b840"/>
      <w:r>
        <w:t xml:space="preserve">OpenQSE Keynote 2 Session 02 Technical Transcript</w:t>
      </w:r>
      <w:bookmarkEnd w:id="20"/>
    </w:p>
    <w:p>
      <w:pPr>
        <w:pStyle w:val="FirstParagraph"/>
      </w:pPr>
      <w:r>
        <w:t xml:space="preserve">Date: July 24, 2026</w:t>
      </w:r>
      <w:r>
        <w:t xml:space="preserve"> </w:t>
      </w:r>
      <w:r>
        <w:t xml:space="preserve">Original duration: 38m 8s</w:t>
      </w:r>
    </w:p>
    <w:p>
      <w:pPr>
        <w:pStyle w:val="Heading2"/>
      </w:pPr>
      <w:bookmarkStart w:id="21" w:name="keynote-framing-and-ecosystem-context"/>
      <w:r>
        <w:t xml:space="preserve">Keynote Framing and Ecosystem Context</w:t>
      </w:r>
      <w:bookmarkEnd w:id="21"/>
    </w:p>
    <w:p>
      <w:pPr>
        <w:pStyle w:val="FirstParagraph"/>
      </w:pPr>
      <w:r>
        <w:rPr>
          <w:b/>
        </w:rPr>
        <w:t xml:space="preserve">Room:</w:t>
      </w:r>
      <w:r>
        <w:t xml:space="preserve"> </w:t>
      </w:r>
      <w:r>
        <w:t xml:space="preserve">OpenQSE event. So, you know, I was asked to talk a little bit about the considerations as we’re continuing to design for the HPC, for the quantum HPC ecosystem that we’re building up, some considerations, some things to think about. So I know that we’ve all been diving in very deep, going technical details on the different work groups we’ve been doing that. on a weekly, bi-weekly basis for months now, talking about the details, the components, all of this. This was a major week for quantum and scientific computing. Not only do we have the QCUF happening and OpenQSE, and happening right now is the Quantum PI, the Oscar PI meeting happening in Maryland. Also in our computing ecosystem writ large, as you know, we have the Genesis Summit that just happened a couple of days ago.</w:t>
      </w:r>
    </w:p>
    <w:p>
      <w:pPr>
        <w:pStyle w:val="BodyText"/>
      </w:pPr>
      <w:r>
        <w:rPr>
          <w:b/>
        </w:rPr>
        <w:t xml:space="preserve">Room:</w:t>
      </w:r>
      <w:r>
        <w:t xml:space="preserve"> </w:t>
      </w:r>
      <w:r>
        <w:t xml:space="preserve">In Chicago, there’s a huge global quantum summit happening.</w:t>
      </w:r>
    </w:p>
    <w:p>
      <w:pPr>
        <w:pStyle w:val="Heading2"/>
      </w:pPr>
      <w:bookmarkStart w:id="22" w:name="Xc76f98328dcf99dfe771310235a18acaebf5984"/>
      <w:r>
        <w:t xml:space="preserve">DOE Quantum Supercomputing Blueprint and 2028 Target</w:t>
      </w:r>
      <w:bookmarkEnd w:id="22"/>
    </w:p>
    <w:p>
      <w:pPr>
        <w:pStyle w:val="FirstParagraph"/>
      </w:pPr>
      <w:r>
        <w:rPr>
          <w:b/>
        </w:rPr>
        <w:t xml:space="preserve">Room:</w:t>
      </w:r>
      <w:r>
        <w:t xml:space="preserve"> </w:t>
      </w:r>
      <w:r>
        <w:t xml:space="preserve">This is the blueprint for DOE’s quantum supercomputing. We had been working on this for about 9 months in a culmination of several representatives from the National Labs who came together really with the premise of how we’re going to be thinking about quantum computing in the next couple of years. But in this blueprint, we talk about a few things. The first is a, as a trigger, is a threshold to bring a, at least 100 logical qubit system running 10 to the 4 to 10 to the 5 hard logical operations by 2028.</w:t>
      </w:r>
    </w:p>
    <w:p>
      <w:pPr>
        <w:pStyle w:val="BodyText"/>
      </w:pPr>
      <w:r>
        <w:rPr>
          <w:b/>
        </w:rPr>
        <w:t xml:space="preserve">Room:</w:t>
      </w:r>
      <w:r>
        <w:t xml:space="preserve"> </w:t>
      </w:r>
      <w:r>
        <w:t xml:space="preserve">Not only was the idea of having this system and then what can we do with it, How can we ensure that we have some early success on the system, that we show that we’re on a viable path forward on a roadmap as we continue as the technology matures, as we get increasing cubic counts, fidelities, et cetera. So the second major component is to build the competencies around that system. And around that threshold, this is early fault tolerance systems, so to build up the programming expertise, to build up the early system software environment that that’s going to need to execute, the compilation tool chains, looking at the standardization, the benchmarks, all those sort of components to basically execute that system and to get it to operate on a on a target application. The blueprint roadmap projects logical-qubit growth into the mid-2030s.</w:t>
      </w:r>
    </w:p>
    <w:p>
      <w:pPr>
        <w:pStyle w:val="BodyText"/>
      </w:pPr>
      <w:r>
        <w:rPr>
          <w:b/>
        </w:rPr>
        <w:t xml:space="preserve">Room:</w:t>
      </w:r>
      <w:r>
        <w:t xml:space="preserve"> </w:t>
      </w:r>
      <w:r>
        <w:t xml:space="preserve">So the top part is the delivery target of at least 100 logical qubits. Application thresholds were used to judge when the system would produce useful results. So as you can kind of see, chemistry embedding fragmented portions of workflows embedded into quantum. I won’t go into this in too detail, but I’m just trying to start building up some data for us to have a conversation. But kind of going into this, this is in the quantum chemistry fragmented embedding space. But this type of work with this offloaded quantum for portions of the calculation, you know, so we’re seeing that a couple of times.</w:t>
      </w:r>
    </w:p>
    <w:p>
      <w:pPr>
        <w:pStyle w:val="BodyText"/>
      </w:pPr>
      <w:r>
        <w:rPr>
          <w:b/>
        </w:rPr>
        <w:t xml:space="preserve">Room:</w:t>
      </w:r>
      <w:r>
        <w:t xml:space="preserve"> </w:t>
      </w:r>
      <w:r>
        <w:t xml:space="preserve">Some of the work that he’s doing is kind of also in that same premise, large-scale simulations with offloading to quantum for particular parts of the workload. to gain a more accurate result, pulling it back into the overall simulation. So that’s something that we want to look at, and that’s a very nice pairing between the large-scale HPC simulations that we’ve already been doing, that we are very expert in doing, and to get more resolution, more clarity, more understanding of complexity from the implementation of the quantum computing.</w:t>
      </w:r>
    </w:p>
    <w:p>
      <w:pPr>
        <w:pStyle w:val="Heading2"/>
      </w:pPr>
      <w:bookmarkStart w:id="23" w:name="ecosystem-readiness-and-ecp-lessons"/>
      <w:r>
        <w:t xml:space="preserve">Ecosystem Readiness and ECP Lessons</w:t>
      </w:r>
      <w:bookmarkEnd w:id="23"/>
    </w:p>
    <w:p>
      <w:pPr>
        <w:pStyle w:val="FirstParagraph"/>
      </w:pPr>
      <w:r>
        <w:rPr>
          <w:b/>
        </w:rPr>
        <w:t xml:space="preserve">Room:</w:t>
      </w:r>
      <w:r>
        <w:t xml:space="preserve"> </w:t>
      </w:r>
      <w:r>
        <w:t xml:space="preserve">One of them was on software. And, you know, a lot of the folks were really focused on quantum software pure, so less on the hybrid software. And because of this target, because of this blueprint, obviously it was a conversation point, The idea is that it’s going to be so hard to get the technology matured into that level by 2028 to hit that peak. On the other hand, if we’ve got a system that actually hits that target, what’s the next question going to be, you know, from the user community? And if we have an environment set up for those power users who can hit that threshold peak, and then there’s not anything behind it.</w:t>
      </w:r>
    </w:p>
    <w:p>
      <w:pPr>
        <w:pStyle w:val="BodyText"/>
      </w:pPr>
      <w:r>
        <w:rPr>
          <w:b/>
        </w:rPr>
        <w:t xml:space="preserve">Room:</w:t>
      </w:r>
      <w:r>
        <w:t xml:space="preserve"> </w:t>
      </w:r>
      <w:r>
        <w:t xml:space="preserve">We start developing that ecosystem after the fact, we’re going to miss out on our user community, and we’re going to have a lull space where our community is not going to be able to access and utilize this. So it makes a lot of sense to bring up and to be working on the ecosystem writ large, which is what we are doing in OpenQSE. OpenQSE visibility among DOE quantum programs was identified as a concern. The discussion also pointed back to the Exascale Computing Project as a useful precedent.</w:t>
      </w:r>
    </w:p>
    <w:p>
      <w:pPr>
        <w:pStyle w:val="BodyText"/>
      </w:pPr>
      <w:r>
        <w:rPr>
          <w:b/>
        </w:rPr>
        <w:t xml:space="preserve">Room:</w:t>
      </w:r>
      <w:r>
        <w:t xml:space="preserve"> </w:t>
      </w:r>
      <w:r>
        <w:t xml:space="preserve">So, well, a very significant investment over several years, many people to really work on our exascale readiness in our software environment and getting those prepared for the systems that we’re putting on it. What we’re trying to do is we’re building up a lot of stuff from, you know, from under trying to understand how to bring quantum and HPC together, how to bring these components, how to make all of this work. The ECP software community has many lessons learned that can inform OpenQSE planning.</w:t>
      </w:r>
    </w:p>
    <w:p>
      <w:pPr>
        <w:pStyle w:val="BodyText"/>
      </w:pPr>
      <w:r>
        <w:rPr>
          <w:b/>
        </w:rPr>
        <w:t xml:space="preserve">Room:</w:t>
      </w:r>
      <w:r>
        <w:t xml:space="preserve"> </w:t>
      </w:r>
      <w:r>
        <w:t xml:space="preserve">So what I really want to encourage is I know that we’re doing this in some spaces, but I think that there’s actually some sort of white paper or something to really look at what we’re doing now in the environment, what we can learn from ECP, how we should be thinking about this in the future. And I just, you know, and personally, I realized going through this, that I missed something in the contribution to the blueprint, that we really didn’t have a really concrete, articulated plan for afterwards, or even mention of needing a genuine plan afterwards for the support of the software environment and how that works. And that was one of the lessons learned that they had from the ECP.</w:t>
      </w:r>
    </w:p>
    <w:p>
      <w:pPr>
        <w:pStyle w:val="BodyText"/>
      </w:pPr>
      <w:r>
        <w:rPr>
          <w:b/>
        </w:rPr>
        <w:t xml:space="preserve">Room:</w:t>
      </w:r>
      <w:r>
        <w:t xml:space="preserve"> </w:t>
      </w:r>
      <w:r>
        <w:t xml:space="preserve">The broader point was that OpenQSE should use lessons from prior HPC software-readiness efforts while building the quantum-HPC ecosystem.</w:t>
      </w:r>
    </w:p>
    <w:p>
      <w:pPr>
        <w:pStyle w:val="Heading2"/>
      </w:pPr>
      <w:bookmarkStart w:id="24" w:name="genesis-federation-identity-and-trust"/>
      <w:r>
        <w:t xml:space="preserve">Genesis, Federation, Identity, and Trust</w:t>
      </w:r>
      <w:bookmarkEnd w:id="24"/>
    </w:p>
    <w:p>
      <w:pPr>
        <w:pStyle w:val="FirstParagraph"/>
      </w:pPr>
      <w:r>
        <w:rPr>
          <w:b/>
        </w:rPr>
        <w:t xml:space="preserve">Room:</w:t>
      </w:r>
      <w:r>
        <w:t xml:space="preserve"> </w:t>
      </w:r>
      <w:r>
        <w:t xml:space="preserve">The Genesis Summit on July 22 emphasized federation. The federation discussion focused on distributed scientific infrastructure. This is part of the American Science Cloud, the work that’s being done, but you know, about the Federation aiming to shift the burden from the scientist to the infrastructure. We’re going to have we’re going to have systems, we’re not going to have one ecosystem ruled by all, right? As we’re building up all of this AI infrastructure. There’s going to have to be implementations, there’s going to be, there’s not one policy. We’re going to have dispersed resources. Again, with quantum, we’re only going to have a few systems. We’re only going to have a few systems within the DOE complex.</w:t>
      </w:r>
    </w:p>
    <w:p>
      <w:pPr>
        <w:pStyle w:val="BodyText"/>
      </w:pPr>
      <w:r>
        <w:rPr>
          <w:b/>
        </w:rPr>
        <w:t xml:space="preserve">Room:</w:t>
      </w:r>
      <w:r>
        <w:t xml:space="preserve"> </w:t>
      </w:r>
      <w:r>
        <w:t xml:space="preserve">There’s going to be a few systems regionally and nationally, but we’re dealing with scarce resource that we also want to try to do work with. And we have to figure out how to make end-to-end workflows work with this across systems that are owned by different institutions. that are owned with different policies, administration, technical components, all of this. And this does trickle down into the design of our software and the considerations that we need to think about.</w:t>
      </w:r>
    </w:p>
    <w:p>
      <w:pPr>
        <w:pStyle w:val="BodyText"/>
      </w:pPr>
      <w:r>
        <w:rPr>
          <w:b/>
        </w:rPr>
        <w:t xml:space="preserve">Room:</w:t>
      </w:r>
      <w:r>
        <w:t xml:space="preserve"> </w:t>
      </w:r>
      <w:r>
        <w:t xml:space="preserve">So I won’t go through all of this, but, you know, we have trust, identity, fundamental, you know, we have single sign-on for, as now as part of Genesis, but the whole trust environment for the data passing, all of these components, these things we need to think about for the quantum side and what is delta to what is already being established within our ecosystem. And remember, this is just the DOE ecosystem, right? There’s going to be delta for that. from what the regional efforts are doing, a system that we would also want to potentially access, and for the companies themselves.</w:t>
      </w:r>
    </w:p>
    <w:p>
      <w:pPr>
        <w:pStyle w:val="Heading2"/>
      </w:pPr>
      <w:bookmarkStart w:id="25" w:name="X64c5f05178a8c3dfd8da8e4f57eae7da3a3130b"/>
      <w:r>
        <w:t xml:space="preserve">Infrastructure Ecosystem and Distributed Workflow Requirements</w:t>
      </w:r>
      <w:bookmarkEnd w:id="25"/>
    </w:p>
    <w:p>
      <w:pPr>
        <w:pStyle w:val="FirstParagraph"/>
      </w:pPr>
      <w:r>
        <w:rPr>
          <w:b/>
        </w:rPr>
        <w:t xml:space="preserve">Room:</w:t>
      </w:r>
      <w:r>
        <w:t xml:space="preserve"> </w:t>
      </w:r>
      <w:r>
        <w:t xml:space="preserve">Okay, so trying to encapsulate some of those ideas, all of that together, I kind of think about this like in three ecosystems. So one, we have the infrastructure ecosystem, we have a technical ecosystem, and we have a community ecosystem. So I kind of talked a little bit about that infrastructure ecosystem already with the Federation of the systems. We’ve got geography, we’ve got policy in mind. We’ve got in the Chicago ecosystem, it’s a pretty robust environment. As you might know, there’s a large initiative going on in Chicago, this IQMP, Illinois Quantum Microelectronics Park, where this is going to be seeding several systems. The tenant or the anchor tenant is Si Quantum. They’re building a very large facility, but there’s several other companies that are going to be seeded. out there.</w:t>
      </w:r>
    </w:p>
    <w:p>
      <w:pPr>
        <w:pStyle w:val="BodyText"/>
      </w:pPr>
      <w:r>
        <w:rPr>
          <w:b/>
        </w:rPr>
        <w:t xml:space="preserve">Room:</w:t>
      </w:r>
      <w:r>
        <w:t xml:space="preserve"> </w:t>
      </w:r>
      <w:r>
        <w:t xml:space="preserve">In addition, you’ve got the entire Chicago ecosystem from the different universities. So all of these components are all of these folk, all of these entities are dealing with quantum. They’re looking to seat systems or be integrated into the services of the quantum. We’ve got obviously the supercomputing of Argonne. We’ve got definite interest for quantum HPC efforts from the industry space coming in. But again, because these are sparse resources, then how is it that you establish end-to-end workflow within these environments? What does the networking look like? But really more importantly, where’s the co-locality of the systems themselves? What does the software environment look like? What does the access allocation, scheduling, resource management, idle protection of idle time on the systems when you’re across you know, when you’re across different institutes.</w:t>
      </w:r>
    </w:p>
    <w:p>
      <w:pPr>
        <w:pStyle w:val="BodyText"/>
      </w:pPr>
      <w:r>
        <w:rPr>
          <w:b/>
        </w:rPr>
        <w:t xml:space="preserve">Room:</w:t>
      </w:r>
      <w:r>
        <w:t xml:space="preserve"> </w:t>
      </w:r>
      <w:r>
        <w:t xml:space="preserve">So as Gina mentioned in her talk too, that there’s infrastructure and federation is a big technical question, but it’s probably even a bigger policy and administration question. And these are the sort of things that when we think about the dynamism and potentially the feedback from quantum systems, back over to the application side of HPC.</w:t>
      </w:r>
    </w:p>
    <w:p>
      <w:pPr>
        <w:pStyle w:val="Heading2"/>
      </w:pPr>
      <w:bookmarkStart w:id="26" w:name="X19356fb1953da6b42c17544a54f4f3c4c39376b"/>
      <w:r>
        <w:t xml:space="preserve">Technical Ecosystem and End-to-End Workflow Operations</w:t>
      </w:r>
      <w:bookmarkEnd w:id="26"/>
    </w:p>
    <w:p>
      <w:pPr>
        <w:pStyle w:val="FirstParagraph"/>
      </w:pPr>
      <w:r>
        <w:rPr>
          <w:b/>
        </w:rPr>
        <w:t xml:space="preserve">Room:</w:t>
      </w:r>
      <w:r>
        <w:t xml:space="preserve"> </w:t>
      </w:r>
      <w:r>
        <w:t xml:space="preserve">Okay, and so then to the technical ecosystem. The technical ecosystem discussion focused on system operations, all the components, so not just the software environment, but all the components that go in that have to happen or be present for an end-to-end workflow coming from the HPC side, offloading to quantum, coming back, all these different layers, all these things that have to happen. And so this chart on the left-hand side, you’ve got the HPC environment. On the right, you’ve got the quantum environment. And then you have to deal with the workflow orchestration between it, the scheduling components, the observability, the telemetry, the reproducibility components and assets. data management, security governance policy, all of those components have to come together in order to actually make this work.</w:t>
      </w:r>
    </w:p>
    <w:p>
      <w:pPr>
        <w:pStyle w:val="BodyText"/>
      </w:pPr>
      <w:r>
        <w:rPr>
          <w:b/>
        </w:rPr>
        <w:t xml:space="preserve">Room:</w:t>
      </w:r>
      <w:r>
        <w:t xml:space="preserve"> </w:t>
      </w:r>
      <w:r>
        <w:t xml:space="preserve">We need to think about this now because we’re thinking about this one, we’re thinking about this for Genesis and how all this is going to work together. So what quantum is going to be coming into it. We also have to think about it because we do want to have that end-to-end workflow that once we have the technology peaking and getting to a certain point, we are able within a reasonable amount of time, turn that around and get the user community working in that space. So this is hybrid at quantum HPC. But again, this is not, again, we have to remember that this is not the full story with Genesis and coming in. What is AI, the AI components of all of this?</w:t>
      </w:r>
    </w:p>
    <w:p>
      <w:pPr>
        <w:pStyle w:val="Heading2"/>
      </w:pPr>
      <w:bookmarkStart w:id="27" w:name="user-personas-and-workflow-requirements"/>
      <w:r>
        <w:t xml:space="preserve">User Personas and Workflow Requirements</w:t>
      </w:r>
      <w:bookmarkEnd w:id="27"/>
    </w:p>
    <w:p>
      <w:pPr>
        <w:pStyle w:val="FirstParagraph"/>
      </w:pPr>
      <w:r>
        <w:rPr>
          <w:b/>
        </w:rPr>
        <w:t xml:space="preserve">Room:</w:t>
      </w:r>
      <w:r>
        <w:t xml:space="preserve"> </w:t>
      </w:r>
      <w:r>
        <w:t xml:space="preserve">our software environment. So to the user community, so this is a little bit of an exercise I did when I was in Munich to basically think about the different user segments, the user profiles, personas that we have utilizing our standard, so really standard mod sim. And I had little clever little names from them, like the clickers, the librarians, you know, the ones, power users, bare metal heads. And I was really thinking and constantly asking, you know, this sort of person, what are they doing on this system? This was a study that we did at LRZ for a while and just kind of gained some understanding of the different layers, key needs, and understandings. I’ve been trying to do this with the AI space. But basically kind of the same idea. kind of what are the buckets of the AI users?</w:t>
      </w:r>
    </w:p>
    <w:p>
      <w:pPr>
        <w:pStyle w:val="BodyText"/>
      </w:pPr>
      <w:r>
        <w:rPr>
          <w:b/>
        </w:rPr>
        <w:t xml:space="preserve">Room:</w:t>
      </w:r>
      <w:r>
        <w:t xml:space="preserve"> </w:t>
      </w:r>
      <w:r>
        <w:t xml:space="preserve">What sort of resources do they need? What sort of software services needs do they need? So now, a work that we’re doing with some folks in Germany that’s going to appear hopefully before too long is that we’re working on quantum user personas. Again, yesterday, there was this large debate that was going back and forth. And it basically came down to, no, users want this. And then like, no, users want this. And then it became very, very clear, wait a minute. define your user. I know it’s simplistic, but we are at that phase because the quantum is coming out of the physics realm. We are, a lot of our users right now are what in the HPC space I’d call the bare metal heads. You know, they’re the ones that understand deeply about the qubits.</w:t>
      </w:r>
    </w:p>
    <w:p>
      <w:pPr>
        <w:pStyle w:val="BodyText"/>
      </w:pPr>
      <w:r>
        <w:rPr>
          <w:b/>
        </w:rPr>
        <w:t xml:space="preserve">Room:</w:t>
      </w:r>
      <w:r>
        <w:t xml:space="preserve"> </w:t>
      </w:r>
      <w:r>
        <w:t xml:space="preserve">They understand about the layer of the hardware in order to start executing on their results. But that next wave of users that we have to prepare for, are they going to be that way? And they shouldn’t be, because that’s going to, they’re not going to be able to utilize, if they’re not going to be able to utilize their domain science, if they have to, if the barriers that they have to have that level of hardware understanding.</w:t>
      </w:r>
    </w:p>
    <w:p>
      <w:pPr>
        <w:pStyle w:val="BodyText"/>
      </w:pPr>
      <w:r>
        <w:rPr>
          <w:b/>
        </w:rPr>
        <w:t xml:space="preserve">Room:</w:t>
      </w:r>
      <w:r>
        <w:t xml:space="preserve"> </w:t>
      </w:r>
      <w:r>
        <w:t xml:space="preserve">So in any case, This is something that I would really like to look at, because as we’re looking at the different workflows, especially for the workflow group, I think it’s really important that we assign the users and understand what that user actually needs when they’re doing that workflow, because that’s going to be paramount for us really defining the right requirements to get this done.</w:t>
      </w:r>
    </w:p>
    <w:p>
      <w:pPr>
        <w:pStyle w:val="Heading2"/>
      </w:pPr>
      <w:bookmarkStart w:id="28" w:name="cross-ecosystem-layers-and-main-takeaway"/>
      <w:r>
        <w:t xml:space="preserve">Cross-Ecosystem Layers and Main Takeaway</w:t>
      </w:r>
      <w:bookmarkEnd w:id="28"/>
    </w:p>
    <w:p>
      <w:pPr>
        <w:pStyle w:val="FirstParagraph"/>
      </w:pPr>
      <w:r>
        <w:rPr>
          <w:b/>
        </w:rPr>
        <w:t xml:space="preserve">Room:</w:t>
      </w:r>
      <w:r>
        <w:t xml:space="preserve"> </w:t>
      </w:r>
      <w:r>
        <w:t xml:space="preserve">at them side by side by side, quantum, HPC AI, then I start looking at it at a couple of different layers. So I started looking at it at the hardware resources layer. So what sort of partitions, what sort of file systems, what sort of, you know, what is the simulator profile for the quantum users? What does it have to look like? This is where things like, in order for them to do their jobs, What sort of latency requirements do they have? What sort of networking? What sort of access models? And we’re kind of doing that with the architecture group, I think, but that’s kind of 1 space to look at. Another one would be the software platforms. Again, what sort of, I mean, the HPC realm, We’ve got schedulers in the MPI. What do we have for the quantum?</w:t>
      </w:r>
    </w:p>
    <w:p>
      <w:pPr>
        <w:pStyle w:val="BodyText"/>
      </w:pPr>
      <w:r>
        <w:rPr>
          <w:b/>
        </w:rPr>
        <w:t xml:space="preserve">Room:</w:t>
      </w:r>
      <w:r>
        <w:t xml:space="preserve"> </w:t>
      </w:r>
      <w:r>
        <w:t xml:space="preserve">How is those, how are those schedulers different? How is the job being broken down, scheduled, sent out, idled, frameworks for the AI. And then the reason I think this is also important is because especially with Genesis, there’s going to be design decisions made. that could affect us for the integration of quantum. And I would also advocate that in future meetings that we’re constantly having updates coming from that ecosystem, from that development community to understand what sort of design decisions are being made, what sort of things are happening in order for us to be able to align with it or react to it. Okay, services and support. Governance and policy.</w:t>
      </w:r>
    </w:p>
    <w:p>
      <w:pPr>
        <w:pStyle w:val="BodyText"/>
      </w:pPr>
      <w:r>
        <w:rPr>
          <w:b/>
        </w:rPr>
        <w:t xml:space="preserve">Room:</w:t>
      </w:r>
      <w:r>
        <w:t xml:space="preserve"> </w:t>
      </w:r>
      <w:r>
        <w:t xml:space="preserve">So if one thing I just want to put into your mind, what happens when we have a quantum system at one institution, the HPC system at another institution, be that at two different DOE labs, regional, whatever, who’s the manager, who’s the worker? If you have like a quantum science center or a large instrument center for the quantum system, you know, it’s going to start devolving, involving itself. It’s probably going to have very much a manager type of allocation policy and work environment. How is it going to receive signals or how is it going to receive jobs from the HPC that might be, you know, another state away or, you know, on the other side of the country, et cetera? And does that affect our scheduling of the systems?</w:t>
      </w:r>
    </w:p>
    <w:p>
      <w:pPr>
        <w:pStyle w:val="BodyText"/>
      </w:pPr>
      <w:r>
        <w:rPr>
          <w:b/>
        </w:rPr>
        <w:t xml:space="preserve">Room:</w:t>
      </w:r>
      <w:r>
        <w:t xml:space="preserve"> </w:t>
      </w:r>
      <w:r>
        <w:t xml:space="preserve">So the folks working on the scheduling on the resource management, we’re talking about systems in close proximity to one another or within the same administrative realm, but what if that’s not the case? Okay, and then this was just kind of an example I was coming up with, that everything works fine, that you’ve got And actually, I think I saw a version of this on the slides for the architecture of the software group. You’ve got a token system between the environments. But then you have some sort of calibration drift on the system, and it goes and it screws up, you know, the HPC allocation on the national. lab system side, something like that.</w:t>
      </w:r>
    </w:p>
    <w:p>
      <w:pPr>
        <w:pStyle w:val="BodyText"/>
      </w:pPr>
      <w:r>
        <w:rPr>
          <w:b/>
        </w:rPr>
        <w:t xml:space="preserve">Room:</w:t>
      </w:r>
      <w:r>
        <w:t xml:space="preserve"> </w:t>
      </w:r>
      <w:r>
        <w:t xml:space="preserve">So again, we need to be thinking about the workflows, not just from the actual interactions and kind of a spherical cow space of a protected environment, but what that’s actually going to look like for our ecosystem. So I guess my biggest take away here on all of this is that quantum advantage, how quantum is actually going to be a usable component to all of this and all of the work that we’re doing and thinking about is going to come from the ecosystem design itself. And it’s not going to come from just the qubit technology alone. It’s not to disparage the amazing work that everyone is doing in the quantum hardware companies by any means. job is very hard.</w:t>
      </w:r>
    </w:p>
    <w:p>
      <w:pPr>
        <w:pStyle w:val="BodyText"/>
      </w:pPr>
      <w:r>
        <w:rPr>
          <w:b/>
        </w:rPr>
        <w:t xml:space="preserve">Room:</w:t>
      </w:r>
      <w:r>
        <w:t xml:space="preserve"> </w:t>
      </w:r>
      <w:r>
        <w:t xml:space="preserve">But I think it is important for us at this phase to be thinking about the ecosystem design and a lot of these several and these parameters, the sort of users, what their needs are, what’s going to happen with the locality, co-locality. But then I’d also like to start thinking about like larger ecosystem models for how this would all come together. also then leveraging what we’re doing and paying attention to our HPC and AI brethren and how we can be implementing so that we’re also not siloing for, creating siloed solutions that’s going to end up making it harder for us to integrate in the future. So integration, federation, ecosystem, these are all very nice words that we should be thinking about.</w:t>
      </w:r>
    </w:p>
    <w:p>
      <w:pPr>
        <w:pStyle w:val="Heading2"/>
      </w:pPr>
      <w:bookmarkStart w:id="29" w:name="X1dfedff8f7e75c14ec3b4668a33240b2efbc08f"/>
      <w:r>
        <w:t xml:space="preserve">Q&amp;A: Identity, Personas, Readiness, and Governance</w:t>
      </w:r>
      <w:bookmarkEnd w:id="29"/>
    </w:p>
    <w:p>
      <w:pPr>
        <w:pStyle w:val="FirstParagraph"/>
      </w:pPr>
      <w:r>
        <w:rPr>
          <w:b/>
        </w:rPr>
        <w:t xml:space="preserve">Room:</w:t>
      </w:r>
      <w:r>
        <w:t xml:space="preserve"> </w:t>
      </w:r>
      <w:r>
        <w:t xml:space="preserve">Could you talk a little bit more about the policy and the sort of drive at the national labs level for user identity and sort of the single sign-on? And what are the steps for ensuring that across the federation or federated resources one has a single energy for a user and driving things from that on. Okay, so for where that’s been happening with Genesis, maybe Scott, is that a you question? Yeah, so if you could describe state-of-the-art where things are in sort of providing an identity of a user across federated systems at the national lab level and policy. Yeah, yeah, I mean they they came to agree with literally that, yeah, yeah, so I mean it is, I don’t know the details, Thomas, Thomas is.</w:t>
      </w:r>
    </w:p>
    <w:p>
      <w:pPr>
        <w:pStyle w:val="BodyText"/>
      </w:pPr>
      <w:r>
        <w:rPr>
          <w:b/>
        </w:rPr>
        <w:t xml:space="preserve">Room:</w:t>
      </w:r>
      <w:r>
        <w:t xml:space="preserve"> </w:t>
      </w:r>
      <w:r>
        <w:t xml:space="preserve">There’s an identity document under the AMSEC effort that is defining all these, where you have effectively a service mesh and you can auth that. The real issue with the single sign-on is the policy to allow reciprocity or across labs to say, I trust you. If, you know, if you trust this person at Argonne, I’ll trust them at ORNL too. But as far as the identity management and the auth out to the single sign-on, those mechanisms are all there. Do you mean like authentication of a person? So there’s a concerted effort to manage that and then work through that with the lawyers and the security people and stuff like that.</w:t>
      </w:r>
    </w:p>
    <w:p>
      <w:pPr>
        <w:pStyle w:val="BodyText"/>
      </w:pPr>
      <w:r>
        <w:rPr>
          <w:b/>
        </w:rPr>
        <w:t xml:space="preserve">Room:</w:t>
      </w:r>
      <w:r>
        <w:t xml:space="preserve"> </w:t>
      </w:r>
      <w:r>
        <w:t xml:space="preserve">The discussion also noted that European efforts such as EuroHPC are working on federation across HPC, AI, and quantum systems. So this is also being actively worked on in that space as well as they’ve got a big integration grant to pull together all of the quantum systems, which are which are connected to HPC systems at the various data centers, providing examples for aligning the quantum and the HPC access, you know, together. The quantum persona work came from a German research group, including doctoral students and Wolfgang Maurer.</w:t>
      </w:r>
    </w:p>
    <w:p>
      <w:pPr>
        <w:pStyle w:val="BodyText"/>
      </w:pPr>
      <w:r>
        <w:rPr>
          <w:b/>
        </w:rPr>
        <w:t xml:space="preserve">Room:</w:t>
      </w:r>
      <w:r>
        <w:t xml:space="preserve"> </w:t>
      </w:r>
      <w:r>
        <w:t xml:space="preserve">And this was interviews that they did at IEEE Quantum Week. One of the questions that for me opens up is there’s a wide range of readiness across organizations to prepare for this work. And so they kind of drove the conversation and then other entities and other efforts sprung up. And you have to constantly go back over and over again, just because that you, you covered, you know, you’ve covered and you’ve aligned a couple of groups, you have to go back and do it over and over again. And we’re having a paradigm shift with fault tolerant coming, which really questions what we’re going to have to change or what can we modify, what we have to throw out, what we have to do differently.</w:t>
      </w:r>
    </w:p>
    <w:p>
      <w:pPr>
        <w:pStyle w:val="BodyText"/>
      </w:pPr>
      <w:r>
        <w:rPr>
          <w:b/>
        </w:rPr>
        <w:t xml:space="preserve">Room:</w:t>
      </w:r>
      <w:r>
        <w:t xml:space="preserve"> </w:t>
      </w:r>
      <w:r>
        <w:t xml:space="preserve">We’ve got the dynamism of the software environment coming together, the hardware itself evolving in an ecosystem building and a quantum ecosystem building on top of a developing and evolving HPC AI ecosystem. The blueprint had just been released, and Section 5 was identified as especially relevant to ecosystem and integration feedback. But if you have any comments or anything, so section 5 is kind of on this ecosystem, on the integration components. You know, it’s fairly, I mean, especially this group in particular, I think if you read it, your initial response is going to be yes, and, because I think a lot of it we’ve been covering in our community. for so long that it’s probably going to be fairly obvious.</w:t>
      </w:r>
    </w:p>
    <w:p>
      <w:pPr>
        <w:pStyle w:val="BodyText"/>
      </w:pPr>
      <w:r>
        <w:rPr>
          <w:b/>
        </w:rPr>
        <w:t xml:space="preserve">Room:</w:t>
      </w:r>
      <w:r>
        <w:t xml:space="preserve"> </w:t>
      </w:r>
      <w:r>
        <w:t xml:space="preserve">The data-governance question asked whether governance and security should be implemented as policy, as an OpenQSE architecture layer, or both. Existing Genesis strategies should be reviewed before duplicating governance mechanisms, and AI framework control-plane and security concepts may provide useful analogies for quantum systems.</w:t>
      </w:r>
    </w:p>
    <w:p>
      <w:pPr>
        <w:pStyle w:val="BodyText"/>
      </w:pPr>
      <w:r>
        <w:rPr>
          <w:b/>
        </w:rPr>
        <w:t xml:space="preserve">Room:</w:t>
      </w:r>
      <w:r>
        <w:t xml:space="preserve"> </w:t>
      </w:r>
      <w:r>
        <w:t xml:space="preserve">The open question was whether quantum systems should adopt similar governance and security layers.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2026-07-30T18:06:21Z</dcterms:created>
  <dcterms:modified xsi:type="dcterms:W3CDTF">2026-07-30T18:06:21Z</dcterms:modified>
</cp:coreProperties>
</file>

<file path=docProps/custom.xml><?xml version="1.0" encoding="utf-8"?>
<Properties xmlns="http://schemas.openxmlformats.org/officeDocument/2006/custom-properties" xmlns:vt="http://schemas.openxmlformats.org/officeDocument/2006/docPropsVTypes"/>
</file>