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172b4d"/>
          <w:sz w:val="30"/>
          <w:szCs w:val="30"/>
        </w:rPr>
      </w:pPr>
      <w:bookmarkStart w:colFirst="0" w:colLast="0" w:name="_3uxbk4chd0l1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0"/>
          <w:szCs w:val="30"/>
          <w:rtl w:val="0"/>
        </w:rPr>
        <w:t xml:space="preserve">Quantum Platform 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20esdlytcap9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c9372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9372c"/>
          <w:sz w:val="21"/>
          <w:szCs w:val="21"/>
          <w:rtl w:val="0"/>
        </w:rPr>
        <w:t xml:space="preserve">Create a current-state snapshot of vendor QPU capabilities, software stacks, and platform APIs. Use this to guide integration strategies and future-proof the open stack against evolving hardware and software interfaces.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e5hyv9edd38x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Session Chairs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40" w:lineRule="auto"/>
        <w:ind w:left="720" w:hanging="360"/>
        <w:rPr>
          <w:b w:val="1"/>
        </w:rPr>
      </w:pPr>
      <w:bookmarkStart w:colFirst="0" w:colLast="0" w:name="_efh5yrkvsq98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ORNL: Daniel Chaves Claudino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beforeAutospacing="0" w:line="240" w:lineRule="auto"/>
        <w:ind w:left="720" w:hanging="360"/>
        <w:rPr>
          <w:b w:val="1"/>
        </w:rPr>
      </w:pPr>
      <w:bookmarkStart w:colFirst="0" w:colLast="0" w:name="_ezmn0ro7aseo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IonQ: Coleman Collins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fwdo83mb8m6s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Prompts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key hardware metrics (qubit count, connectivity, coherence, gate sets, error rates) do vendors publish—and in what formats?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type of features can be exposed by the hardware? Calibration? gate operations? other?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platform information should be exposed so that system administrators and operational people can make decisions on scheduling/orchestration/maintenance?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How do different providers categorize and expose platform APIs for resource management, runtime control, and device maintenance?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examples can be shared for mid-circuit measurements and related error correction/mitigation activity? How do they see these changing from NISQ to FT?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Who are the consumers/roles of this layer?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are the non-quantum features that you're hearing from customers that we can standardize on, which are not differentiable for business purpose? logs? storage? scheduling?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Where do you draw the line between the job of the QPU vs the common software stack. IE: "everything else that you need to turn the QPU into a useful computational device"?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