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报告周期</w:t>
      </w:r>
    </w:p>
    <w:p>
      <w:r>
        <w:t>{{ report_period }}</w:t>
      </w:r>
    </w:p>
    <w:p>
      <w:r>
        <w:t>一. 本周摘要</w:t>
      </w:r>
    </w:p>
    <w:p>
      <w:r>
        <w:t>{{ summary }}</w:t>
      </w:r>
    </w:p>
    <w:p>
      <w:r>
        <w:t>二. 关键进展</w:t>
      </w:r>
    </w:p>
    <w:p>
      <w:r>
        <w:t>{{ highlights }}</w:t>
      </w:r>
    </w:p>
    <w:p>
      <w:r>
        <w:t>三. 关键指标</w:t>
      </w:r>
    </w:p>
    <w:p>
      <w:r>
        <w:t>{{ metrics }}</w:t>
      </w:r>
    </w:p>
    <w:p>
      <w:r>
        <w:t>四. 风险与问题</w:t>
      </w:r>
    </w:p>
    <w:p>
      <w:r>
        <w:t>{{ risks }}</w:t>
      </w:r>
    </w:p>
    <w:p>
      <w:r>
        <w:t>五. 下周计划</w:t>
      </w:r>
    </w:p>
    <w:p>
      <w:r>
        <w:t>{{ next_week_plan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