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CE" w:rsidRDefault="006A65CE" w:rsidP="006A65CE">
      <w:pPr>
        <w:pStyle w:val="Titre2"/>
        <w:spacing w:line="360" w:lineRule="auto"/>
      </w:pPr>
      <w:r>
        <w:t>Modeling principles</w:t>
      </w:r>
    </w:p>
    <w:p w:rsidR="0094228C" w:rsidRPr="0094228C" w:rsidRDefault="0094228C" w:rsidP="0094228C">
      <w:r>
        <w:t>The following is e</w:t>
      </w:r>
      <w:bookmarkStart w:id="0" w:name="_GoBack"/>
      <w:bookmarkEnd w:id="0"/>
      <w:r>
        <w:t xml:space="preserve">xtracted from </w:t>
      </w:r>
      <w:r>
        <w:t xml:space="preserve">Yann </w:t>
      </w:r>
      <w:proofErr w:type="spellStart"/>
      <w:r>
        <w:t>Boursiac</w:t>
      </w:r>
      <w:proofErr w:type="spellEnd"/>
      <w:r>
        <w:t xml:space="preserve">, Christophe </w:t>
      </w:r>
      <w:proofErr w:type="spellStart"/>
      <w:r>
        <w:t>Pradal</w:t>
      </w:r>
      <w:proofErr w:type="spellEnd"/>
      <w:r>
        <w:t xml:space="preserve">, Fabrice Bauget, </w:t>
      </w:r>
      <w:proofErr w:type="spellStart"/>
      <w:r>
        <w:t>Mikaël</w:t>
      </w:r>
      <w:proofErr w:type="spellEnd"/>
      <w:r>
        <w:t xml:space="preserve"> Lucas, </w:t>
      </w:r>
      <w:proofErr w:type="spellStart"/>
      <w:r>
        <w:t>Stathis</w:t>
      </w:r>
      <w:proofErr w:type="spellEnd"/>
      <w:r>
        <w:t xml:space="preserve"> </w:t>
      </w:r>
      <w:proofErr w:type="spellStart"/>
      <w:r>
        <w:t>Delivorias</w:t>
      </w:r>
      <w:proofErr w:type="spellEnd"/>
      <w:r>
        <w:t xml:space="preserve">, Christophe Godin, Christophe </w:t>
      </w:r>
      <w:proofErr w:type="spellStart"/>
      <w:r>
        <w:t>Maurel</w:t>
      </w:r>
      <w:proofErr w:type="spellEnd"/>
      <w:r>
        <w:t xml:space="preserve">, Phenotyping and modeling of root hydraulic architecture reveal critical determinants of axial water transport, </w:t>
      </w:r>
      <w:r>
        <w:rPr>
          <w:rStyle w:val="Accentuation"/>
        </w:rPr>
        <w:t>Plant Physiology</w:t>
      </w:r>
      <w:r>
        <w:t xml:space="preserve">, 2022;, kiac281, </w:t>
      </w:r>
      <w:hyperlink r:id="rId4" w:history="1">
        <w:r>
          <w:rPr>
            <w:rStyle w:val="Lienhypertexte"/>
          </w:rPr>
          <w:t>https://doi.org/10.1093/plphys/kiac281</w:t>
        </w:r>
      </w:hyperlink>
    </w:p>
    <w:p w:rsidR="006A65CE" w:rsidRDefault="006A65CE" w:rsidP="006A65CE">
      <w:pPr>
        <w:spacing w:line="360" w:lineRule="auto"/>
        <w:ind w:firstLine="720"/>
      </w:pPr>
      <w:r>
        <w:t xml:space="preserve">The hydraulic aspects of </w:t>
      </w:r>
      <w:proofErr w:type="spellStart"/>
      <w:r>
        <w:t>HydroRoot</w:t>
      </w:r>
      <w:proofErr w:type="spellEnd"/>
      <w:r w:rsidDel="009302BC">
        <w:t xml:space="preserve"> </w:t>
      </w:r>
      <w:r>
        <w:t xml:space="preserve">consisted in two main components: the radial water flow between the bathing solution and the xylem vessels and the axial transport </w:t>
      </w:r>
      <w:r w:rsidRPr="00876726">
        <w:rPr>
          <w:color w:val="0070C0"/>
        </w:rPr>
        <w:t>through</w:t>
      </w:r>
      <w:r>
        <w:t xml:space="preserve"> the xylem vessels. Following </w:t>
      </w:r>
      <w:proofErr w:type="spellStart"/>
      <w:r>
        <w:t>Doussan</w:t>
      </w:r>
      <w:proofErr w:type="spellEnd"/>
      <w:r>
        <w:t xml:space="preserve"> and colleagues </w:t>
      </w:r>
      <w:r>
        <w:fldChar w:fldCharType="begin"/>
      </w:r>
      <w:r>
        <w:instrText xml:space="preserve"> ADDIN EN.CITE &lt;EndNote&gt;&lt;Cite&gt;&lt;Author&gt;Doussan&lt;/Author&gt;&lt;Year&gt;1998&lt;/Year&gt;&lt;RecNum&gt;2875&lt;/RecNum&gt;&lt;DisplayText&gt;(Doussan et al., 1998a; Doussan et al., 1998b)&lt;/DisplayText&gt;&lt;record&gt;&lt;rec-number&gt;2875&lt;/rec-number&gt;&lt;foreign-keys&gt;&lt;key app="EN" db-id="p0wxs0swdf2ss7etex259ewhss2wfee9ta9a" timestamp="0"&gt;2875&lt;/key&gt;&lt;/foreign-keys&gt;&lt;ref-type name="Journal Article"&gt;17&lt;/ref-type&gt;&lt;contributors&gt;&lt;authors&gt;&lt;author&gt;Doussan, C.&lt;/author&gt;&lt;author&gt;Pages, L.&lt;/author&gt;&lt;author&gt;Vercambre, G.&lt;/author&gt;&lt;/authors&gt;&lt;/contributors&gt;&lt;titles&gt;&lt;title&gt;Modelling of the hydraulic architecture of root systems: an integrated approach to water absorption - Model description&lt;/title&gt;&lt;secondary-title&gt;Ann. Bot.&lt;/secondary-title&gt;&lt;/titles&gt;&lt;periodical&gt;&lt;full-title&gt;Ann. Bot.&lt;/full-title&gt;&lt;/periodical&gt;&lt;pages&gt;213-223&lt;/pages&gt;&lt;volume&gt;81&lt;/volume&gt;&lt;dates&gt;&lt;year&gt;1998&lt;/year&gt;&lt;/dates&gt;&lt;urls&gt;&lt;/urls&gt;&lt;/record&gt;&lt;/Cite&gt;&lt;Cite&gt;&lt;Author&gt;Doussan&lt;/Author&gt;&lt;Year&gt;1998&lt;/Year&gt;&lt;RecNum&gt;2874&lt;/RecNum&gt;&lt;record&gt;&lt;rec-number&gt;2874&lt;/rec-number&gt;&lt;foreign-keys&gt;&lt;key app="EN" db-id="p0wxs0swdf2ss7etex259ewhss2wfee9ta9a" timestamp="0"&gt;2874&lt;/key&gt;&lt;/foreign-keys&gt;&lt;ref-type name="Journal Article"&gt;17&lt;/ref-type&gt;&lt;contributors&gt;&lt;authors&gt;&lt;author&gt;Doussan, C.&lt;/author&gt;&lt;author&gt;Vercambre, G.&lt;/author&gt;&lt;author&gt;Pages, L.&lt;/author&gt;&lt;/authors&gt;&lt;/contributors&gt;&lt;titles&gt;&lt;title&gt;Modelling of the hydraulic architecture of root systems: an integrated approach to water absorption - Distribution of axial and radial conductances in maize&lt;/title&gt;&lt;secondary-title&gt;Ann. Bot.&lt;/secondary-title&gt;&lt;/titles&gt;&lt;periodical&gt;&lt;full-title&gt;Ann. Bot.&lt;/full-title&gt;&lt;/periodical&gt;&lt;pages&gt;225-232&lt;/pages&gt;&lt;volume&gt;81&lt;/volume&gt;&lt;dates&gt;&lt;year&gt;1998&lt;/year&gt;&lt;/dates&gt;&lt;urls&gt;&lt;/urls&gt;&lt;/record&gt;&lt;/Cite&gt;&lt;/EndNote&gt;</w:instrText>
      </w:r>
      <w:r>
        <w:fldChar w:fldCharType="separate"/>
      </w:r>
      <w:r>
        <w:rPr>
          <w:noProof/>
        </w:rPr>
        <w:t>(Doussan et al., 1998a; Doussan et al., 1998b)</w:t>
      </w:r>
      <w:r>
        <w:fldChar w:fldCharType="end"/>
      </w:r>
      <w:r>
        <w:t xml:space="preserve">, the root </w:t>
      </w:r>
      <w:r w:rsidR="00710FD6">
        <w:t>is</w:t>
      </w:r>
      <w:r>
        <w:t xml:space="preserve"> discretized as a network of elementary segments consisting of a microcircuit containing both radial (</w:t>
      </w:r>
      <w:proofErr w:type="spellStart"/>
      <w:r>
        <w:rPr>
          <w:i/>
          <w:iCs/>
        </w:rPr>
        <w:t>k</w:t>
      </w:r>
      <w:r>
        <w:rPr>
          <w:i/>
          <w:iCs/>
          <w:vertAlign w:val="subscript"/>
        </w:rPr>
        <w:t>i</w:t>
      </w:r>
      <w:proofErr w:type="spellEnd"/>
      <w:r>
        <w:t>) and axial (</w:t>
      </w:r>
      <w:r>
        <w:rPr>
          <w:i/>
          <w:iCs/>
        </w:rPr>
        <w:t>K</w:t>
      </w:r>
      <w:r>
        <w:rPr>
          <w:i/>
          <w:iCs/>
          <w:vertAlign w:val="subscript"/>
        </w:rPr>
        <w:t>i</w:t>
      </w:r>
      <w:r w:rsidR="00710FD6">
        <w:t xml:space="preserve">) hydraulic </w:t>
      </w:r>
      <w:proofErr w:type="spellStart"/>
      <w:r w:rsidR="00710FD6">
        <w:t>conductances</w:t>
      </w:r>
      <w:proofErr w:type="spellEnd"/>
      <w:r>
        <w:t xml:space="preserve">. The local radial flux </w:t>
      </w:r>
      <w:r w:rsidR="00710FD6">
        <w:t>is</w:t>
      </w:r>
      <w:r>
        <w:t xml:space="preserve"> written as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ψ</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t xml:space="preserve">and the local axial flow as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e>
            </m:d>
          </m:num>
          <m:den>
            <m:sSub>
              <m:sSubPr>
                <m:ctrlPr>
                  <w:rPr>
                    <w:rFonts w:ascii="Cambria Math" w:hAnsi="Cambria Math"/>
                    <w:i/>
                  </w:rPr>
                </m:ctrlPr>
              </m:sSubPr>
              <m:e>
                <m:r>
                  <w:rPr>
                    <w:rFonts w:ascii="Cambria Math" w:hAnsi="Cambria Math"/>
                  </w:rPr>
                  <m:t>L</m:t>
                </m:r>
              </m:e>
              <m:sub>
                <m:r>
                  <w:rPr>
                    <w:rFonts w:ascii="Cambria Math" w:hAnsi="Cambria Math"/>
                  </w:rPr>
                  <m:t>i</m:t>
                </m:r>
              </m:sub>
            </m:sSub>
          </m:den>
        </m:f>
      </m:oMath>
      <w:r>
        <w:t>, S</w:t>
      </w:r>
      <w:proofErr w:type="spellStart"/>
      <w:r>
        <w:rPr>
          <w:vertAlign w:val="subscript"/>
        </w:rPr>
        <w:t>i</w:t>
      </w:r>
      <w:proofErr w:type="spellEnd"/>
      <w:r>
        <w:t xml:space="preserve"> and L</w:t>
      </w:r>
      <w:r>
        <w:rPr>
          <w:vertAlign w:val="subscript"/>
        </w:rPr>
        <w:t>i</w:t>
      </w:r>
      <w:r>
        <w:t xml:space="preserve"> are respectively the surface area and the length of the elementary segments. By analogy with Ohm’s law, </w:t>
      </w:r>
      <w:r w:rsidRPr="001A2FA5">
        <w:t xml:space="preserve">both </w:t>
      </w:r>
      <w:r>
        <w:t>1/(</w:t>
      </w:r>
      <w:proofErr w:type="spellStart"/>
      <w:r>
        <w:rPr>
          <w:i/>
          <w:iCs/>
        </w:rPr>
        <w:t>k</w:t>
      </w:r>
      <w:r>
        <w:rPr>
          <w:i/>
          <w:iCs/>
          <w:vertAlign w:val="subscript"/>
        </w:rPr>
        <w:t>i</w:t>
      </w:r>
      <w:r>
        <w:rPr>
          <w:i/>
          <w:iCs/>
        </w:rPr>
        <w:t>S</w:t>
      </w:r>
      <w:r>
        <w:rPr>
          <w:i/>
          <w:iCs/>
          <w:vertAlign w:val="subscript"/>
        </w:rPr>
        <w:t>i</w:t>
      </w:r>
      <w:proofErr w:type="spellEnd"/>
      <w:r>
        <w:rPr>
          <w:i/>
          <w:iCs/>
        </w:rPr>
        <w:t>)</w:t>
      </w:r>
      <w:r>
        <w:t xml:space="preserve"> and </w:t>
      </w:r>
      <w:r w:rsidRPr="00A96C31">
        <w:rPr>
          <w:i/>
        </w:rPr>
        <w:t>L</w:t>
      </w:r>
      <w:r w:rsidRPr="00A96C31">
        <w:rPr>
          <w:i/>
          <w:vertAlign w:val="subscript"/>
        </w:rPr>
        <w:t>i</w:t>
      </w:r>
      <w:r>
        <w:t>/</w:t>
      </w:r>
      <w:r w:rsidRPr="001A2FA5">
        <w:rPr>
          <w:i/>
          <w:iCs/>
        </w:rPr>
        <w:t>K</w:t>
      </w:r>
      <w:r w:rsidRPr="001A2FA5">
        <w:rPr>
          <w:i/>
          <w:iCs/>
          <w:vertAlign w:val="subscript"/>
        </w:rPr>
        <w:t>i</w:t>
      </w:r>
      <w:r w:rsidRPr="001A2FA5">
        <w:t xml:space="preserve"> may be modeled as electric </w:t>
      </w:r>
      <w:r>
        <w:t xml:space="preserve">resistances, and the hydraulic architecture may be assimilated to an electrical network </w:t>
      </w:r>
      <w:r>
        <w:fldChar w:fldCharType="begin"/>
      </w:r>
      <w:r>
        <w:instrText xml:space="preserve"> ADDIN EN.CITE &lt;EndNote&gt;&lt;Cite&gt;&lt;Author&gt;Doussan&lt;/Author&gt;&lt;Year&gt;1998&lt;/Year&gt;&lt;RecNum&gt;2875&lt;/RecNum&gt;&lt;DisplayText&gt;(Doussan et al., 1998a; Prusinkiewicz et al., 2007)&lt;/DisplayText&gt;&lt;record&gt;&lt;rec-number&gt;2875&lt;/rec-number&gt;&lt;foreign-keys&gt;&lt;key app="EN" db-id="p0wxs0swdf2ss7etex259ewhss2wfee9ta9a" timestamp="0"&gt;2875&lt;/key&gt;&lt;/foreign-keys&gt;&lt;ref-type name="Journal Article"&gt;17&lt;/ref-type&gt;&lt;contributors&gt;&lt;authors&gt;&lt;author&gt;Doussan, C.&lt;/author&gt;&lt;author&gt;Pages, L.&lt;/author&gt;&lt;author&gt;Vercambre, G.&lt;/author&gt;&lt;/authors&gt;&lt;/contributors&gt;&lt;titles&gt;&lt;title&gt;Modelling of the hydraulic architecture of root systems: an integrated approach to water absorption - Model description&lt;/title&gt;&lt;secondary-title&gt;Ann. Bot.&lt;/secondary-title&gt;&lt;/titles&gt;&lt;periodical&gt;&lt;full-title&gt;Ann. Bot.&lt;/full-title&gt;&lt;/periodical&gt;&lt;pages&gt;213-223&lt;/pages&gt;&lt;volume&gt;81&lt;/volume&gt;&lt;dates&gt;&lt;year&gt;1998&lt;/year&gt;&lt;/dates&gt;&lt;urls&gt;&lt;/urls&gt;&lt;/record&gt;&lt;/Cite&gt;&lt;Cite&gt;&lt;Author&gt;Prusinkiewicz&lt;/Author&gt;&lt;Year&gt;2007&lt;/Year&gt;&lt;RecNum&gt;3652&lt;/RecNum&gt;&lt;record&gt;&lt;rec-number&gt;3652&lt;/rec-number&gt;&lt;foreign-keys&gt;&lt;key app="EN" db-id="p0wxs0swdf2ss7etex259ewhss2wfee9ta9a" timestamp="1619199092"&gt;3652&lt;/key&gt;&lt;/foreign-keys&gt;&lt;ref-type name="Journal Article"&gt;17&lt;/ref-type&gt;&lt;contributors&gt;&lt;authors&gt;&lt;author&gt;Prusinkiewicz, P.&lt;/author&gt;&lt;author&gt;Allen, M.&lt;/author&gt;&lt;author&gt;Escobar-Gutierrez, A.&lt;/author&gt;&lt;author&gt;DeJong, T.M. &lt;/author&gt;&lt;/authors&gt;&lt;/contributors&gt;&lt;titles&gt;&lt;title&gt;Numerical methods for transport-resistance sink-source allocation models&lt;/title&gt;&lt;secondary-title&gt;Frontis&lt;/secondary-title&gt;&lt;/titles&gt;&lt;periodical&gt;&lt;full-title&gt;Frontis&lt;/full-title&gt;&lt;/periodical&gt;&lt;pages&gt;123-137&lt;/pages&gt;&lt;volume&gt;22&lt;/volume&gt;&lt;dates&gt;&lt;year&gt;2007&lt;/year&gt;&lt;/dates&gt;&lt;urls&gt;&lt;/urls&gt;&lt;/record&gt;&lt;/Cite&gt;&lt;/EndNote&gt;</w:instrText>
      </w:r>
      <w:r>
        <w:fldChar w:fldCharType="separate"/>
      </w:r>
      <w:r>
        <w:rPr>
          <w:noProof/>
        </w:rPr>
        <w:t>(Doussan et al., 1998a; Prusinkiewicz et al., 2007)</w:t>
      </w:r>
      <w:r>
        <w:fldChar w:fldCharType="end"/>
      </w:r>
      <w:r>
        <w:t xml:space="preserve">. According to the boundary conditions (uniform pressure around the root and atmospheric pressure at its base), we are able to calculate the equivalent resistance of the network and then calculate the outflow rate. In brief, </w:t>
      </w:r>
      <w:r w:rsidR="00710FD6">
        <w:t>considering</w:t>
      </w:r>
      <w:r>
        <w:t xml:space="preserve"> an elementary segment </w:t>
      </w:r>
      <w:proofErr w:type="spellStart"/>
      <w:r w:rsidRPr="001B1A56">
        <w:rPr>
          <w:i/>
        </w:rPr>
        <w:t>i</w:t>
      </w:r>
      <w:proofErr w:type="spellEnd"/>
      <w:r>
        <w:t xml:space="preserve">, with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as axial and radial resistances, respectively. Its equivalent resistance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eq</m:t>
                </m:r>
              </m:sub>
            </m:sSub>
          </m:e>
          <m:sub>
            <m:r>
              <w:rPr>
                <w:rFonts w:ascii="Cambria Math" w:hAnsi="Cambria Math"/>
              </w:rPr>
              <m:t>i</m:t>
            </m:r>
          </m:sub>
        </m:sSub>
      </m:oMath>
      <w:r>
        <w:t xml:space="preserve"> is calculated as follows, assuming that the apical equivalent resistance </w:t>
      </w:r>
      <m:oMath>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 xml:space="preserve"> </m:t>
            </m:r>
          </m:sub>
        </m:sSub>
      </m:oMath>
      <w:r>
        <w:rPr>
          <w:i/>
        </w:rPr>
        <w:t xml:space="preserve"> </w:t>
      </w:r>
      <w:r>
        <w:t>is known:</w:t>
      </w:r>
    </w:p>
    <w:p w:rsidR="006A65CE" w:rsidRPr="005B1FF6" w:rsidRDefault="006A65CE" w:rsidP="006A65CE">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eq</m:t>
                      </m:r>
                    </m:sub>
                  </m:sSub>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oMath>
      </m:oMathPara>
    </w:p>
    <w:p w:rsidR="006A65CE" w:rsidRDefault="006A65CE" w:rsidP="006A65CE">
      <w:pPr>
        <w:spacing w:line="360" w:lineRule="auto"/>
      </w:pPr>
      <w:r>
        <w:t xml:space="preserve">By implementing this equation, step by step from the tips, and by considering a branched root as a parallel network, we end up with an equivalent resistance for the whole network, and as a consequence, an equivalent hydraulic conductance </w:t>
      </w:r>
      <m:oMath>
        <m:sSub>
          <m:sSubPr>
            <m:ctrlPr>
              <w:rPr>
                <w:rFonts w:ascii="Cambria Math" w:hAnsi="Cambria Math"/>
                <w:i/>
              </w:rPr>
            </m:ctrlPr>
          </m:sSubPr>
          <m:e>
            <m:r>
              <w:rPr>
                <w:rFonts w:ascii="Cambria Math" w:hAnsi="Cambria Math"/>
              </w:rPr>
              <m:t>K</m:t>
            </m:r>
          </m:e>
          <m:sub>
            <m:r>
              <w:rPr>
                <w:rFonts w:ascii="Cambria Math" w:hAnsi="Cambria Math"/>
              </w:rPr>
              <m:t>eq</m:t>
            </m:r>
          </m:sub>
        </m:sSub>
      </m:oMath>
      <w:r>
        <w:t xml:space="preserve"> </w:t>
      </w:r>
      <w:r>
        <w:fldChar w:fldCharType="begin"/>
      </w:r>
      <w:r>
        <w:instrText xml:space="preserve"> ADDIN EN.CITE &lt;EndNote&gt;&lt;Cite&gt;&lt;Author&gt;Albasha&lt;/Author&gt;&lt;Year&gt;2019&lt;/Year&gt;&lt;RecNum&gt;3653&lt;/RecNum&gt;&lt;DisplayText&gt;(Albasha et al., 2019; Prusinkiewicz et al., 2007)&lt;/DisplayText&gt;&lt;record&gt;&lt;rec-number&gt;3653&lt;/rec-number&gt;&lt;foreign-keys&gt;&lt;key app="EN" db-id="p0wxs0swdf2ss7etex259ewhss2wfee9ta9a" timestamp="1619199655"&gt;3653&lt;/key&gt;&lt;/foreign-keys&gt;&lt;ref-type name="Journal Article"&gt;17&lt;/ref-type&gt;&lt;contributors&gt;&lt;authors&gt;&lt;author&gt;Albasha, R.&lt;/author&gt;&lt;author&gt;Fournier, C.&lt;/author&gt;&lt;author&gt;Pradal, C.&lt;/author&gt;&lt;author&gt;Chelle, M.&lt;/author&gt;&lt;author&gt;Prieto, J.A.&lt;/author&gt;&lt;author&gt;Louarn, G.&lt;/author&gt;&lt;author&gt;Simonneau, T.&lt;/author&gt;&lt;author&gt;Lebon, E.&lt;/author&gt;&lt;/authors&gt;&lt;/contributors&gt;&lt;titles&gt;&lt;title&gt;&lt;style face="normal" font="default" size="100%"&gt;HydroShoot: a functional-structural plant model for simulating hydraulic structure, gas and energy exchange dynamics of complex plant canopies under water deficit—application to grapevine (&lt;/style&gt;&lt;style face="italic" font="default" size="100%"&gt;Vitis vinifera&lt;/style&gt;&lt;style face="normal" font="default" size="100%"&gt;)&lt;/style&gt;&lt;/title&gt;&lt;secondary-title&gt;in silico Plants&lt;/secondary-title&gt;&lt;/titles&gt;&lt;periodical&gt;&lt;full-title&gt;in silico Plants&lt;/full-title&gt;&lt;/periodical&gt;&lt;pages&gt; diz007&lt;/pages&gt;&lt;volume&gt;1&lt;/volume&gt;&lt;dates&gt;&lt;year&gt;2019&lt;/year&gt;&lt;/dates&gt;&lt;urls&gt;&lt;/urls&gt;&lt;/record&gt;&lt;/Cite&gt;&lt;Cite&gt;&lt;Author&gt;Prusinkiewicz&lt;/Author&gt;&lt;Year&gt;2007&lt;/Year&gt;&lt;RecNum&gt;3652&lt;/RecNum&gt;&lt;record&gt;&lt;rec-number&gt;3652&lt;/rec-number&gt;&lt;foreign-keys&gt;&lt;key app="EN" db-id="p0wxs0swdf2ss7etex259ewhss2wfee9ta9a" timestamp="1619199092"&gt;3652&lt;/key&gt;&lt;/foreign-keys&gt;&lt;ref-type name="Journal Article"&gt;17&lt;/ref-type&gt;&lt;contributors&gt;&lt;authors&gt;&lt;author&gt;Prusinkiewicz, P.&lt;/author&gt;&lt;author&gt;Allen, M.&lt;/author&gt;&lt;author&gt;Escobar-Gutierrez, A.&lt;/author&gt;&lt;author&gt;DeJong, T.M. &lt;/author&gt;&lt;/authors&gt;&lt;/contributors&gt;&lt;titles&gt;&lt;title&gt;Numerical methods for transport-resistance sink-source allocation models&lt;/title&gt;&lt;secondary-title&gt;Frontis&lt;/secondary-title&gt;&lt;/titles&gt;&lt;periodical&gt;&lt;full-title&gt;Frontis&lt;/full-title&gt;&lt;/periodical&gt;&lt;pages&gt;123-137&lt;/pages&gt;&lt;volume&gt;22&lt;/volume&gt;&lt;dates&gt;&lt;year&gt;2007&lt;/year&gt;&lt;/dates&gt;&lt;urls&gt;&lt;/urls&gt;&lt;/record&gt;&lt;/Cite&gt;&lt;/EndNote&gt;</w:instrText>
      </w:r>
      <w:r>
        <w:fldChar w:fldCharType="separate"/>
      </w:r>
      <w:r>
        <w:rPr>
          <w:noProof/>
        </w:rPr>
        <w:t>(Albasha et al., 2019; Prusinkiewicz et al., 2007)</w:t>
      </w:r>
      <w:r>
        <w:fldChar w:fldCharType="end"/>
      </w:r>
      <w:r>
        <w:t>. The basal outgoing flux (</w:t>
      </w:r>
      <w:proofErr w:type="spellStart"/>
      <w:r w:rsidRPr="005B3EBF">
        <w:rPr>
          <w:i/>
        </w:rPr>
        <w:t>J</w:t>
      </w:r>
      <w:r w:rsidRPr="005B3EBF">
        <w:rPr>
          <w:vertAlign w:val="subscript"/>
        </w:rPr>
        <w:t>v</w:t>
      </w:r>
      <w:proofErr w:type="spellEnd"/>
      <w:r>
        <w:t xml:space="preserve">) is then calculated according to:  </w:t>
      </w:r>
    </w:p>
    <w:p w:rsidR="005A4D37" w:rsidRDefault="006A65CE" w:rsidP="006A65CE">
      <m:oMathPara>
        <m:oMath>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eq</m:t>
              </m:r>
            </m:sub>
          </m:sSub>
          <m:r>
            <m:rPr>
              <m:lit/>
            </m:rP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base</m:t>
              </m:r>
            </m:sub>
          </m:sSub>
          <m:r>
            <m:rPr>
              <m:lit/>
            </m:rPr>
            <w:rPr>
              <w:rFonts w:ascii="Cambria Math" w:hAnsi="Cambria Math"/>
            </w:rPr>
            <m:t>)</m:t>
          </m:r>
        </m:oMath>
      </m:oMathPara>
    </w:p>
    <w:sectPr w:rsidR="005A4D3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CE"/>
    <w:rsid w:val="001851BA"/>
    <w:rsid w:val="006A65CE"/>
    <w:rsid w:val="006F42C6"/>
    <w:rsid w:val="00710FD6"/>
    <w:rsid w:val="00931DAE"/>
    <w:rsid w:val="0094228C"/>
    <w:rsid w:val="009715F1"/>
    <w:rsid w:val="00B46A80"/>
    <w:rsid w:val="00B64917"/>
    <w:rsid w:val="00BB08BE"/>
    <w:rsid w:val="00C9651F"/>
    <w:rsid w:val="00CD20A4"/>
    <w:rsid w:val="00D07CE8"/>
    <w:rsid w:val="00DC4E51"/>
    <w:rsid w:val="00E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CB04"/>
  <w15:chartTrackingRefBased/>
  <w15:docId w15:val="{A472A303-F03C-4F45-9A70-0A2A703F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65CE"/>
    <w:pPr>
      <w:spacing w:after="0" w:line="312" w:lineRule="auto"/>
      <w:jc w:val="both"/>
    </w:pPr>
    <w:rPr>
      <w:rFonts w:ascii="Calibri" w:eastAsia="Calibri" w:hAnsi="Calibri" w:cs="Calibri"/>
      <w:lang w:eastAsia="fr-FR"/>
    </w:rPr>
  </w:style>
  <w:style w:type="paragraph" w:styleId="Titre2">
    <w:name w:val="heading 2"/>
    <w:basedOn w:val="Normal"/>
    <w:next w:val="Normal"/>
    <w:link w:val="Titre2Car"/>
    <w:rsid w:val="006A65CE"/>
    <w:pPr>
      <w:keepNext/>
      <w:keepLines/>
      <w:spacing w:before="240"/>
      <w:outlineLvl w:val="1"/>
    </w:pPr>
    <w:rPr>
      <w:rFonts w:asciiTheme="majorHAnsi" w:hAnsiTheme="majorHAns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A65CE"/>
    <w:rPr>
      <w:rFonts w:asciiTheme="majorHAnsi" w:eastAsia="Calibri" w:hAnsiTheme="majorHAnsi" w:cs="Calibri"/>
      <w:b/>
      <w:color w:val="000000" w:themeColor="text1"/>
      <w:sz w:val="24"/>
      <w:szCs w:val="24"/>
      <w:lang w:eastAsia="fr-FR"/>
    </w:rPr>
  </w:style>
  <w:style w:type="character" w:styleId="Accentuation">
    <w:name w:val="Emphasis"/>
    <w:basedOn w:val="Policepardfaut"/>
    <w:uiPriority w:val="20"/>
    <w:qFormat/>
    <w:rsid w:val="0094228C"/>
    <w:rPr>
      <w:i/>
      <w:iCs/>
    </w:rPr>
  </w:style>
  <w:style w:type="character" w:styleId="Lienhypertexte">
    <w:name w:val="Hyperlink"/>
    <w:basedOn w:val="Policepardfaut"/>
    <w:uiPriority w:val="99"/>
    <w:semiHidden/>
    <w:unhideWhenUsed/>
    <w:rsid w:val="00942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93/plphys/kiac2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1133</Words>
  <Characters>6459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Bauget</dc:creator>
  <cp:keywords/>
  <dc:description/>
  <cp:lastModifiedBy>Fabrice Bauget</cp:lastModifiedBy>
  <cp:revision>2</cp:revision>
  <dcterms:created xsi:type="dcterms:W3CDTF">2022-07-18T14:31:00Z</dcterms:created>
  <dcterms:modified xsi:type="dcterms:W3CDTF">2022-07-18T14:53:00Z</dcterms:modified>
</cp:coreProperties>
</file>