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Times New Roman" w:cs="Times New Roman" w:eastAsia="Times New Roman" w:hAnsi="Times New Roman"/>
          <w:b/>
          <w:bCs/>
          <w:sz w:val="26"/>
          <w:szCs w:val="26"/>
        </w:rPr>
        <w:t xml:space="preserve">EXHIBIT E — MONTHLY SERVICE COMMITMENTS &amp; PRIORITY OF SERVICES</w:t>
      </w:r>
    </w:p>
    <w:p>
      <w:pPr>
        <w:spacing w:after="60"/>
        <w:jc w:val="center"/>
      </w:pPr>
      <w:r>
        <w:rPr>
          <w:rFonts w:ascii="Times New Roman" w:cs="Times New Roman" w:eastAsia="Times New Roman" w:hAnsi="Times New Roman"/>
          <w:i/>
          <w:iCs/>
          <w:sz w:val="21"/>
          <w:szCs w:val="21"/>
        </w:rPr>
        <w:t xml:space="preserve">To the Independent Contractor Services Agreement — Open Arms Consulting, LLC</w:t>
      </w:r>
    </w:p>
    <w:p>
      <w:pPr>
        <w:spacing w:after="40"/>
        <w:jc w:val="center"/>
      </w:pPr>
      <w:r>
        <w:rPr>
          <w:rFonts w:ascii="Times New Roman" w:cs="Times New Roman" w:eastAsia="Times New Roman" w:hAnsi="Times New Roman"/>
          <w:b/>
          <w:bCs/>
          <w:color w:val="1F4E9C"/>
          <w:sz w:val="21"/>
          <w:szCs w:val="21"/>
        </w:rPr>
        <w:t xml:space="preserve">PROPOSED REVISION (REDLINE) — Open Arms Consulting, LLC · July 22, 2026</w:t>
      </w:r>
    </w:p>
    <w:p>
      <w:pPr>
        <w:spacing w:after="200"/>
        <w:jc w:val="center"/>
      </w:pPr>
      <w:r>
        <w:rPr>
          <w:rFonts w:ascii="Times New Roman" w:cs="Times New Roman" w:eastAsia="Times New Roman" w:hAnsi="Times New Roman"/>
          <w:i/>
          <w:iCs/>
          <w:sz w:val="18"/>
          <w:szCs w:val="18"/>
        </w:rPr>
        <w:t xml:space="preserve">Deletions shown in </w:t>
      </w:r>
      <w:r>
        <w:rPr>
          <w:rFonts w:ascii="Times New Roman" w:cs="Times New Roman" w:eastAsia="Times New Roman" w:hAnsi="Times New Roman"/>
          <w:strike/>
          <w:color w:val="C00000"/>
          <w:sz w:val="21"/>
          <w:szCs w:val="21"/>
        </w:rPr>
        <w:t xml:space="preserve">red strikethrough</w:t>
      </w:r>
      <w:r>
        <w:rPr>
          <w:rFonts w:ascii="Times New Roman" w:cs="Times New Roman" w:eastAsia="Times New Roman" w:hAnsi="Times New Roman"/>
          <w:i/>
          <w:iCs/>
          <w:sz w:val="18"/>
          <w:szCs w:val="18"/>
        </w:rPr>
        <w:t xml:space="preserve">; additions shown in </w:t>
      </w:r>
      <w:r>
        <w:rPr>
          <w:rFonts w:ascii="Times New Roman" w:cs="Times New Roman" w:eastAsia="Times New Roman" w:hAnsi="Times New Roman"/>
          <w:color w:val="1F4E9C"/>
          <w:sz w:val="21"/>
          <w:szCs w:val="21"/>
          <w:u w:val="single"/>
        </w:rPr>
        <w:t xml:space="preserve">blue underline</w:t>
      </w:r>
      <w:r>
        <w:rPr>
          <w:rFonts w:ascii="Times New Roman" w:cs="Times New Roman" w:eastAsia="Times New Roman" w:hAnsi="Times New Roman"/>
          <w:i/>
          <w:iCs/>
          <w:sz w:val="18"/>
          <w:szCs w:val="18"/>
        </w:rPr>
        <w:t xml:space="preserve">.</w:t>
      </w:r>
    </w:p>
    <w:p>
      <w:pPr>
        <w:spacing w:after="120" w:line="260"/>
      </w:pPr>
      <w:r>
        <w:rPr>
          <w:rFonts w:ascii="Times New Roman" w:cs="Times New Roman" w:eastAsia="Times New Roman" w:hAnsi="Times New Roman"/>
          <w:sz w:val="21"/>
          <w:szCs w:val="21"/>
        </w:rPr>
        <w:t xml:space="preserve">This Exhibit ensures the Firm receives a defined level of output every month regardless of the Contractor’s approved outside engagements (Exhibit D). These are OUTPUT commitments — the Firm buys results, not hours, and does not direct the Contractor’s schedule or working time.</w:t>
      </w:r>
    </w:p>
    <w:p>
      <w:pPr>
        <w:spacing w:after="120" w:line="260"/>
      </w:pPr>
      <w:r>
        <w:rPr>
          <w:rFonts w:ascii="Times New Roman" w:cs="Times New Roman" w:eastAsia="Times New Roman" w:hAnsi="Times New Roman"/>
          <w:b/>
          <w:bCs/>
          <w:sz w:val="21"/>
          <w:szCs w:val="21"/>
        </w:rPr>
        <w:t xml:space="preserve">1. Priority of Services. </w:t>
      </w:r>
      <w:r>
        <w:rPr>
          <w:rFonts w:ascii="Times New Roman" w:cs="Times New Roman" w:eastAsia="Times New Roman" w:hAnsi="Times New Roman"/>
          <w:sz w:val="21"/>
          <w:szCs w:val="21"/>
        </w:rPr>
        <w:t xml:space="preserve">The Firm is the Contractor’s first priority. The Contractor shall meet the Services and the monthly commitments below before devoting time to any outside engagement. Approved outside engagements under Exhibit D are subordinate to this Agreement</w:t>
      </w:r>
      <w:r>
        <w:rPr>
          <w:rFonts w:ascii="Times New Roman" w:cs="Times New Roman" w:eastAsia="Times New Roman" w:hAnsi="Times New Roman"/>
          <w:strike/>
          <w:color w:val="C00000"/>
          <w:sz w:val="21"/>
          <w:szCs w:val="21"/>
        </w:rPr>
        <w:t xml:space="preserve">, and the Firm’s consent to them automatically suspends in any calendar month in which the commitments are not met. Persistent or repeated failure is “cause” under Section 13(b).</w:t>
      </w:r>
      <w:r>
        <w:rPr>
          <w:rFonts w:ascii="Times New Roman" w:cs="Times New Roman" w:eastAsia="Times New Roman" w:hAnsi="Times New Roman"/>
          <w:color w:val="1F4E9C"/>
          <w:sz w:val="21"/>
          <w:szCs w:val="21"/>
          <w:u w:val="single"/>
        </w:rPr>
        <w:t xml:space="preserve">. If the commitments are not met in a calendar month, the Firm shall give written notice of the shortfall, and the Contractor shall have thirty (30) days to cure. The Firm’s consent to outside engagements suspends only if the shortfall remains uncured at the end of the cure period, and is reinstated upon cure. Repeated uncured failure is a material breach subject to Section 13(b), including its cure provisions.</w:t>
      </w:r>
    </w:p>
    <w:p>
      <w:pPr>
        <w:spacing w:after="120" w:line="260"/>
      </w:pPr>
      <w:r>
        <w:rPr>
          <w:rFonts w:ascii="Times New Roman" w:cs="Times New Roman" w:eastAsia="Times New Roman" w:hAnsi="Times New Roman"/>
          <w:b/>
          <w:bCs/>
          <w:sz w:val="21"/>
          <w:szCs w:val="21"/>
        </w:rPr>
        <w:t xml:space="preserve">2. Minimum Monthly Commitments. </w:t>
      </w:r>
      <w:r>
        <w:rPr>
          <w:rFonts w:ascii="Times New Roman" w:cs="Times New Roman" w:eastAsia="Times New Roman" w:hAnsi="Times New Roman"/>
          <w:sz w:val="21"/>
          <w:szCs w:val="21"/>
        </w:rPr>
        <w:t xml:space="preserve">The minimums below </w:t>
      </w:r>
      <w:r>
        <w:rPr>
          <w:rFonts w:ascii="Times New Roman" w:cs="Times New Roman" w:eastAsia="Times New Roman" w:hAnsi="Times New Roman"/>
          <w:strike/>
          <w:color w:val="C00000"/>
          <w:sz w:val="21"/>
          <w:szCs w:val="21"/>
        </w:rPr>
        <w:t xml:space="preserve">reflect the volume the Contractor presented in the Money Mike Social Engine plan (Exhibit F, incorporated by reference). They are the floor, not the ceiling — the Firm may raise them in writing.</w:t>
      </w:r>
      <w:r>
        <w:rPr>
          <w:rFonts w:ascii="Times New Roman" w:cs="Times New Roman" w:eastAsia="Times New Roman" w:hAnsi="Times New Roman"/>
          <w:color w:val="1F4E9C"/>
          <w:sz w:val="21"/>
          <w:szCs w:val="21"/>
          <w:u w:val="single"/>
        </w:rPr>
        <w:t xml:space="preserve">are scaled to the compensation in Exhibit B and prioritize the platforms and markets with the highest client-acquisition value. They may be adjusted only by mutual written agreement of the Parties.</w:t>
      </w:r>
      <w:r>
        <w:rPr>
          <w:rFonts w:ascii="Times New Roman" w:cs="Times New Roman" w:eastAsia="Times New Roman" w:hAnsi="Times New Roman"/>
          <w:sz w:val="21"/>
          <w:szCs w:val="21"/>
        </w:rPr>
        <w:t xml:space="preserve"> Cadence follows each platform’s safe maximum so the accounts are never throttled or banned.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c>
          <w:tcPr>
            <w:tcW w:type="dxa" w:w="2600"/>
            <w:tcBorders>
              <w:top w:val="single" w:color="999999" w:sz="4"/>
              <w:left w:val="single" w:color="999999" w:sz="4"/>
              <w:bottom w:val="single" w:color="999999" w:sz="4"/>
              <w:right w:val="single" w:color="999999" w:sz="4"/>
            </w:tcBorders>
            <w:shd w:fill="EFEFEF" w:val="clear"/>
            <w:tcMar>
              <w:top w:type="dxa" w:w="60"/>
              <w:left w:type="dxa" w:w="100"/>
              <w:bottom w:type="dxa" w:w="60"/>
              <w:right w:type="dxa" w:w="100"/>
            </w:tcMar>
          </w:tcPr>
          <w:p>
            <w:pPr>
              <w:spacing w:after="0"/>
            </w:pPr>
            <w:r>
              <w:rPr>
                <w:rFonts w:ascii="Times New Roman" w:cs="Times New Roman" w:eastAsia="Times New Roman" w:hAnsi="Times New Roman"/>
                <w:b/>
                <w:bCs/>
                <w:sz w:val="21"/>
                <w:szCs w:val="21"/>
              </w:rPr>
              <w:t xml:space="preserve">Commitment</w:t>
            </w:r>
          </w:p>
        </w:tc>
        <w:tc>
          <w:tcPr>
            <w:tcW w:type="dxa" w:w="3200"/>
            <w:tcBorders>
              <w:top w:val="single" w:color="999999" w:sz="4"/>
              <w:left w:val="single" w:color="999999" w:sz="4"/>
              <w:bottom w:val="single" w:color="999999" w:sz="4"/>
              <w:right w:val="single" w:color="999999" w:sz="4"/>
            </w:tcBorders>
            <w:shd w:fill="EFEFEF" w:val="clear"/>
            <w:tcMar>
              <w:top w:type="dxa" w:w="60"/>
              <w:left w:type="dxa" w:w="100"/>
              <w:bottom w:type="dxa" w:w="60"/>
              <w:right w:type="dxa" w:w="100"/>
            </w:tcMar>
          </w:tcPr>
          <w:p>
            <w:pPr>
              <w:spacing w:after="0"/>
            </w:pPr>
            <w:r>
              <w:rPr>
                <w:rFonts w:ascii="Times New Roman" w:cs="Times New Roman" w:eastAsia="Times New Roman" w:hAnsi="Times New Roman"/>
                <w:b/>
                <w:bCs/>
                <w:sz w:val="21"/>
                <w:szCs w:val="21"/>
              </w:rPr>
              <w:t xml:space="preserve">Minimum / month</w:t>
            </w:r>
          </w:p>
        </w:tc>
        <w:tc>
          <w:tcPr>
            <w:tcW w:type="dxa" w:w="3560"/>
            <w:tcBorders>
              <w:top w:val="single" w:color="999999" w:sz="4"/>
              <w:left w:val="single" w:color="999999" w:sz="4"/>
              <w:bottom w:val="single" w:color="999999" w:sz="4"/>
              <w:right w:val="single" w:color="999999" w:sz="4"/>
            </w:tcBorders>
            <w:shd w:fill="EFEFEF" w:val="clear"/>
            <w:tcMar>
              <w:top w:type="dxa" w:w="60"/>
              <w:left w:type="dxa" w:w="100"/>
              <w:bottom w:type="dxa" w:w="60"/>
              <w:right w:type="dxa" w:w="100"/>
            </w:tcMar>
          </w:tcPr>
          <w:p>
            <w:pPr>
              <w:spacing w:after="0"/>
            </w:pPr>
            <w:r>
              <w:rPr>
                <w:rFonts w:ascii="Times New Roman" w:cs="Times New Roman" w:eastAsia="Times New Roman" w:hAnsi="Times New Roman"/>
                <w:b/>
                <w:bCs/>
                <w:sz w:val="21"/>
                <w:szCs w:val="21"/>
              </w:rPr>
              <w:t xml:space="preserve">Notes</w:t>
            </w:r>
          </w:p>
        </w:tc>
      </w:tr>
      <w:t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Times New Roman" w:cs="Times New Roman" w:eastAsia="Times New Roman" w:hAnsi="Times New Roman"/>
                <w:sz w:val="21"/>
                <w:szCs w:val="21"/>
              </w:rPr>
              <w:t xml:space="preserve">Total social / content volume</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Times New Roman" w:cs="Times New Roman" w:eastAsia="Times New Roman" w:hAnsi="Times New Roman"/>
                <w:strike/>
                <w:color w:val="C00000"/>
                <w:sz w:val="21"/>
                <w:szCs w:val="21"/>
              </w:rPr>
              <w:t xml:space="preserve">~825 posts / month (≈27/day)</w:t>
            </w:r>
            <w:r>
              <w:rPr>
                <w:rFonts w:ascii="Times New Roman" w:cs="Times New Roman" w:eastAsia="Times New Roman" w:hAnsi="Times New Roman"/>
                <w:sz w:val="21"/>
                <w:szCs w:val="21"/>
              </w:rPr>
              <w:t xml:space="preserve"> </w:t>
            </w:r>
            <w:r>
              <w:rPr>
                <w:rFonts w:ascii="Times New Roman" w:cs="Times New Roman" w:eastAsia="Times New Roman" w:hAnsi="Times New Roman"/>
                <w:color w:val="1F4E9C"/>
                <w:sz w:val="21"/>
                <w:szCs w:val="21"/>
                <w:u w:val="single"/>
              </w:rPr>
              <w:t xml:space="preserve">~350–400 posts / month (≈12/day)</w:t>
            </w:r>
          </w:p>
        </w:tc>
        <w:tc>
          <w:tcPr>
            <w:tcW w:type="dxa" w:w="35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Times New Roman" w:cs="Times New Roman" w:eastAsia="Times New Roman" w:hAnsi="Times New Roman"/>
                <w:strike/>
                <w:color w:val="C00000"/>
                <w:sz w:val="21"/>
                <w:szCs w:val="21"/>
              </w:rPr>
              <w:t xml:space="preserve">Across all 7 platforms, per the Money Mike Social Engine plan (Exhibit F)</w:t>
            </w:r>
            <w:r>
              <w:rPr>
                <w:rFonts w:ascii="Times New Roman" w:cs="Times New Roman" w:eastAsia="Times New Roman" w:hAnsi="Times New Roman"/>
                <w:sz w:val="21"/>
                <w:szCs w:val="21"/>
              </w:rPr>
              <w:t xml:space="preserve"> </w:t>
            </w:r>
            <w:r>
              <w:rPr>
                <w:rFonts w:ascii="Times New Roman" w:cs="Times New Roman" w:eastAsia="Times New Roman" w:hAnsi="Times New Roman"/>
                <w:color w:val="1F4E9C"/>
                <w:sz w:val="21"/>
                <w:szCs w:val="21"/>
                <w:u w:val="single"/>
              </w:rPr>
              <w:t xml:space="preserve">Across the 3 priority platforms below, plus automated cross-posts to remaining platforms where available. Full 7-platform volume available under the Full Flood service schedule (Section 6).</w:t>
            </w:r>
          </w:p>
        </w:tc>
      </w:tr>
      <w:t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Times New Roman" w:cs="Times New Roman" w:eastAsia="Times New Roman" w:hAnsi="Times New Roman"/>
                <w:sz w:val="21"/>
                <w:szCs w:val="21"/>
              </w:rPr>
              <w:t xml:space="preserve">Premium hero ads</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Times New Roman" w:cs="Times New Roman" w:eastAsia="Times New Roman" w:hAnsi="Times New Roman"/>
                <w:strike/>
                <w:color w:val="C00000"/>
                <w:sz w:val="21"/>
                <w:szCs w:val="21"/>
              </w:rPr>
              <w:t xml:space="preserve">10–15 / month</w:t>
            </w:r>
            <w:r>
              <w:rPr>
                <w:rFonts w:ascii="Times New Roman" w:cs="Times New Roman" w:eastAsia="Times New Roman" w:hAnsi="Times New Roman"/>
                <w:sz w:val="21"/>
                <w:szCs w:val="21"/>
              </w:rPr>
              <w:t xml:space="preserve"> </w:t>
            </w:r>
            <w:r>
              <w:rPr>
                <w:rFonts w:ascii="Times New Roman" w:cs="Times New Roman" w:eastAsia="Times New Roman" w:hAnsi="Times New Roman"/>
                <w:color w:val="1F4E9C"/>
                <w:sz w:val="21"/>
                <w:szCs w:val="21"/>
                <w:u w:val="single"/>
              </w:rPr>
              <w:t xml:space="preserve">3–4 / month</w:t>
            </w:r>
          </w:p>
        </w:tc>
        <w:tc>
          <w:tcPr>
            <w:tcW w:type="dxa" w:w="35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Times New Roman" w:cs="Times New Roman" w:eastAsia="Times New Roman" w:hAnsi="Times New Roman"/>
                <w:sz w:val="21"/>
                <w:szCs w:val="21"/>
              </w:rPr>
              <w:t xml:space="preserve">Cinematic Money Mike spots, bar-compliant with disclaimers</w:t>
            </w:r>
          </w:p>
        </w:tc>
      </w:tr>
      <w:t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Times New Roman" w:cs="Times New Roman" w:eastAsia="Times New Roman" w:hAnsi="Times New Roman"/>
                <w:sz w:val="21"/>
                <w:szCs w:val="21"/>
              </w:rPr>
              <w:t xml:space="preserve">Posting reliability</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Times New Roman" w:cs="Times New Roman" w:eastAsia="Times New Roman" w:hAnsi="Times New Roman"/>
                <w:strike/>
                <w:color w:val="C00000"/>
                <w:sz w:val="21"/>
                <w:szCs w:val="21"/>
              </w:rPr>
              <w:t xml:space="preserve">≥99% on-time · 0 dark days</w:t>
            </w:r>
            <w:r>
              <w:rPr>
                <w:rFonts w:ascii="Times New Roman" w:cs="Times New Roman" w:eastAsia="Times New Roman" w:hAnsi="Times New Roman"/>
                <w:sz w:val="21"/>
                <w:szCs w:val="21"/>
              </w:rPr>
              <w:t xml:space="preserve"> </w:t>
            </w:r>
            <w:r>
              <w:rPr>
                <w:rFonts w:ascii="Times New Roman" w:cs="Times New Roman" w:eastAsia="Times New Roman" w:hAnsi="Times New Roman"/>
                <w:color w:val="1F4E9C"/>
                <w:sz w:val="21"/>
                <w:szCs w:val="21"/>
                <w:u w:val="single"/>
              </w:rPr>
              <w:t xml:space="preserve">≥95% on-time</w:t>
            </w:r>
          </w:p>
        </w:tc>
        <w:tc>
          <w:tcPr>
            <w:tcW w:type="dxa" w:w="35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Times New Roman" w:cs="Times New Roman" w:eastAsia="Times New Roman" w:hAnsi="Times New Roman"/>
                <w:sz w:val="21"/>
                <w:szCs w:val="21"/>
              </w:rPr>
              <w:t xml:space="preserve">14-day content buffer + dead-man’s-switch monitoring</w:t>
            </w:r>
            <w:r>
              <w:rPr>
                <w:rFonts w:ascii="Times New Roman" w:cs="Times New Roman" w:eastAsia="Times New Roman" w:hAnsi="Times New Roman"/>
                <w:color w:val="1F4E9C"/>
                <w:sz w:val="21"/>
                <w:szCs w:val="21"/>
                <w:u w:val="single"/>
              </w:rPr>
              <w:t xml:space="preserve"> Excludes platform outages, account actions not caused by the Contractor, and documented illness/emergency.</w:t>
            </w:r>
          </w:p>
        </w:tc>
      </w:tr>
      <w:t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Times New Roman" w:cs="Times New Roman" w:eastAsia="Times New Roman" w:hAnsi="Times New Roman"/>
                <w:sz w:val="21"/>
                <w:szCs w:val="21"/>
              </w:rPr>
              <w:t xml:space="preserve">SEO / AEO work</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Times New Roman" w:cs="Times New Roman" w:eastAsia="Times New Roman" w:hAnsi="Times New Roman"/>
                <w:sz w:val="21"/>
                <w:szCs w:val="21"/>
              </w:rPr>
              <w:t xml:space="preserve">Per Roadmap</w:t>
            </w:r>
          </w:p>
        </w:tc>
        <w:tc>
          <w:tcPr>
            <w:tcW w:type="dxa" w:w="35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Times New Roman" w:cs="Times New Roman" w:eastAsia="Times New Roman" w:hAnsi="Times New Roman"/>
                <w:sz w:val="21"/>
                <w:szCs w:val="21"/>
              </w:rPr>
              <w:t xml:space="preserve">Verify EverSpark; on-page/AEO; net-new Page-1 progress</w:t>
            </w:r>
            <w:r>
              <w:rPr>
                <w:rFonts w:ascii="Times New Roman" w:cs="Times New Roman" w:eastAsia="Times New Roman" w:hAnsi="Times New Roman"/>
                <w:color w:val="1F4E9C"/>
                <w:sz w:val="21"/>
                <w:szCs w:val="21"/>
                <w:u w:val="single"/>
              </w:rPr>
              <w:t xml:space="preserve"> FL and GA are priority markets; remaining markets phase in one per quarter as baseline tracking comes online.</w:t>
            </w:r>
          </w:p>
        </w:tc>
      </w:tr>
      <w:t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Times New Roman" w:cs="Times New Roman" w:eastAsia="Times New Roman" w:hAnsi="Times New Roman"/>
                <w:sz w:val="21"/>
                <w:szCs w:val="21"/>
              </w:rPr>
              <w:t xml:space="preserve">AI-visibility (Semrush)</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Times New Roman" w:cs="Times New Roman" w:eastAsia="Times New Roman" w:hAnsi="Times New Roman"/>
                <w:sz w:val="21"/>
                <w:szCs w:val="21"/>
              </w:rPr>
              <w:t xml:space="preserve">Monthly tracking</w:t>
            </w:r>
          </w:p>
        </w:tc>
        <w:tc>
          <w:tcPr>
            <w:tcW w:type="dxa" w:w="35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Times New Roman" w:cs="Times New Roman" w:eastAsia="Times New Roman" w:hAnsi="Times New Roman"/>
                <w:sz w:val="21"/>
                <w:szCs w:val="21"/>
              </w:rPr>
              <w:t xml:space="preserve">Move AI Visibility Score toward 45</w:t>
            </w:r>
          </w:p>
        </w:tc>
      </w:tr>
      <w:t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Times New Roman" w:cs="Times New Roman" w:eastAsia="Times New Roman" w:hAnsi="Times New Roman"/>
                <w:sz w:val="21"/>
                <w:szCs w:val="21"/>
              </w:rPr>
              <w:t xml:space="preserve">Paid media (once live)</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Times New Roman" w:cs="Times New Roman" w:eastAsia="Times New Roman" w:hAnsi="Times New Roman"/>
                <w:sz w:val="21"/>
                <w:szCs w:val="21"/>
              </w:rPr>
              <w:t xml:space="preserve">Weekly optimization</w:t>
            </w:r>
          </w:p>
        </w:tc>
        <w:tc>
          <w:tcPr>
            <w:tcW w:type="dxa" w:w="35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Times New Roman" w:cs="Times New Roman" w:eastAsia="Times New Roman" w:hAnsi="Times New Roman"/>
                <w:sz w:val="21"/>
                <w:szCs w:val="21"/>
              </w:rPr>
              <w:t xml:space="preserve">Runs inside Firm ad accounts; Firm holds all data &amp; metrics</w:t>
            </w:r>
          </w:p>
        </w:tc>
      </w:tr>
      <w:t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Times New Roman" w:cs="Times New Roman" w:eastAsia="Times New Roman" w:hAnsi="Times New Roman"/>
                <w:sz w:val="21"/>
                <w:szCs w:val="21"/>
              </w:rPr>
              <w:t xml:space="preserve">Performance report</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Times New Roman" w:cs="Times New Roman" w:eastAsia="Times New Roman" w:hAnsi="Times New Roman"/>
                <w:sz w:val="21"/>
                <w:szCs w:val="21"/>
              </w:rPr>
              <w:t xml:space="preserve">1 by the 5th</w:t>
            </w:r>
          </w:p>
        </w:tc>
        <w:tc>
          <w:tcPr>
            <w:tcW w:type="dxa" w:w="35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Times New Roman" w:cs="Times New Roman" w:eastAsia="Times New Roman" w:hAnsi="Times New Roman"/>
                <w:sz w:val="21"/>
                <w:szCs w:val="21"/>
              </w:rPr>
              <w:t xml:space="preserve">Semrush + CTO Bonus Calculator; monthly review with Operations</w:t>
            </w:r>
          </w:p>
        </w:tc>
      </w:tr>
      <w:t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Times New Roman" w:cs="Times New Roman" w:eastAsia="Times New Roman" w:hAnsi="Times New Roman"/>
                <w:sz w:val="21"/>
                <w:szCs w:val="21"/>
              </w:rPr>
              <w:t xml:space="preserve">Availability / response</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Times New Roman" w:cs="Times New Roman" w:eastAsia="Times New Roman" w:hAnsi="Times New Roman"/>
                <w:sz w:val="21"/>
                <w:szCs w:val="21"/>
              </w:rPr>
              <w:t xml:space="preserve">Core business hours (ET)</w:t>
            </w:r>
          </w:p>
        </w:tc>
        <w:tc>
          <w:tcPr>
            <w:tcW w:type="dxa" w:w="35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Times New Roman" w:cs="Times New Roman" w:eastAsia="Times New Roman" w:hAnsi="Times New Roman"/>
                <w:sz w:val="21"/>
                <w:szCs w:val="21"/>
              </w:rPr>
              <w:t xml:space="preserve">Same-business-day response to Firm requests</w:t>
            </w:r>
          </w:p>
        </w:tc>
      </w:tr>
      <w:t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Times New Roman" w:cs="Times New Roman" w:eastAsia="Times New Roman" w:hAnsi="Times New Roman"/>
                <w:sz w:val="21"/>
                <w:szCs w:val="21"/>
              </w:rPr>
              <w:t xml:space="preserve">SharePoint / IT</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Times New Roman" w:cs="Times New Roman" w:eastAsia="Times New Roman" w:hAnsi="Times New Roman"/>
                <w:sz w:val="21"/>
                <w:szCs w:val="21"/>
              </w:rPr>
              <w:t xml:space="preserve">Per Roadmap phase</w:t>
            </w:r>
          </w:p>
        </w:tc>
        <w:tc>
          <w:tcPr>
            <w:tcW w:type="dxa" w:w="35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Times New Roman" w:cs="Times New Roman" w:eastAsia="Times New Roman" w:hAnsi="Times New Roman"/>
                <w:sz w:val="21"/>
                <w:szCs w:val="21"/>
              </w:rPr>
              <w:t xml:space="preserve">Build milestones + technical support</w:t>
            </w:r>
            <w:r>
              <w:rPr>
                <w:rFonts w:ascii="Times New Roman" w:cs="Times New Roman" w:eastAsia="Times New Roman" w:hAnsi="Times New Roman"/>
                <w:color w:val="1F4E9C"/>
                <w:sz w:val="21"/>
                <w:szCs w:val="21"/>
                <w:u w:val="single"/>
              </w:rPr>
              <w:t xml:space="preserve"> Includes up to 10 hours/month of general IT support; additional hours at a mutually agreed hourly rate.</w:t>
            </w:r>
          </w:p>
        </w:tc>
      </w:tr>
    </w:tbl>
    <w:p>
      <w:pPr>
        <w:spacing w:after="120"/>
      </w:pPr>
    </w:p>
    <w:p>
      <w:pPr>
        <w:spacing w:after="120" w:line="260"/>
      </w:pPr>
      <w:r>
        <w:rPr>
          <w:rFonts w:ascii="Times New Roman" w:cs="Times New Roman" w:eastAsia="Times New Roman" w:hAnsi="Times New Roman"/>
          <w:b/>
          <w:bCs/>
          <w:sz w:val="21"/>
          <w:szCs w:val="21"/>
        </w:rPr>
        <w:t xml:space="preserve">Per-platform cadence</w:t>
      </w:r>
      <w:r>
        <w:rPr>
          <w:rFonts w:ascii="Times New Roman" w:cs="Times New Roman" w:eastAsia="Times New Roman" w:hAnsi="Times New Roman"/>
          <w:strike/>
          <w:color w:val="C00000"/>
          <w:sz w:val="21"/>
          <w:szCs w:val="21"/>
        </w:rPr>
        <w:t xml:space="preserve"> (per Exhibit F)</w:t>
      </w:r>
      <w:r>
        <w:rPr>
          <w:rFonts w:ascii="Times New Roman" w:cs="Times New Roman" w:eastAsia="Times New Roman" w:hAnsi="Times New Roman"/>
          <w:sz w:val="21"/>
          <w:szCs w:val="21"/>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999999" w:sz="4"/>
              <w:left w:val="single" w:color="999999" w:sz="4"/>
              <w:bottom w:val="single" w:color="999999" w:sz="4"/>
              <w:right w:val="single" w:color="999999" w:sz="4"/>
            </w:tcBorders>
            <w:shd w:fill="EFEFEF" w:val="clear"/>
            <w:tcMar>
              <w:top w:type="dxa" w:w="60"/>
              <w:left w:type="dxa" w:w="100"/>
              <w:bottom w:type="dxa" w:w="60"/>
              <w:right w:type="dxa" w:w="100"/>
            </w:tcMar>
          </w:tcPr>
          <w:p>
            <w:pPr>
              <w:spacing w:after="0"/>
            </w:pPr>
            <w:r>
              <w:rPr>
                <w:rFonts w:ascii="Times New Roman" w:cs="Times New Roman" w:eastAsia="Times New Roman" w:hAnsi="Times New Roman"/>
                <w:b/>
                <w:bCs/>
                <w:sz w:val="21"/>
                <w:szCs w:val="21"/>
              </w:rPr>
              <w:t xml:space="preserve">Platform</w:t>
            </w:r>
          </w:p>
        </w:tc>
        <w:tc>
          <w:tcPr>
            <w:tcW w:type="dxa" w:w="6360"/>
            <w:tcBorders>
              <w:top w:val="single" w:color="999999" w:sz="4"/>
              <w:left w:val="single" w:color="999999" w:sz="4"/>
              <w:bottom w:val="single" w:color="999999" w:sz="4"/>
              <w:right w:val="single" w:color="999999" w:sz="4"/>
            </w:tcBorders>
            <w:shd w:fill="EFEFEF" w:val="clear"/>
            <w:tcMar>
              <w:top w:type="dxa" w:w="60"/>
              <w:left w:type="dxa" w:w="100"/>
              <w:bottom w:type="dxa" w:w="60"/>
              <w:right w:type="dxa" w:w="100"/>
            </w:tcMar>
          </w:tcPr>
          <w:p>
            <w:pPr>
              <w:spacing w:after="0"/>
            </w:pPr>
            <w:r>
              <w:rPr>
                <w:rFonts w:ascii="Times New Roman" w:cs="Times New Roman" w:eastAsia="Times New Roman" w:hAnsi="Times New Roman"/>
                <w:b/>
                <w:bCs/>
                <w:sz w:val="21"/>
                <w:szCs w:val="21"/>
              </w:rPr>
              <w:t xml:space="preserve">Daily cadence</w:t>
            </w:r>
          </w:p>
        </w:tc>
      </w:tr>
      <w:t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Times New Roman" w:cs="Times New Roman" w:eastAsia="Times New Roman" w:hAnsi="Times New Roman"/>
                <w:sz w:val="21"/>
                <w:szCs w:val="21"/>
              </w:rPr>
              <w:t xml:space="preserve">TikTok</w:t>
            </w:r>
          </w:p>
        </w:tc>
        <w:tc>
          <w:tcPr>
            <w:tcW w:type="dxa" w:w="63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Times New Roman" w:cs="Times New Roman" w:eastAsia="Times New Roman" w:hAnsi="Times New Roman"/>
                <w:strike/>
                <w:color w:val="C00000"/>
                <w:sz w:val="21"/>
                <w:szCs w:val="21"/>
              </w:rPr>
              <w:t xml:space="preserve">4 videos / day</w:t>
            </w:r>
            <w:r>
              <w:rPr>
                <w:rFonts w:ascii="Times New Roman" w:cs="Times New Roman" w:eastAsia="Times New Roman" w:hAnsi="Times New Roman"/>
                <w:sz w:val="21"/>
                <w:szCs w:val="21"/>
              </w:rPr>
              <w:t xml:space="preserve"> </w:t>
            </w:r>
            <w:r>
              <w:rPr>
                <w:rFonts w:ascii="Times New Roman" w:cs="Times New Roman" w:eastAsia="Times New Roman" w:hAnsi="Times New Roman"/>
                <w:color w:val="1F4E9C"/>
                <w:sz w:val="21"/>
                <w:szCs w:val="21"/>
                <w:u w:val="single"/>
              </w:rPr>
              <w:t xml:space="preserve">3 videos / day</w:t>
            </w:r>
          </w:p>
        </w:tc>
      </w:tr>
      <w:t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Times New Roman" w:cs="Times New Roman" w:eastAsia="Times New Roman" w:hAnsi="Times New Roman"/>
                <w:sz w:val="21"/>
                <w:szCs w:val="21"/>
              </w:rPr>
              <w:t xml:space="preserve">Instagram</w:t>
            </w:r>
          </w:p>
        </w:tc>
        <w:tc>
          <w:tcPr>
            <w:tcW w:type="dxa" w:w="63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Times New Roman" w:cs="Times New Roman" w:eastAsia="Times New Roman" w:hAnsi="Times New Roman"/>
                <w:strike/>
                <w:color w:val="C00000"/>
                <w:sz w:val="21"/>
                <w:szCs w:val="21"/>
              </w:rPr>
              <w:t xml:space="preserve">3 posts + 5 stories / day</w:t>
            </w:r>
            <w:r>
              <w:rPr>
                <w:rFonts w:ascii="Times New Roman" w:cs="Times New Roman" w:eastAsia="Times New Roman" w:hAnsi="Times New Roman"/>
                <w:sz w:val="21"/>
                <w:szCs w:val="21"/>
              </w:rPr>
              <w:t xml:space="preserve"> </w:t>
            </w:r>
            <w:r>
              <w:rPr>
                <w:rFonts w:ascii="Times New Roman" w:cs="Times New Roman" w:eastAsia="Times New Roman" w:hAnsi="Times New Roman"/>
                <w:color w:val="1F4E9C"/>
                <w:sz w:val="21"/>
                <w:szCs w:val="21"/>
                <w:u w:val="single"/>
              </w:rPr>
              <w:t xml:space="preserve">2 posts + 3 stories / day</w:t>
            </w:r>
          </w:p>
        </w:tc>
      </w:tr>
      <w:t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Times New Roman" w:cs="Times New Roman" w:eastAsia="Times New Roman" w:hAnsi="Times New Roman"/>
                <w:sz w:val="21"/>
                <w:szCs w:val="21"/>
              </w:rPr>
              <w:t xml:space="preserve">YouTube</w:t>
            </w:r>
          </w:p>
        </w:tc>
        <w:tc>
          <w:tcPr>
            <w:tcW w:type="dxa" w:w="63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Times New Roman" w:cs="Times New Roman" w:eastAsia="Times New Roman" w:hAnsi="Times New Roman"/>
                <w:strike/>
                <w:color w:val="C00000"/>
                <w:sz w:val="21"/>
                <w:szCs w:val="21"/>
              </w:rPr>
              <w:t xml:space="preserve">3 shorts / day + 3 long-form / week</w:t>
            </w:r>
            <w:r>
              <w:rPr>
                <w:rFonts w:ascii="Times New Roman" w:cs="Times New Roman" w:eastAsia="Times New Roman" w:hAnsi="Times New Roman"/>
                <w:sz w:val="21"/>
                <w:szCs w:val="21"/>
              </w:rPr>
              <w:t xml:space="preserve"> </w:t>
            </w:r>
            <w:r>
              <w:rPr>
                <w:rFonts w:ascii="Times New Roman" w:cs="Times New Roman" w:eastAsia="Times New Roman" w:hAnsi="Times New Roman"/>
                <w:color w:val="1F4E9C"/>
                <w:sz w:val="21"/>
                <w:szCs w:val="21"/>
                <w:u w:val="single"/>
              </w:rPr>
              <w:t xml:space="preserve">2 shorts / day + 1 long-form / week</w:t>
            </w:r>
          </w:p>
        </w:tc>
      </w:tr>
      <w:t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Times New Roman" w:cs="Times New Roman" w:eastAsia="Times New Roman" w:hAnsi="Times New Roman"/>
                <w:strike/>
                <w:color w:val="C00000"/>
                <w:sz w:val="21"/>
                <w:szCs w:val="21"/>
              </w:rPr>
              <w:t xml:space="preserve">Facebook</w:t>
            </w:r>
          </w:p>
        </w:tc>
        <w:tc>
          <w:tcPr>
            <w:tcW w:type="dxa" w:w="63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Times New Roman" w:cs="Times New Roman" w:eastAsia="Times New Roman" w:hAnsi="Times New Roman"/>
                <w:strike/>
                <w:color w:val="C00000"/>
                <w:sz w:val="21"/>
                <w:szCs w:val="21"/>
              </w:rPr>
              <w:t xml:space="preserve">3 posts + 2 stories / day</w:t>
            </w:r>
            <w:r>
              <w:rPr>
                <w:rFonts w:ascii="Times New Roman" w:cs="Times New Roman" w:eastAsia="Times New Roman" w:hAnsi="Times New Roman"/>
                <w:sz w:val="21"/>
                <w:szCs w:val="21"/>
              </w:rPr>
              <w:t xml:space="preserve"> </w:t>
            </w:r>
            <w:r>
              <w:rPr>
                <w:rFonts w:ascii="Times New Roman" w:cs="Times New Roman" w:eastAsia="Times New Roman" w:hAnsi="Times New Roman"/>
                <w:color w:val="1F4E9C"/>
                <w:sz w:val="21"/>
                <w:szCs w:val="21"/>
                <w:u w:val="single"/>
              </w:rPr>
              <w:t xml:space="preserve">Cross-posts from priority platforms</w:t>
            </w:r>
          </w:p>
        </w:tc>
      </w:tr>
      <w:t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Times New Roman" w:cs="Times New Roman" w:eastAsia="Times New Roman" w:hAnsi="Times New Roman"/>
                <w:strike/>
                <w:color w:val="C00000"/>
                <w:sz w:val="21"/>
                <w:szCs w:val="21"/>
              </w:rPr>
              <w:t xml:space="preserve">X (Twitter)</w:t>
            </w:r>
          </w:p>
        </w:tc>
        <w:tc>
          <w:tcPr>
            <w:tcW w:type="dxa" w:w="63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Times New Roman" w:cs="Times New Roman" w:eastAsia="Times New Roman" w:hAnsi="Times New Roman"/>
                <w:strike/>
                <w:color w:val="C00000"/>
                <w:sz w:val="21"/>
                <w:szCs w:val="21"/>
              </w:rPr>
              <w:t xml:space="preserve">5 posts / day</w:t>
            </w:r>
            <w:r>
              <w:rPr>
                <w:rFonts w:ascii="Times New Roman" w:cs="Times New Roman" w:eastAsia="Times New Roman" w:hAnsi="Times New Roman"/>
                <w:sz w:val="21"/>
                <w:szCs w:val="21"/>
              </w:rPr>
              <w:t xml:space="preserve"> </w:t>
            </w:r>
            <w:r>
              <w:rPr>
                <w:rFonts w:ascii="Times New Roman" w:cs="Times New Roman" w:eastAsia="Times New Roman" w:hAnsi="Times New Roman"/>
                <w:color w:val="1F4E9C"/>
                <w:sz w:val="21"/>
                <w:szCs w:val="21"/>
                <w:u w:val="single"/>
              </w:rPr>
              <w:t xml:space="preserve">Cross-posts; activates upon Firm-provided tooling per Section 5(c)</w:t>
            </w:r>
          </w:p>
        </w:tc>
      </w:tr>
      <w:t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Times New Roman" w:cs="Times New Roman" w:eastAsia="Times New Roman" w:hAnsi="Times New Roman"/>
                <w:strike/>
                <w:color w:val="C00000"/>
                <w:sz w:val="21"/>
                <w:szCs w:val="21"/>
              </w:rPr>
              <w:t xml:space="preserve">LinkedIn</w:t>
            </w:r>
          </w:p>
        </w:tc>
        <w:tc>
          <w:tcPr>
            <w:tcW w:type="dxa" w:w="63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Times New Roman" w:cs="Times New Roman" w:eastAsia="Times New Roman" w:hAnsi="Times New Roman"/>
                <w:strike/>
                <w:color w:val="C00000"/>
                <w:sz w:val="21"/>
                <w:szCs w:val="21"/>
              </w:rPr>
              <w:t xml:space="preserve">Daily authority post</w:t>
            </w:r>
            <w:r>
              <w:rPr>
                <w:rFonts w:ascii="Times New Roman" w:cs="Times New Roman" w:eastAsia="Times New Roman" w:hAnsi="Times New Roman"/>
                <w:sz w:val="21"/>
                <w:szCs w:val="21"/>
              </w:rPr>
              <w:t xml:space="preserve"> </w:t>
            </w:r>
            <w:r>
              <w:rPr>
                <w:rFonts w:ascii="Times New Roman" w:cs="Times New Roman" w:eastAsia="Times New Roman" w:hAnsi="Times New Roman"/>
                <w:color w:val="1F4E9C"/>
                <w:sz w:val="21"/>
                <w:szCs w:val="21"/>
                <w:u w:val="single"/>
              </w:rPr>
              <w:t xml:space="preserve">2–3 authority posts / week</w:t>
            </w:r>
          </w:p>
        </w:tc>
      </w:tr>
      <w:t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Times New Roman" w:cs="Times New Roman" w:eastAsia="Times New Roman" w:hAnsi="Times New Roman"/>
                <w:strike/>
                <w:color w:val="C00000"/>
                <w:sz w:val="21"/>
                <w:szCs w:val="21"/>
              </w:rPr>
              <w:t xml:space="preserve">Google Business</w:t>
            </w:r>
          </w:p>
        </w:tc>
        <w:tc>
          <w:tcPr>
            <w:tcW w:type="dxa" w:w="63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Times New Roman" w:cs="Times New Roman" w:eastAsia="Times New Roman" w:hAnsi="Times New Roman"/>
                <w:strike/>
                <w:color w:val="C00000"/>
                <w:sz w:val="21"/>
                <w:szCs w:val="21"/>
              </w:rPr>
              <w:t xml:space="preserve">Daily profile update</w:t>
            </w:r>
            <w:r>
              <w:rPr>
                <w:rFonts w:ascii="Times New Roman" w:cs="Times New Roman" w:eastAsia="Times New Roman" w:hAnsi="Times New Roman"/>
                <w:sz w:val="21"/>
                <w:szCs w:val="21"/>
              </w:rPr>
              <w:t xml:space="preserve"> </w:t>
            </w:r>
            <w:r>
              <w:rPr>
                <w:rFonts w:ascii="Times New Roman" w:cs="Times New Roman" w:eastAsia="Times New Roman" w:hAnsi="Times New Roman"/>
                <w:color w:val="1F4E9C"/>
                <w:sz w:val="21"/>
                <w:szCs w:val="21"/>
                <w:u w:val="single"/>
              </w:rPr>
              <w:t xml:space="preserve">2–3 profile updates / week</w:t>
            </w:r>
          </w:p>
        </w:tc>
      </w:tr>
    </w:tbl>
    <w:p>
      <w:pPr>
        <w:spacing w:after="120"/>
      </w:pPr>
    </w:p>
    <w:p>
      <w:pPr>
        <w:spacing w:after="120" w:line="260"/>
      </w:pPr>
      <w:r>
        <w:rPr>
          <w:rFonts w:ascii="Times New Roman" w:cs="Times New Roman" w:eastAsia="Times New Roman" w:hAnsi="Times New Roman"/>
          <w:color w:val="1F4E9C"/>
          <w:sz w:val="21"/>
          <w:szCs w:val="21"/>
          <w:u w:val="single"/>
        </w:rPr>
        <w:t xml:space="preserve">2A. Ramp Schedule. Consistent with the build plan in Exhibit F: Month 1 is a build and setup phase (accounts connected, baselines captured in writing, content buffer loaded) with no minimum commitments; Month 2 minimums are 50% of the volumes above; full minimums apply from Month 3.</w:t>
      </w:r>
    </w:p>
    <w:p>
      <w:pPr>
        <w:spacing w:after="120" w:line="260"/>
      </w:pPr>
      <w:r>
        <w:rPr>
          <w:rFonts w:ascii="Times New Roman" w:cs="Times New Roman" w:eastAsia="Times New Roman" w:hAnsi="Times New Roman"/>
          <w:color w:val="1F4E9C"/>
          <w:sz w:val="21"/>
          <w:szCs w:val="21"/>
          <w:u w:val="single"/>
        </w:rPr>
        <w:t xml:space="preserve">2B. Publishing Infrastructure. The Contractor may operate publishing and scheduling through its shared, multi-client tools (Contractor Background IP under Section 7(i)), provided all social accounts, content, and metrics reside in Firm-owned accounts with the Firm holding full backend access per Section 9A. The Firm provides tooling, subscriptions, or API access required for TikTok and X publishing under Section 5(c).</w:t>
      </w:r>
    </w:p>
    <w:p>
      <w:pPr>
        <w:spacing w:after="120" w:line="260"/>
      </w:pPr>
      <w:r>
        <w:rPr>
          <w:rFonts w:ascii="Times New Roman" w:cs="Times New Roman" w:eastAsia="Times New Roman" w:hAnsi="Times New Roman"/>
          <w:b/>
          <w:bCs/>
          <w:sz w:val="21"/>
          <w:szCs w:val="21"/>
        </w:rPr>
        <w:t xml:space="preserve">3. Compliance &amp; Data. </w:t>
      </w:r>
      <w:r>
        <w:rPr>
          <w:rFonts w:ascii="Times New Roman" w:cs="Times New Roman" w:eastAsia="Times New Roman" w:hAnsi="Times New Roman"/>
          <w:sz w:val="21"/>
          <w:szCs w:val="21"/>
        </w:rPr>
        <w:t xml:space="preserve">Every post is treated as attorney advertising: required disclaimers, approved claim language, and a full published archive. All campaigns, analytics, pixels and reporting run inside the Firm’s own accounts, with the Firm holding full backend and metrics access at all times (Agreement §9A).</w:t>
      </w:r>
    </w:p>
    <w:p>
      <w:pPr>
        <w:spacing w:after="120" w:line="260"/>
      </w:pPr>
      <w:r>
        <w:rPr>
          <w:rFonts w:ascii="Times New Roman" w:cs="Times New Roman" w:eastAsia="Times New Roman" w:hAnsi="Times New Roman"/>
          <w:b/>
          <w:bCs/>
          <w:sz w:val="21"/>
          <w:szCs w:val="21"/>
        </w:rPr>
        <w:t xml:space="preserve">4. Tracking &amp; Review. </w:t>
      </w:r>
      <w:r>
        <w:rPr>
          <w:rFonts w:ascii="Times New Roman" w:cs="Times New Roman" w:eastAsia="Times New Roman" w:hAnsi="Times New Roman"/>
          <w:sz w:val="21"/>
          <w:szCs w:val="21"/>
        </w:rPr>
        <w:t xml:space="preserve">Commitments and results are tracked in Semrush and the Firm’s CTO Bonus Calculator and reviewed monthly by Operations. The performance bonus in Exhibit B remains obtainable only on verified results; no bonus is earned for work left on autopilot.</w:t>
      </w:r>
    </w:p>
    <w:p>
      <w:pPr>
        <w:spacing w:after="120" w:line="260"/>
      </w:pPr>
      <w:r>
        <w:rPr>
          <w:rFonts w:ascii="Times New Roman" w:cs="Times New Roman" w:eastAsia="Times New Roman" w:hAnsi="Times New Roman"/>
          <w:b/>
          <w:bCs/>
          <w:sz w:val="21"/>
          <w:szCs w:val="21"/>
        </w:rPr>
        <w:t xml:space="preserve">5. Effect of a Miss. </w:t>
      </w:r>
      <w:r>
        <w:rPr>
          <w:rFonts w:ascii="Times New Roman" w:cs="Times New Roman" w:eastAsia="Times New Roman" w:hAnsi="Times New Roman"/>
          <w:sz w:val="21"/>
          <w:szCs w:val="21"/>
        </w:rPr>
        <w:t xml:space="preserve">In any month the commitments are not met: (a) </w:t>
      </w:r>
      <w:r>
        <w:rPr>
          <w:rFonts w:ascii="Times New Roman" w:cs="Times New Roman" w:eastAsia="Times New Roman" w:hAnsi="Times New Roman"/>
          <w:strike/>
          <w:color w:val="C00000"/>
          <w:sz w:val="21"/>
          <w:szCs w:val="21"/>
        </w:rPr>
        <w:t xml:space="preserve">the Firm’s consent to the Contractor’s outside engagements is suspended until cured; (b) the shortfall is addressed at the monthly review; and (c) persistent failure is cause for termination under Section 13(b).</w:t>
      </w:r>
      <w:r>
        <w:rPr>
          <w:rFonts w:ascii="Times New Roman" w:cs="Times New Roman" w:eastAsia="Times New Roman" w:hAnsi="Times New Roman"/>
          <w:color w:val="1F4E9C"/>
          <w:sz w:val="21"/>
          <w:szCs w:val="21"/>
          <w:u w:val="single"/>
        </w:rPr>
        <w:t xml:space="preserve">the Firm gives written notice and the shortfall is addressed at the monthly review; (b) the Contractor has thirty (30) days to cure, during which outside-engagement consent continues; and (c) repeated uncured failure is a material breach subject to Section 13(b), including its cure provisions. A miss caused by platform outage, account action not caused by the Contractor, or documented illness or emergency is not a failure under this Exhibit.</w:t>
      </w:r>
    </w:p>
    <w:p>
      <w:pPr>
        <w:spacing w:after="120" w:line="260"/>
      </w:pPr>
      <w:r>
        <w:rPr>
          <w:rFonts w:ascii="Times New Roman" w:cs="Times New Roman" w:eastAsia="Times New Roman" w:hAnsi="Times New Roman"/>
          <w:color w:val="1F4E9C"/>
          <w:sz w:val="21"/>
          <w:szCs w:val="21"/>
          <w:u w:val="single"/>
        </w:rPr>
        <w:t xml:space="preserve">6. Full Flood Option. At any time after Month 3, the Firm may elect the full seven-platform program presented in Exhibit F (~825 posts/month and 10–15 premium hero ads/month) as an additional service schedule at a monthly service fee to be agreed in writing (proposed: $6,500/month), or the Parties may incorporate the full program into a renewal term with an adjusted base fee.</w:t>
      </w:r>
    </w:p>
    <w:p>
      <w:pPr>
        <w:spacing w:after="160"/>
      </w:pPr>
    </w:p>
    <w:p>
      <w:pPr>
        <w:spacing w:after="120" w:line="260"/>
      </w:pPr>
      <w:r>
        <w:rPr>
          <w:rFonts w:ascii="Times New Roman" w:cs="Times New Roman" w:eastAsia="Times New Roman" w:hAnsi="Times New Roman"/>
          <w:sz w:val="21"/>
          <w:szCs w:val="21"/>
        </w:rPr>
        <w:t xml:space="preserve">Acknowledged and agreed:</w:t>
      </w:r>
    </w:p>
    <w:p>
      <w:pPr>
        <w:spacing w:after="120" w:line="260"/>
      </w:pPr>
      <w:r>
        <w:rPr>
          <w:rFonts w:ascii="Times New Roman" w:cs="Times New Roman" w:eastAsia="Times New Roman" w:hAnsi="Times New Roman"/>
          <w:sz w:val="21"/>
          <w:szCs w:val="21"/>
        </w:rPr>
        <w:t xml:space="preserve">Contractor — Open Arms Consulting, LLC: ____________________________  Date: __________</w:t>
      </w:r>
    </w:p>
    <w:p>
      <w:pPr>
        <w:spacing w:after="120" w:line="260"/>
      </w:pPr>
      <w:r>
        <w:rPr>
          <w:rFonts w:ascii="Times New Roman" w:cs="Times New Roman" w:eastAsia="Times New Roman" w:hAnsi="Times New Roman"/>
          <w:sz w:val="21"/>
          <w:szCs w:val="21"/>
        </w:rPr>
        <w:t xml:space="preserve">Firm — The Zara Law Firm, LLC: ____________________________  Date: __________</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2026-07-22T07:03:48.058Z</dcterms:created>
  <dcterms:modified xsi:type="dcterms:W3CDTF">2026-07-22T07:03:48.058Z</dcterms:modified>
</cp:coreProperties>
</file>

<file path=docProps/custom.xml><?xml version="1.0" encoding="utf-8"?>
<Properties xmlns="http://schemas.openxmlformats.org/officeDocument/2006/custom-properties" xmlns:vt="http://schemas.openxmlformats.org/officeDocument/2006/docPropsVTypes"/>
</file>