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慢速层读取次数的下界由定义与两条显式假设直接导出，不含隐藏引理；把它讲出来是为了让判据可以被逐行核对，而不是把它当作结果。方法的其余部分与该界是否平凡无关。某系统缓存命中率已满格（CACHE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命中率白板。标尺的数学基础是一条下界（§3.1），它很短——由定义与两条显式假设直接导出，不含隐藏引理，写出来是为了让判据能被逐行核对，而不是把它当作结果。</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标尺的数学基础值得先说清，因为它决定了本文其余部分的分量。设数据项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界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界讲“复用的底线”。</w:t>
      </w:r>
    </w:p>
    <w:p>
      <w:pPr>
        <w:spacing w:after="40" w:line="276" w:lineRule="auto"/>
        <w:ind w:firstLine="360"/>
      </w:pPr>
      <w:r>
        <w:rPr>
          <w:rFonts w:ascii="Times New Roman" w:hAnsi="Times New Roman" w:eastAsia="宋体"/>
          <w:b/>
          <w:sz w:val="18"/>
        </w:rPr>
        <w:t>这条界平凡，而本文的其余部分不依赖它是否平凡。</w:t>
      </w:r>
      <w:r>
        <w:rPr>
          <w:rFonts w:ascii="Times New Roman" w:hAnsi="Times New Roman" w:eastAsia="宋体"/>
          <w:b w:val="0"/>
          <w:sz w:val="18"/>
        </w:rPr>
        <w:t xml:space="preserve"> 它平凡到不需要引用，因此审阅者无法在推导上挑刺；能挑刺、也确实被挑出问题的地方在别处——在计出来的数是否可信（§3.2），以及在字节账与时间账为什么不能混用（第 4.6 节）。</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集核算每层驻留预算，以“低速层读数回落至下界”作为复用是否落位的验收判据（取代命中率白板），并给出四步排查次序，每步标明读哪个计数器、什么算通过。判据不依赖模型、介质与工作负载。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判据的数学基础：一条平凡下界（§3.1）</w:t>
      </w:r>
      <w:r>
        <w:rPr>
          <w:rFonts w:ascii="Times New Roman" w:hAnsi="Times New Roman" w:eastAsia="宋体"/>
          <w:b w:val="0"/>
          <w:sz w:val="18"/>
        </w:rPr>
        <w:t>。设数据项 d 被复用 R 次、复用落在其能到达的最快层，则每一更慢层的最小读取次数为 1，且该下界可达、达到它的调度同时使低速层读取字节代价最小。该界由两条显式假设导出，</w:t>
      </w:r>
      <w:r>
        <w:rPr>
          <w:rFonts w:ascii="Times New Roman" w:hAnsi="Times New Roman" w:eastAsia="宋体"/>
          <w:b/>
          <w:sz w:val="18"/>
        </w:rPr>
        <w:t>平凡到不含隐藏引理，故不足以独立构成贡献</w:t>
      </w:r>
      <w:r>
        <w:rPr>
          <w:rFonts w:ascii="Times New Roman" w:hAnsi="Times New Roman" w:eastAsia="宋体"/>
          <w:b w:val="0"/>
          <w:sz w:val="18"/>
        </w:rPr>
        <w:t>；它的作用是使判据有一个可以被逐行核对的原点。</w:t>
      </w:r>
      <w:r>
        <w:rPr>
          <w:rFonts w:ascii="Times New Roman" w:hAnsi="Times New Roman" w:eastAsia="宋体"/>
          <w:b/>
          <w:sz w:val="18"/>
        </w:rPr>
        <w:t>由第 4.6 节的实测，本文给出该界之外的第二个理由：慢层同时收取字节代价与串行化代价，把数据上移到最快层可同时消除两者。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判据：下界与可验证性</w:t>
      </w:r>
    </w:p>
    <w:p>
      <w:pPr>
        <w:spacing w:after="40" w:line="276" w:lineRule="auto"/>
        <w:ind w:firstLine="360"/>
      </w:pPr>
      <w:r>
        <w:rPr>
          <w:rFonts w:ascii="Times New Roman" w:hAnsi="Times New Roman" w:eastAsia="宋体"/>
          <w:b w:val="0"/>
          <w:sz w:val="18"/>
        </w:rPr>
        <w:t>判据由两部分组成：一条下界，以及一个能让这条下界被逐行核对的测量规程。下界本身很短，第 4 章的全部结论都挂在它上面；真正需要展开的是后半部分——因为下界是否成立，最终取决于计出来的数是否可信。</w:t>
      </w:r>
    </w:p>
    <w:p>
      <w:pPr>
        <w:spacing w:after="40" w:before="80" w:line="240" w:lineRule="auto"/>
      </w:pPr>
      <w:r>
        <w:rPr>
          <w:rFonts w:ascii="Times New Roman" w:hAnsi="Times New Roman" w:eastAsia="黑体"/>
          <w:b w:val="0"/>
          <w:sz w:val="18"/>
        </w:rPr>
        <w:t>3.1  下界（引理）</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val="0"/>
          <w:sz w:val="18"/>
        </w:rPr>
        <w:t>引理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证明依赖两条显式假设：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由引理直接得到两条推论。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专家段基准台账（冷启动基线）</w:t>
      </w:r>
    </w:p>
    <w:p>
      <w:pPr>
        <w:spacing w:before="80" w:after="20"/>
        <w:jc w:val="center"/>
      </w:pPr>
      <w:r>
        <w:rPr>
          <w:rFonts w:ascii="Times New Roman" w:hAnsi="Times New Roman" w:eastAsia="Times New Roman"/>
          <w:b w:val="0"/>
          <w:sz w:val="15"/>
        </w:rPr>
        <w:t>Table 1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3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分层字节账把「慢层读了多少字节」与「这些字节多贵」分开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lower bound this paper uses on slow-tier reads follows immediately from the definition and from two explicit assumptions, with no hidden lemma; it is stated so that the criterion built on it can be checked line by line rather than taken as a result, and nothing else in the method depends on that bound being interesting.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