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在受内存约束的主机上，对 2.8T 参数 Kimi K3 混合专家（MoE）模型做冷启动推理，逐词元从字节层面跟踪数据搬运。现象是缓存命中率满格（CACHE HIT 100%），吞吐却上不去：每词元仍从低速盘全量重读专家权重 25.83 GB，占端到端耗时 94%；把专家迁至高速盘后命中率照样满格，字节台账显示每词元搬运量仍是 25.83 GB，一个字节未省——命中只换了介质。根因在于命中率统计的是"介质"、字节台账统计的是"字节"，两者是两本账。由此凝成一条经验规律"慢速层只读一次"：复用落在数据能到达的最快层时，更慢层的最小读取次数为 1 次且可达；迁移后专家段耗时 −37%，方向一致。据此给出以 distinct 集核算的字节下界作为验收判据，取代命中率白板；并指出字节达标并非终点，尚须核对该访问形态下的可达聚合带宽，因为算术与读取交替会使部分设备时间空转。另以 KV 缓存回放作对照，同一判据对两类负载给出相反结论，说明其依据是 distinct 集与驻留容量的实际关系，而非针对专家权重的特设。各项数字只对该实验成立。**</w:t>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的操作分析[12]及 Zahorjan 等的平衡作业界分析[13]证明，系统吞吐由服务需求（每词元每设备必须读取的字节量除以该设备可达带宽）最大的瓶颈设备决定，Amdahl 定律[14]是其在单一串行段下的退化形式。这些工作回答“复用值不值得做”，未回答“复用的实际发生位置是否已落位”。本文的原则补上后者：给出“复用应落在最快层”这一前提的可回查标尺。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并发倍数不是独立于睡眠占比的第二个量</w:t>
      </w:r>
      <w:r>
        <w:rPr>
          <w:rFonts w:ascii="Times New Roman" w:hAnsi="Times New Roman" w:eastAsia="宋体"/>
          <w:b w:val="0"/>
          <w:sz w:val="18"/>
        </w:rPr>
        <w:t>：16 ×（1 − 睡眠 40–49%）= 8.2–9.6，</w:t>
      </w:r>
    </w:p>
    <w:p>
      <w:pPr>
        <w:spacing w:after="40" w:line="276" w:lineRule="auto"/>
        <w:ind w:firstLine="360"/>
      </w:pPr>
      <w:r>
        <w:rPr>
          <w:rFonts w:ascii="Times New Roman" w:hAnsi="Times New Roman" w:eastAsia="宋体"/>
          <w:b w:val="0"/>
          <w:sz w:val="18"/>
        </w:rPr>
        <w:t>与实测 8.9–10.0× 一致，两者同源。本机为 8 物理核 / 16 逻辑处理器，</w:t>
      </w:r>
    </w:p>
    <w:p>
      <w:pPr>
        <w:spacing w:after="40" w:line="276" w:lineRule="auto"/>
        <w:ind w:firstLine="360"/>
      </w:pPr>
      <w:r>
        <w:rPr>
          <w:rFonts w:ascii="Times New Roman" w:hAnsi="Times New Roman" w:eastAsia="宋体"/>
          <w:b w:val="0"/>
          <w:sz w:val="18"/>
        </w:rPr>
        <w:t>8 核 × 1.1–1.25 倍 SMT 增益亦落在同一区间，故 worker 数超过 8–10 不再提高并行度。</w:t>
      </w:r>
    </w:p>
    <w:p>
      <w:pPr>
        <w:spacing w:after="40" w:line="276" w:lineRule="auto"/>
        <w:ind w:firstLine="360"/>
      </w:pPr>
      <w:r>
        <w:rPr>
          <w:rFonts w:ascii="Times New Roman" w:hAnsi="Times New Roman" w:eastAsia="宋体"/>
          <w:b/>
          <w:sz w:val="18"/>
        </w:rPr>
        <w:t>待定的成因</w:t>
      </w:r>
      <w:r>
        <w:rPr>
          <w:rFonts w:ascii="Times New Roman" w:hAnsi="Times New Roman" w:eastAsia="宋体"/>
          <w:b w:val="0"/>
          <w:sz w:val="18"/>
        </w:rPr>
        <w:t xml:space="preserve">：每层读毕 → 计算 → 才读下一层，worker 有 40–49% 的时间停在 </w:t>
      </w:r>
      <w:r>
        <w:rPr>
          <w:rFonts w:ascii="Consolas" w:hAnsi="Consolas"/>
          <w:color w:val="000080"/>
          <w:sz w:val="18"/>
        </w:rPr>
        <w:t>cond_wait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而队列只积压 3%。</w:t>
      </w:r>
      <w:r>
        <w:rPr>
          <w:rFonts w:ascii="Times New Roman" w:hAnsi="Times New Roman" w:eastAsia="宋体"/>
          <w:b/>
          <w:sz w:val="18"/>
        </w:rPr>
        <w:t>这排除的是"排队等盘"，不足以排除"worker 被换下核"</w:t>
      </w:r>
      <w:r>
        <w:rPr>
          <w:rFonts w:ascii="Times New Roman" w:hAnsi="Times New Roman" w:eastAsia="宋体"/>
          <w:b w:val="0"/>
          <w:sz w:val="18"/>
        </w:rPr>
        <w:t xml:space="preserve"> ——</w:t>
      </w:r>
    </w:p>
    <w:p>
      <w:pPr>
        <w:spacing w:after="40" w:line="276" w:lineRule="auto"/>
        <w:ind w:firstLine="360"/>
      </w:pPr>
      <w:r>
        <w:rPr>
          <w:rFonts w:ascii="Times New Roman" w:hAnsi="Times New Roman" w:eastAsia="宋体"/>
          <w:b w:val="0"/>
          <w:sz w:val="18"/>
        </w:rPr>
        <w:t>后者手上的请求已出队、处于 in-flight，队列深度看不到它。故"请求到达得太晚"目前是</w:t>
      </w:r>
    </w:p>
    <w:p>
      <w:pPr>
        <w:spacing w:after="40" w:line="276" w:lineRule="auto"/>
        <w:ind w:firstLine="360"/>
      </w:pPr>
      <w:r>
        <w:rPr>
          <w:rFonts w:ascii="Times New Roman" w:hAnsi="Times New Roman" w:eastAsia="宋体"/>
          <w:b/>
          <w:sz w:val="18"/>
        </w:rPr>
        <w:t>两种候选之一</w:t>
      </w:r>
      <w:r>
        <w:rPr>
          <w:rFonts w:ascii="Times New Roman" w:hAnsi="Times New Roman" w:eastAsia="宋体"/>
          <w:b w:val="0"/>
          <w:sz w:val="18"/>
        </w:rPr>
        <w:t>（producer 供不上 / CPU 受限），两者处置相反：前者改生产者节律，</w:t>
      </w:r>
    </w:p>
    <w:p>
      <w:pPr>
        <w:spacing w:after="40" w:line="276" w:lineRule="auto"/>
        <w:ind w:firstLine="360"/>
      </w:pPr>
      <w:r>
        <w:rPr>
          <w:rFonts w:ascii="Times New Roman" w:hAnsi="Times New Roman" w:eastAsia="宋体"/>
          <w:b w:val="0"/>
          <w:sz w:val="18"/>
        </w:rPr>
        <w:t>后者改 worker 等待方式。</w:t>
      </w:r>
      <w:r>
        <w:rPr>
          <w:rFonts w:ascii="Times New Roman" w:hAnsi="Times New Roman" w:eastAsia="宋体"/>
          <w:b/>
          <w:sz w:val="18"/>
        </w:rPr>
        <w:t>判据是逐 worker 采样 CPU 利用率与 runnable 时间，本节尚未做。</w:t>
      </w:r>
    </w:p>
    <w:p>
      <w:pPr>
        <w:spacing w:after="40" w:line="276" w:lineRule="auto"/>
        <w:ind w:firstLine="360"/>
      </w:pPr>
      <w:r>
        <w:rPr>
          <w:rFonts w:ascii="Times New Roman" w:hAnsi="Times New Roman" w:eastAsia="宋体"/>
          <w:b w:val="0"/>
          <w:sz w:val="18"/>
        </w:rPr>
        <w:t>在判定之前，"算术与 I/O 串行化"这一归因应视为未定。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补充第三条口径】字节达标不等于复用落位完成，须加测串行化。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，而队列仅积压 3%。</w:t>
      </w:r>
      <w:r>
        <w:rPr>
          <w:rFonts w:ascii="Times New Roman" w:hAnsi="Times New Roman" w:eastAsia="宋体"/>
          <w:b/>
          <w:sz w:val="18"/>
        </w:rPr>
        <w:t>这一组合排除"排队等盘"，但如 4.6 所述不足以区分"请求到达太晚"与"worker 被换下核"，该归因尚未判定</w:t>
      </w:r>
      <w:r>
        <w:rPr>
          <w:rFonts w:ascii="Times New Roman" w:hAnsi="Times New Roman" w:eastAsia="宋体"/>
          <w:b w:val="0"/>
          <w:sz w:val="18"/>
        </w:rPr>
        <w:t>（本机 8 物理核，8.9–10.0× 的有效并发与核数相符）。因此验收判据由两条并列：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算法能否免读</w:t>
      </w:r>
      <w:r>
        <w:rPr>
          <w:rFonts w:ascii="Times New Roman" w:hAnsi="Times New Roman" w:eastAsia="宋体"/>
          <w:b w:val="0"/>
          <w:sz w:val="18"/>
        </w:rPr>
        <w:t>：该数据项是否必须被读取；</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能否缓存复用</w:t>
      </w:r>
      <w:r>
        <w:rPr>
          <w:rFonts w:ascii="Times New Roman" w:hAnsi="Times New Roman" w:eastAsia="宋体"/>
          <w:b w:val="0"/>
          <w:sz w:val="18"/>
        </w:rPr>
        <w:t>：读取结果能否在最快层 M_k 驻留并被复用（即原则的在场条件）；</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落层位置</w:t>
      </w:r>
      <w:r>
        <w:rPr>
          <w:rFonts w:ascii="Times New Roman" w:hAnsi="Times New Roman" w:eastAsia="宋体"/>
          <w:b w:val="0"/>
          <w:sz w:val="18"/>
        </w:rPr>
        <w:t>：若必须从低速层读取，权重是否至少置于参与路径中更快的层；</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落层前压缩</w:t>
      </w:r>
      <w:r>
        <w:rPr>
          <w:rFonts w:ascii="Times New Roman" w:hAnsi="Times New Roman" w:eastAsia="宋体"/>
          <w:b w:val="0"/>
          <w:sz w:val="18"/>
        </w:rPr>
        <w:t>：能否先压缩再落层，减少届时必须搬动的字节。</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是。第一作者为中国计算机学会专业会员（会员号：＿＿＿＿＿＿＿＿），依《计算机科学》投稿须知第 10 条，录用稿件的版面设计服务费按 8.5 折计。</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