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所用原则——慢速层只读一次——由定义与两条显式假设直接导出，不含隐藏引理。</w:t>
      </w:r>
      <w:r>
        <w:rPr>
          <w:rFonts w:ascii="Times New Roman" w:hAnsi="Times New Roman" w:eastAsia="宋体"/>
          <w:b/>
          <w:sz w:val="18"/>
        </w:rPr>
        <w:t>平凡的是它的推导，不是它的作用：正因为它不需要引用，它才固定了一个任何字节台账都能逐行核对的口径，而可核对是全文其余部分的前提。</w:t>
      </w:r>
      <w:r>
        <w:rPr>
          <w:rFonts w:ascii="Times New Roman" w:hAnsi="Times New Roman" w:eastAsia="宋体"/>
          <w:b w:val="0"/>
          <w:sz w:val="18"/>
        </w:rPr>
        <w:t xml:space="preserve"> 某系统缓存命中率已满格（CACHE HIT 100%）而端到端吞吐上不去，此处以逐词元字节台账回答此类问题。现象是每词元仍从低速盘全量重读专家权重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。根因是命中率统计的是"介质"、字节台账统计的是"字节"，两者是两本账。由此凝成一条所用原则"慢速层只读一次"：复用落在数据能到达的最快层时，更慢层的最小读取次数为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按这一前提优化缓存时出现了一个反常现象：在本平台（第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后续工作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：使“复用是否落位”成为可验收的判断，取代命中率白板。标尺是慢速层只读一次原则（§3.1），它的推导很短——由定义与两条显式假设直接导出，不含隐藏引理。</w:t>
      </w:r>
      <w:r>
        <w:rPr>
          <w:rFonts w:ascii="Times New Roman" w:hAnsi="Times New Roman" w:eastAsia="宋体"/>
          <w:b/>
          <w:sz w:val="18"/>
        </w:rPr>
        <w:t>短在这里是优点：原则不依赖任何文献，因此审阅者在推导上无处挑刺；而它一旦成立，就固定了判据可以被逐行核对的那个原点。</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标尺所依据的原则值得先说清。设数据项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原则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原则讲“复用的底线”。</w:t>
      </w:r>
    </w:p>
    <w:p>
      <w:pPr>
        <w:spacing w:after="40" w:line="276" w:lineRule="auto"/>
        <w:ind w:firstLine="360"/>
      </w:pPr>
      <w:r>
        <w:rPr>
          <w:rFonts w:ascii="Times New Roman" w:hAnsi="Times New Roman" w:eastAsia="宋体"/>
          <w:b/>
          <w:sz w:val="18"/>
        </w:rPr>
        <w:t>平凡的是这条原则的推导，不是它的作用。</w:t>
      </w:r>
      <w:r>
        <w:rPr>
          <w:rFonts w:ascii="Times New Roman" w:hAnsi="Times New Roman" w:eastAsia="宋体"/>
          <w:b w:val="0"/>
          <w:sz w:val="18"/>
        </w:rPr>
        <w:t xml:space="preserve"> 它平凡到不需要引用，这既是它的弱点（不足以单独支撑一篇论文）也是它的长处（审阅者无法在推导上挑刺）。而真正决定判据能否成立的地方在两处：</w:t>
      </w:r>
      <w:r>
        <w:rPr>
          <w:rFonts w:ascii="Times New Roman" w:hAnsi="Times New Roman" w:eastAsia="宋体"/>
          <w:b/>
          <w:sz w:val="18"/>
        </w:rPr>
        <w:t>计出来的数是否可信（§3.2）</w:t>
      </w:r>
      <w:r>
        <w:rPr>
          <w:rFonts w:ascii="Times New Roman" w:hAnsi="Times New Roman" w:eastAsia="宋体"/>
          <w:b w:val="0"/>
          <w:sz w:val="18"/>
        </w:rPr>
        <w:t>，以及</w:t>
      </w:r>
      <w:r>
        <w:rPr>
          <w:rFonts w:ascii="Times New Roman" w:hAnsi="Times New Roman" w:eastAsia="宋体"/>
          <w:b/>
          <w:sz w:val="18"/>
        </w:rPr>
        <w:t>字节账与时间账为什么不能混用（第 4.6 节）</w:t>
      </w:r>
      <w:r>
        <w:rPr>
          <w:rFonts w:ascii="Times New Roman" w:hAnsi="Times New Roman" w:eastAsia="宋体"/>
          <w:b w:val="0"/>
          <w:sz w:val="18"/>
        </w:rPr>
        <w:t>。这两处都不是原理能回答的，本文的主要工作也在它们上面。</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集核算每层驻留预算，以“低速层读数回落至下界”作为复用是否落位的验收判据（取代命中率白板），并给出四步排查次序，每步标明读哪个计数器、什么算通过。判据不依赖模型、介质与工作负载。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慢速层只读一次原则及其证据（§3.1、§4）</w:t>
      </w:r>
      <w:r>
        <w:rPr>
          <w:rFonts w:ascii="Times New Roman" w:hAnsi="Times New Roman" w:eastAsia="宋体"/>
          <w:b w:val="0"/>
          <w:sz w:val="18"/>
        </w:rPr>
        <w:t>。设数据项 d 被复用 R 次、复用落在其能到达的最快层，则每一更慢层的最小读取次数为 1，且该下界可达、达到它的调度同时使低速层读取字节代价最小。</w:t>
      </w:r>
      <w:r>
        <w:rPr>
          <w:rFonts w:ascii="Times New Roman" w:hAnsi="Times New Roman" w:eastAsia="宋体"/>
          <w:b/>
          <w:sz w:val="18"/>
        </w:rPr>
        <w:t>该原则由两条显式假设导出、推导平凡，其价值不在于深，而在于它固定了一个不需要引用即可核对的口径</w:t>
      </w:r>
      <w:r>
        <w:rPr>
          <w:rFonts w:ascii="Times New Roman" w:hAnsi="Times New Roman" w:eastAsia="宋体"/>
          <w:b w:val="0"/>
          <w:sz w:val="18"/>
        </w:rPr>
        <w:t>：正因为它简单，判据的验收标准才能被逐行回查，而回查是本篇其余工作的前提。</w:t>
      </w:r>
      <w:r>
        <w:rPr>
          <w:rFonts w:ascii="Times New Roman" w:hAnsi="Times New Roman" w:eastAsia="宋体"/>
          <w:b/>
          <w:sz w:val="18"/>
        </w:rPr>
        <w:t>第 4 章给出它的两类证据——字节层面的偏离（低速盘每词元全量重读 25.83 GB）与字节之外的第二个理由（慢层同时收取字节代价与串行化代价，把数据上移到最快层可同时消除两者）。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慢速层只读一次原则：下界与可验证性</w:t>
      </w:r>
    </w:p>
    <w:p>
      <w:pPr>
        <w:spacing w:after="40" w:line="276" w:lineRule="auto"/>
        <w:ind w:firstLine="360"/>
      </w:pPr>
      <w:r>
        <w:rPr>
          <w:rFonts w:ascii="Times New Roman" w:hAnsi="Times New Roman" w:eastAsia="宋体"/>
          <w:b w:val="0"/>
          <w:sz w:val="18"/>
        </w:rPr>
        <w:t>全文的判据由两部分组成：一条原则，以及一个能让这条原则被逐行核对的测量规程。原则本身很短，第 4 章的全部结论都挂在它上面；真正需要展开的是后半部分——因为判据是否成立，最终取决于计出来的数是否可信。</w:t>
      </w:r>
    </w:p>
    <w:p>
      <w:pPr>
        <w:spacing w:after="40" w:before="80" w:line="240" w:lineRule="auto"/>
      </w:pPr>
      <w:r>
        <w:rPr>
          <w:rFonts w:ascii="Times New Roman" w:hAnsi="Times New Roman" w:eastAsia="黑体"/>
          <w:b w:val="0"/>
          <w:sz w:val="18"/>
        </w:rPr>
        <w:t>3.1  原则：慢速层只读一次</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sz w:val="18"/>
        </w:rPr>
        <w:t>原则</w:t>
      </w:r>
      <w:r>
        <w:rPr>
          <w:rFonts w:ascii="Times New Roman" w:hAnsi="Times New Roman" w:eastAsia="宋体"/>
          <w:b w:val="0"/>
          <w:sz w:val="18"/>
        </w:rPr>
        <w:t xml:space="preserve">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该原则的推导依赖两条显式假设：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由该原则直接得到两条推论。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150"/>
        <w:gridCol w:w="1242"/>
        <w:gridCol w:w="1242"/>
        <w:gridCol w:w="1242"/>
      </w:tblGrid>
      <w:tr>
        <w:tc>
          <w:tcPr>
            <w:tcW w:type="dxa" w:w="1150"/>
          </w:tcPr>
          <w:p>
            <w:pPr>
              <w:spacing w:after="0" w:before="0" w:line="240" w:lineRule="auto"/>
            </w:pPr>
            <w:r/>
            <w:r>
              <w:rPr>
                <w:rFonts w:ascii="Times New Roman" w:hAnsi="Times New Roman" w:eastAsia="黑体"/>
                <w:b/>
                <w:sz w:val="16"/>
              </w:rPr>
              <w:t>字段</w:t>
            </w:r>
          </w:p>
        </w:tc>
        <w:tc>
          <w:tcPr>
            <w:tcW w:type="dxa" w:w="1242"/>
          </w:tcPr>
          <w:p>
            <w:pPr>
              <w:spacing w:after="0" w:before="0" w:line="240" w:lineRule="auto"/>
            </w:pPr>
            <w:r/>
            <w:r>
              <w:rPr>
                <w:rFonts w:ascii="Times New Roman" w:hAnsi="Times New Roman" w:eastAsia="黑体"/>
                <w:b/>
                <w:sz w:val="16"/>
              </w:rPr>
              <w:t>它报出来的</w:t>
            </w:r>
          </w:p>
        </w:tc>
        <w:tc>
          <w:tcPr>
            <w:tcW w:type="dxa" w:w="1242"/>
          </w:tcPr>
          <w:p>
            <w:pPr>
              <w:spacing w:after="0" w:before="0" w:line="240" w:lineRule="auto"/>
            </w:pPr>
            <w:r/>
            <w:r>
              <w:rPr>
                <w:rFonts w:ascii="Times New Roman" w:hAnsi="Times New Roman" w:eastAsia="黑体"/>
                <w:b/>
                <w:sz w:val="16"/>
              </w:rPr>
              <w:t>独立量报的</w:t>
            </w:r>
          </w:p>
        </w:tc>
        <w:tc>
          <w:tcPr>
            <w:tcW w:type="dxa" w:w="124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tbl>
      <w:tblPr>
        <w:tblStyle w:val="TableGrid"/>
        <w:tblW w:type="auto" w:w="0"/>
        <w:tblLook w:firstColumn="1" w:firstRow="1" w:lastColumn="0" w:lastRow="0" w:noHBand="0" w:noVBand="1" w:val="04A0"/>
        <w:tblLayout w:type="fixed"/>
      </w:tblPr>
      <w:tblGrid>
        <w:gridCol w:w="1341"/>
        <w:gridCol w:w="3535"/>
      </w:tblGrid>
      <w:tr>
        <w:tc>
          <w:tcPr>
            <w:tcW w:type="dxa" w:w="1341"/>
          </w:tcPr>
          <w:p>
            <w:pPr>
              <w:spacing w:after="0" w:before="0" w:line="240" w:lineRule="auto"/>
            </w:pPr>
            <w:r/>
            <w:r>
              <w:rPr>
                <w:rFonts w:ascii="Times New Roman" w:hAnsi="Times New Roman" w:eastAsia="黑体"/>
                <w:b/>
                <w:sz w:val="16"/>
              </w:rPr>
              <w:t>派生量</w:t>
            </w:r>
          </w:p>
        </w:tc>
        <w:tc>
          <w:tcPr>
            <w:tcW w:type="dxa" w:w="3535"/>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专家段基准台账（冷启动基线）</w:t>
      </w:r>
    </w:p>
    <w:p>
      <w:pPr>
        <w:spacing w:before="80" w:after="20"/>
        <w:jc w:val="center"/>
      </w:pPr>
      <w:r>
        <w:rPr>
          <w:rFonts w:ascii="Times New Roman" w:hAnsi="Times New Roman" w:eastAsia="Times New Roman"/>
          <w:b w:val="0"/>
          <w:sz w:val="15"/>
        </w:rPr>
        <w:t>Table 1　Baseline ledger of the expert stage (cold-start baseline)</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的可检验含义是：更慢层的读数应随着“复用实际落位层”的上移而向下界（一次生成调用之内，每个 distinct 项刚好只读一次）单向趋近。本案例提供了两个可观测的落位档，加上一个由推论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Per-token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3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tbl>
      <w:tblPr>
        <w:tblStyle w:val="TableGrid"/>
        <w:tblW w:type="auto" w:w="0"/>
        <w:tblLook w:firstColumn="1" w:firstRow="1" w:lastColumn="0" w:lastRow="0" w:noHBand="0" w:noVBand="1" w:val="04A0"/>
        <w:tblLayout w:type="fixed"/>
      </w:tblPr>
      <w:tblGrid>
        <w:gridCol w:w="1250"/>
        <w:gridCol w:w="747"/>
        <w:gridCol w:w="819"/>
        <w:gridCol w:w="2060"/>
      </w:tblGrid>
      <w:tr>
        <w:tc>
          <w:tcPr>
            <w:tcW w:type="dxa" w:w="1250"/>
          </w:tcPr>
          <w:p>
            <w:pPr>
              <w:spacing w:after="0" w:before="0" w:line="240" w:lineRule="auto"/>
            </w:pPr>
            <w:r/>
            <w:r>
              <w:rPr>
                <w:rFonts w:ascii="Times New Roman" w:hAnsi="Times New Roman" w:eastAsia="黑体"/>
                <w:b/>
                <w:sz w:val="16"/>
              </w:rPr>
              <w:t>实际发生的错误</w:t>
            </w:r>
          </w:p>
        </w:tc>
        <w:tc>
          <w:tcPr>
            <w:tcW w:type="dxa" w:w="747"/>
          </w:tcPr>
          <w:p>
            <w:pPr>
              <w:spacing w:after="0" w:before="0" w:line="240" w:lineRule="auto"/>
            </w:pPr>
            <w:r/>
            <w:r>
              <w:rPr>
                <w:rFonts w:ascii="Times New Roman" w:hAnsi="Times New Roman" w:eastAsia="黑体"/>
                <w:b/>
                <w:sz w:val="16"/>
              </w:rPr>
              <w:t>观测平面</w:t>
            </w:r>
          </w:p>
        </w:tc>
        <w:tc>
          <w:tcPr>
            <w:tcW w:type="dxa" w:w="819"/>
          </w:tcPr>
          <w:p>
            <w:pPr>
              <w:spacing w:after="0" w:before="0" w:line="240" w:lineRule="auto"/>
            </w:pPr>
            <w:r/>
            <w:r>
              <w:rPr>
                <w:rFonts w:ascii="Times New Roman" w:hAnsi="Times New Roman" w:eastAsia="黑体"/>
                <w:b/>
                <w:sz w:val="16"/>
              </w:rPr>
              <w:t>四步能否抓住</w:t>
            </w:r>
          </w:p>
        </w:tc>
        <w:tc>
          <w:tcPr>
            <w:tcW w:type="dxa" w:w="2060"/>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分层字节账把「慢层读了多少字节」与「这些字节多贵」分开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本文原则"慢速层只读一次"（§3.1）在另一类负载上同样适用：复用若落在数据能到达的最快层，每一更慢层的最小读取次数为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