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103607"/>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103607"/>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L1 策略</w:t>
            </w:r>
          </w:p>
        </w:tc>
        <w:tc>
          <w:tcPr>
            <w:tcW w:type="dxa" w:w="2523"/>
          </w:tcPr>
          <w:p>
            <w:pPr>
              <w:spacing w:after="0"/>
            </w:pPr>
            <w:r/>
            <w:r>
              <w:rPr>
                <w:rFonts w:ascii="Times New Roman" w:hAnsi="Times New Roman" w:eastAsia="黑体"/>
                <w:b/>
                <w:sz w:val="16"/>
              </w:rPr>
              <w:t>cache/GB</w:t>
            </w:r>
          </w:p>
        </w:tc>
        <w:tc>
          <w:tcPr>
            <w:tcW w:type="dxa" w:w="2523"/>
          </w:tcPr>
          <w:p>
            <w:pPr>
              <w:spacing w:after="0"/>
            </w:pPr>
            <w:r/>
            <w:r>
              <w:rPr>
                <w:rFonts w:ascii="Times New Roman" w:hAnsi="Times New Roman" w:eastAsia="黑体"/>
                <w:b/>
                <w:sz w:val="16"/>
              </w:rPr>
              <w:t>三轮实测（GB/词元）</w:t>
            </w:r>
          </w:p>
        </w:tc>
        <w:tc>
          <w:tcPr>
            <w:tcW w:type="dxa" w:w="2523"/>
          </w:tcPr>
          <w:p>
            <w:pPr>
              <w:spacing w:after="0"/>
            </w:pPr>
            <w:r/>
            <w:r>
              <w:rPr>
                <w:rFonts w:ascii="Times New Roman" w:hAnsi="Times New Roman" w:eastAsia="黑体"/>
                <w:b/>
                <w:sz w:val="16"/>
              </w:rPr>
              <w:t>中位</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bl>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当日最优配置（首轮扫描）</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分相位实测（第二次，主干常驻档，n=3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before="80" w:after="20"/>
        <w:jc w:val="center"/>
      </w:pPr>
      <w:r>
        <w:drawing>
          <wp:inline xmlns:a="http://schemas.openxmlformats.org/drawingml/2006/main" xmlns:pic="http://schemas.openxmlformats.org/drawingml/2006/picture">
            <wp:extent cx="2880000" cy="1101930"/>
            <wp:docPr id="4" name="Picture 4"/>
            <wp:cNvGraphicFramePr>
              <a:graphicFrameLocks noChangeAspect="1"/>
            </wp:cNvGraphicFramePr>
            <a:graphic>
              <a:graphicData uri="http://schemas.openxmlformats.org/drawingml/2006/picture">
                <pic:pic>
                  <pic:nvPicPr>
                    <pic:cNvPr id="0" name="table4_ratio_grey.png"/>
                    <pic:cNvPicPr/>
                  </pic:nvPicPr>
                  <pic:blipFill>
                    <a:blip r:embed="rId12"/>
                    <a:stretch>
                      <a:fillRect/>
                    </a:stretch>
                  </pic:blipFill>
                  <pic:spPr>
                    <a:xfrm>
                      <a:off x="0" y="0"/>
                      <a:ext cx="2880000" cy="1101930"/>
                    </a:xfrm>
                    <a:prstGeom prst="rect"/>
                  </pic:spPr>
                </pic:pic>
              </a:graphicData>
            </a:graphic>
          </wp:inline>
        </w:drawing>
      </w:r>
    </w:p>
    <w:p>
      <w:pPr>
        <w:spacing w:after="20" w:before="0"/>
        <w:jc w:val="center"/>
      </w:pPr>
      <w:r>
        <w:rPr>
          <w:rFonts w:ascii="Times New Roman" w:hAnsi="Times New Roman" w:eastAsia="宋体"/>
          <w:b w:val="0"/>
          <w:sz w:val="15"/>
        </w:rPr>
        <w:t>图 3　同一配置连续 30 次运行的字节量与输出速度对比</w:t>
      </w:r>
    </w:p>
    <w:p>
      <w:pPr>
        <w:spacing w:after="20" w:before="0"/>
        <w:jc w:val="center"/>
      </w:pPr>
      <w:r>
        <w:rPr>
          <w:rFonts w:ascii="Times New Roman" w:hAnsi="Times New Roman" w:eastAsia="Times New Roman"/>
          <w:b w:val="0"/>
          <w:sz w:val="15"/>
        </w:rPr>
        <w:t>Fig.3　Byte count and output speed over thirty consecutive runs of one configuration</w:t>
      </w:r>
    </w:p>
    <w:p>
      <w:pPr>
        <w:spacing w:after="40" w:line="276" w:lineRule="auto"/>
        <w:ind w:firstLine="360"/>
      </w:pPr>
      <w:r>
        <w:rPr>
          <w:rFonts w:ascii="Times New Roman" w:hAnsi="Times New Roman" w:eastAsia="宋体"/>
          <w:b/>
          <w:sz w:val="18"/>
        </w:rPr>
        <w:t>图 4 的左图说明为什么需要两步读法。</w:t>
      </w:r>
      <w:r>
        <w:rPr>
          <w:rFonts w:ascii="Times New Roman" w:hAnsi="Times New Roman" w:eastAsia="宋体"/>
          <w:b w:val="0"/>
          <w:sz w:val="18"/>
        </w:rPr>
        <w:t xml:space="preserve"> 四个比值里 3.11 与 1.60 都远离 1.00，若直接按"实测高于公式"解读，会得出实现有严重损耗的结论；而右图显示，一旦主干与专家各自按其实际带宽计价，比值即落回 1.00 与 1.06，</w:t>
      </w:r>
      <w:r>
        <w:rPr>
          <w:rFonts w:ascii="Times New Roman" w:hAnsi="Times New Roman" w:eastAsia="宋体"/>
          <w:b/>
          <w:sz w:val="18"/>
        </w:rPr>
        <w:t>两档均在规程第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w:t>
      </w:r>
      <w:r>
        <w:rPr>
          <w:rFonts w:ascii="Consolas" w:hAnsi="Consolas"/>
          <w:color w:val="000080"/>
          <w:sz w:val="18"/>
        </w:rPr>
        <w:t>16 ×（1 − 睡眠 40–49%）= 8.2–9.6</w:t>
      </w:r>
      <w:r>
        <w:rPr>
          <w:rFonts w:ascii="Times New Roman" w:hAnsi="Times New Roman" w:eastAsia="宋体"/>
          <w:b w:val="0"/>
          <w:sz w:val="18"/>
        </w:rPr>
        <w:t>，与实测 8.9–10.0× 同源。本机为 8 物理核 / 16 逻辑处理器，8 核 × 1.1–1.25 倍 SMT 增益亦落在同一区间，worker 数超过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受限，三条依据：饱和时运行队列等待应不小于在核时间（比值 ≳ 1），实测全部 ≤ 0.111；在核总量 1007.4 s ÷ 墙钟 314 s = 3.2 核 / 8 核，即 40% 占用；队列等待 52.7 s 占可用核时（314 × 8 s）的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搬运量较大的那一流暴露在墙上的时间不到 1%，搬运量较小的那一流占去整轮墙的大半</w:t>
      </w:r>
      <w:r>
        <w:rPr>
          <w:rFonts w:ascii="Times New Roman" w:hAnsi="Times New Roman" w:eastAsia="宋体"/>
          <w:b w:val="0"/>
          <w:sz w:val="18"/>
        </w:rPr>
        <w:t>（图 5）。按单位字节计价，二者相差两个多数量级。</w:t>
      </w:r>
    </w:p>
    <w:p>
      <w:pPr>
        <w:spacing w:before="80" w:after="20"/>
        <w:jc w:val="center"/>
      </w:pPr>
      <w:r>
        <w:drawing>
          <wp:inline xmlns:a="http://schemas.openxmlformats.org/drawingml/2006/main" xmlns:pic="http://schemas.openxmlformats.org/drawingml/2006/picture">
            <wp:extent cx="2880000" cy="1148901"/>
            <wp:docPr id="5" name="Picture 5"/>
            <wp:cNvGraphicFramePr>
              <a:graphicFrameLocks noChangeAspect="1"/>
            </wp:cNvGraphicFramePr>
            <a:graphic>
              <a:graphicData uri="http://schemas.openxmlformats.org/drawingml/2006/picture">
                <pic:pic>
                  <pic:nvPicPr>
                    <pic:cNvPr id="0" name="bytes_vs_cost_grey.png"/>
                    <pic:cNvPicPr/>
                  </pic:nvPicPr>
                  <pic:blipFill>
                    <a:blip r:embed="rId13"/>
                    <a:stretch>
                      <a:fillRect/>
                    </a:stretch>
                  </pic:blipFill>
                  <pic:spPr>
                    <a:xfrm>
                      <a:off x="0" y="0"/>
                      <a:ext cx="2880000" cy="1148901"/>
                    </a:xfrm>
                    <a:prstGeom prst="rect"/>
                  </pic:spPr>
                </pic:pic>
              </a:graphicData>
            </a:graphic>
          </wp:inline>
        </w:drawing>
      </w:r>
    </w:p>
    <w:p>
      <w:pPr>
        <w:spacing w:after="20" w:before="0"/>
        <w:jc w:val="center"/>
      </w:pPr>
      <w:r>
        <w:rPr>
          <w:rFonts w:ascii="Times New Roman" w:hAnsi="Times New Roman" w:eastAsia="宋体"/>
          <w:b w:val="0"/>
          <w:sz w:val="15"/>
        </w:rPr>
        <w:t>图 4　表 4 的"实测 ÷ 公式下限"比值，左为原始值，右为主干/专家分流计价后</w:t>
      </w:r>
    </w:p>
    <w:p>
      <w:pPr>
        <w:spacing w:after="20" w:before="0"/>
        <w:jc w:val="center"/>
      </w:pPr>
      <w:r>
        <w:rPr>
          <w:rFonts w:ascii="Times New Roman" w:hAnsi="Times New Roman" w:eastAsia="Times New Roman"/>
          <w:b w:val="0"/>
          <w:sz w:val="15"/>
        </w:rPr>
        <w:t>Fig.4　Table 4's measured/bound ratio, raw (left) and after per-stream re-pricing (right)</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 xml:space="preserve">差距的方向与存在性不受测量口径影响，幅度则随口径变化：由上述三对配对测得 1.30–1.58 倍。以 buffered 读与错误单元尺寸得到的速率（1007 / 1058 / 1358 / 2926 MB/s）不满足与引擎同口径——其单元大小取 17600000，而引擎实际 </w:t>
      </w:r>
      <w:r>
        <w:rPr>
          <w:rFonts w:ascii="Consolas" w:hAnsi="Consolas"/>
          <w:color w:val="000080"/>
          <w:sz w:val="18"/>
        </w:rPr>
        <w:t>l2.slot_bytes</w:t>
      </w:r>
      <w:r>
        <w:rPr>
          <w:rFonts w:ascii="Times New Roman" w:hAnsi="Times New Roman" w:eastAsia="宋体"/>
          <w:b w:val="0"/>
          <w:sz w:val="18"/>
        </w:rPr>
        <w:t xml:space="preserve"> 为 17547264（引擎启动行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流），说明差距不是设备并发能力不足。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