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在受内存约束的主机上，对 2.8T 参数 Kimi K3 混合专家（MoE）模型做冷启动推理，逐词元从字节层面跟踪数据搬运。现象是缓存命中率满格（CACHE HIT 100%），吞吐却上不去：每词元仍从低速盘全量重读专家权重 25.83 GB，占端到端耗时 94%；把专家迁至高速盘后命中率照样满格，字节台账显示每词元搬运量仍是 25.83 GB，一个字节未省——命中只换了介质。根因在于命中率统计的是"介质"、字节台账统计的是"字节"，两者是两本账。由此凝成一条经验规律"慢速层只读一次"：复用落在数据能到达的最快层时，更慢层的最小读取次数为 1 次且可达；迁移后专家段耗时 −37%，方向一致。据此给出以 distinct 集核算的字节下界作为验收判据，取代命中率白板；并指出字节达标并非终点，尚须核对该访问形态下的可达聚合带宽，因为算术与读取交替会使部分设备时间空转。另以 KV 缓存回放作对照，同一判据对两类负载给出相反结论，说明其依据是 distinct 集与驻留容量的实际关系，而非针对专家权重的特设。各项数字只对该实验成立。**</w:t>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的操作分析[12]及 Zahorjan 等的平衡作业界分析[13]证明，系统吞吐由服务需求（每词元每设备必须读取的字节量除以该设备可达带宽）最大的瓶颈设备决定，Amdahl 定律[14]是其在单一串行段下的退化形式。这些工作回答“复用值不值得做”，未回答“复用的实际发生位置是否已落位”。本文的原则补上后者：给出“复用应落在最快层”这一前提的可回查标尺。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1”，因此必须以字节计数对照使用；该下界进一步作为分层存储开发的预算线与验收判据（第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d，都必须依次经路径上各层读入。该公设排除了“不经某层也能上行”的实现（旁路、直接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2）：违规检出——低速层读数远超下界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验证二（推论 1 的可检验含义）：低速层读数随落位层上移而下降、趋向该下界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条并不矛盾：两种策略的差异本应只在容量不足、必须逐出时才显现，而该条件下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公式对照：瓶颈界预测的输出速度与真机实测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w:t>
      </w:r>
      <w:r>
        <w:rPr>
          <w:rFonts w:ascii="Times New Roman" w:hAnsi="Times New Roman" w:eastAsia="宋体"/>
          <w:b/>
          <w:sz w:val="18"/>
        </w:rPr>
        <w:t>单一顺序流上"字节÷带宽"即定律</w:t>
      </w:r>
      <w:r>
        <w:rPr>
          <w:rFonts w:ascii="Times New Roman" w:hAnsi="Times New Roman" w:eastAsia="宋体"/>
          <w:b w:val="0"/>
          <w:sz w:val="18"/>
        </w:rPr>
        <w:t>，与表 1 专家段占端到端 94% 相互印证。后三档实测/下限为 1.06-3.11，先是计价口径问题：公式给全部字节按同一带宽计价，而实测中主干按 890 MB/s、专家按 379 MB/s（表 3），二者不可共用分母；按 5.2.1 分流计价后比值降至 1.06。但</w:t>
      </w:r>
      <w:r>
        <w:rPr>
          <w:rFonts w:ascii="Times New Roman" w:hAnsi="Times New Roman" w:eastAsia="宋体"/>
          <w:b/>
          <w:sz w:val="18"/>
        </w:rPr>
        <w:t>该 1.06 不足以支持"剩余差距不是实现损耗"的结论</w:t>
      </w:r>
      <w:r>
        <w:rPr>
          <w:rFonts w:ascii="Times New Roman" w:hAnsi="Times New Roman" w:eastAsia="宋体"/>
          <w:b w:val="0"/>
          <w:sz w:val="18"/>
        </w:rPr>
        <w:t>——分母若取引擎实绩，比值必然趋近 1；代入设备实测能力后仍有可观差距，且该差距经引擎内计数器定位为算术与 I/O 的串行化，而非字节。</w:t>
      </w:r>
      <w:r>
        <w:rPr>
          <w:rFonts w:ascii="Times New Roman" w:hAnsi="Times New Roman" w:eastAsia="宋体"/>
          <w:b/>
          <w:sz w:val="18"/>
        </w:rPr>
        <w:t>故本表的正确读法是：比值 1.00 说明单流顺序、公式即定律；比值 &gt;1 须先分流计价，计价后仍 &gt;1 的部分应归因于串行化等非字节因素，而不能默认归因于实现损耗。</w:t>
      </w:r>
    </w:p>
    <w:p>
      <w:pPr>
        <w:spacing w:after="40" w:line="276" w:lineRule="auto"/>
        <w:ind w:firstLine="360"/>
      </w:pPr>
      <w:r>
        <w:rPr>
          <w:rFonts w:ascii="Times New Roman" w:hAnsi="Times New Roman" w:eastAsia="宋体"/>
          <w:b w:val="0"/>
          <w:sz w:val="18"/>
        </w:rPr>
        <w:t>末行已按 2026-09-29 重建（</w:t>
      </w:r>
      <w:r>
        <w:rPr>
          <w:rFonts w:ascii="Consolas" w:hAnsi="Consolas"/>
          <w:color w:val="000080"/>
          <w:sz w:val="18"/>
        </w:rPr>
        <w:t>reports/gateab_ab/v32_table2b/</w:t>
      </w:r>
      <w:r>
        <w:rPr>
          <w:rFonts w:ascii="Times New Roman" w:hAnsi="Times New Roman" w:eastAsia="宋体"/>
          <w:b w:val="0"/>
          <w:sz w:val="18"/>
        </w:rPr>
        <w:t xml:space="preserve">，n=3 中位数 74.57 s/词元）。该次重建使比值降至 </w:t>
      </w:r>
      <w:r>
        <w:rPr>
          <w:rFonts w:ascii="Times New Roman" w:hAnsi="Times New Roman" w:eastAsia="宋体"/>
          <w:b/>
          <w:sz w:val="18"/>
        </w:rPr>
        <w:t>1.06</w:t>
      </w:r>
      <w:r>
        <w:rPr>
          <w:rFonts w:ascii="Times New Roman" w:hAnsi="Times New Roman" w:eastAsia="宋体"/>
          <w:b w:val="0"/>
          <w:sz w:val="18"/>
        </w:rPr>
        <w:t>，接近阶段 A 的 1.00：这不是设备变快，而是</w:t>
      </w:r>
      <w:r>
        <w:rPr>
          <w:rFonts w:ascii="Times New Roman" w:hAnsi="Times New Roman" w:eastAsia="宋体"/>
          <w:b/>
          <w:sz w:val="18"/>
        </w:rPr>
        <w:t>计价口径修正的结果</w:t>
      </w:r>
      <w:r>
        <w:rPr>
          <w:rFonts w:ascii="Times New Roman" w:hAnsi="Times New Roman" w:eastAsia="宋体"/>
          <w:b w:val="0"/>
          <w:sz w:val="18"/>
        </w:rPr>
        <w:t>——原表把 16 路并发的专家聚合速率按单流计（453 MB/s），且把重叠的时长相加当作暴露时间；改为并集与互斥口径后，专家聚合速率 379 MB/s 与暴露 59.39 s 自洽，公式下限亦随之从 47.6 s 修正为 70.4 s。</w:t>
      </w:r>
    </w:p>
    <w:p>
      <w:pPr>
        <w:spacing w:after="40" w:line="276" w:lineRule="auto"/>
        <w:ind w:firstLine="360"/>
      </w:pPr>
      <w:r>
        <w:rPr>
          <w:rFonts w:ascii="Times New Roman" w:hAnsi="Times New Roman" w:eastAsia="宋体"/>
          <w:b/>
          <w:sz w:val="18"/>
        </w:rPr>
        <w:t>【2026-10-05 修正，本节结论改写】1.06 不代表"已接近字节下界"，本档也并未达到下界。</w:t>
      </w:r>
      <w:r>
        <w:rPr>
          <w:rFonts w:ascii="Times New Roman" w:hAnsi="Times New Roman" w:eastAsia="宋体"/>
          <w:b w:val="0"/>
          <w:sz w:val="18"/>
        </w:rPr>
        <w:t xml:space="preserve"> 该比值的 W_i 取自</w:t>
      </w:r>
      <w:r>
        <w:rPr>
          <w:rFonts w:ascii="Times New Roman" w:hAnsi="Times New Roman" w:eastAsia="宋体"/>
          <w:b/>
          <w:sz w:val="18"/>
        </w:rPr>
        <w:t>引擎自身已实现的速率</w:t>
      </w:r>
      <w:r>
        <w:rPr>
          <w:rFonts w:ascii="Times New Roman" w:hAnsi="Times New Roman" w:eastAsia="宋体"/>
          <w:b w:val="0"/>
          <w:sz w:val="18"/>
        </w:rPr>
        <w:t>（主干 890 / 专家 379 MB/s），而公式 B_i/W_i 中的 W_i 按本节开头定义是</w:t>
      </w:r>
      <w:r>
        <w:rPr>
          <w:rFonts w:ascii="Times New Roman" w:hAnsi="Times New Roman" w:eastAsia="宋体"/>
          <w:b/>
          <w:sz w:val="18"/>
        </w:rPr>
        <w:t>设备可用带宽</w:t>
      </w:r>
      <w:r>
        <w:rPr>
          <w:rFonts w:ascii="Times New Roman" w:hAnsi="Times New Roman" w:eastAsia="宋体"/>
          <w:b w:val="0"/>
          <w:sz w:val="18"/>
        </w:rPr>
        <w:t>：以前者为分母，比值会向 1 收敛，与设备是否还有余量无关。分母必须换成效定实测的设备能力。以引擎的真实访问形态（同文件、O_DIRECT、主干顺序流与专家散乱流</w:t>
      </w:r>
      <w:r>
        <w:rPr>
          <w:rFonts w:ascii="Times New Roman" w:hAnsi="Times New Roman" w:eastAsia="宋体"/>
          <w:b/>
          <w:sz w:val="18"/>
        </w:rPr>
        <w:t>同盘并发</w:t>
      </w:r>
      <w:r>
        <w:rPr>
          <w:rFonts w:ascii="Times New Roman" w:hAnsi="Times New Roman" w:eastAsia="宋体"/>
          <w:b w:val="0"/>
          <w:sz w:val="18"/>
        </w:rPr>
        <w:t>，210 s 连续，3 对交错配对）重测，</w:t>
      </w:r>
      <w:r>
        <w:rPr>
          <w:rFonts w:ascii="Times New Roman" w:hAnsi="Times New Roman" w:eastAsia="宋体"/>
          <w:b/>
          <w:sz w:val="18"/>
        </w:rPr>
        <w:t>引擎聚合吞吐低于设备混合形态吞吐，两者比值稳定在 1.3–1.6 之间</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sz w:val="18"/>
        </w:rPr>
        <w:t>盘在算术期间没有请求可发</w:t>
      </w:r>
      <w:r>
        <w:rPr>
          <w:rFonts w:ascii="Times New Roman" w:hAnsi="Times New Roman" w:eastAsia="宋体"/>
          <w:b w:val="0"/>
          <w:sz w:val="18"/>
        </w:rPr>
        <w:t xml:space="preserve">：每层读毕 → 计算 → 才读下一层，16 个 worker 有 40–49% 的时间停在 </w:t>
      </w:r>
      <w:r>
        <w:rPr>
          <w:rFonts w:ascii="Consolas" w:hAnsi="Consolas"/>
          <w:color w:val="000080"/>
          <w:sz w:val="18"/>
        </w:rPr>
        <w:t>cond_wait</w:t>
      </w:r>
      <w:r>
        <w:rPr>
          <w:rFonts w:ascii="Times New Roman" w:hAnsi="Times New Roman" w:eastAsia="宋体"/>
          <w:b w:val="0"/>
          <w:sz w:val="18"/>
        </w:rPr>
        <w:t>，而队列只积压 3%——不是排队等盘，是请求到达得太晚。</w:t>
      </w:r>
      <w:r>
        <w:rPr>
          <w:rFonts w:ascii="Times New Roman" w:hAnsi="Times New Roman" w:eastAsia="宋体"/>
          <w:b/>
          <w:sz w:val="18"/>
        </w:rPr>
        <w:t>这是算术与 I/O 的串行化，与字节数无关。</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w:t>
      </w:r>
      <w:r>
        <w:rPr>
          <w:rFonts w:ascii="Times New Roman" w:hAnsi="Times New Roman" w:eastAsia="宋体"/>
          <w:b/>
          <w:sz w:val="18"/>
        </w:rPr>
        <w:t>慢层同时收取字节代价与串行化代价，而把数据上移到 DRAM 可同时消除两者。</w:t>
      </w:r>
      <w:r>
        <w:rPr>
          <w:rFonts w:ascii="Times New Roman" w:hAnsi="Times New Roman" w:eastAsia="宋体"/>
          <w:b w:val="0"/>
          <w:sz w:val="18"/>
        </w:rPr>
        <w:t xml:space="preserve"> 这是本文原则"复用应落在数据能到达的最快层"的第二条独立理由——此前只给了字节一条。相应地，5.2 的验收判据应从单一下界扩展为"字节回落至下界</w:t>
      </w:r>
      <w:r>
        <w:rPr>
          <w:rFonts w:ascii="Times New Roman" w:hAnsi="Times New Roman" w:eastAsia="宋体"/>
          <w:b/>
          <w:sz w:val="18"/>
        </w:rPr>
        <w:t>且</w:t>
      </w:r>
      <w:r>
        <w:rPr>
          <w:rFonts w:ascii="Times New Roman" w:hAnsi="Times New Roman" w:eastAsia="宋体"/>
          <w:b w:val="0"/>
          <w:sz w:val="18"/>
        </w:rPr>
        <w:t>实测聚合速率接近该形态的设备能力"两条并列。</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【方法学限度，须一并记录】</w:t>
      </w:r>
      <w:r>
        <w:rPr>
          <w:rFonts w:ascii="Times New Roman" w:hAnsi="Times New Roman" w:eastAsia="宋体"/>
          <w:b w:val="0"/>
          <w:sz w:val="18"/>
        </w:rPr>
        <w:t xml:space="preserve"> 本节末行与上述配对均以 s/词元 为观测量。该观测量在本平台的重复性</w:t>
      </w:r>
      <w:r>
        <w:rPr>
          <w:rFonts w:ascii="Times New Roman" w:hAnsi="Times New Roman" w:eastAsia="宋体"/>
          <w:b/>
          <w:sz w:val="18"/>
        </w:rPr>
        <w:t>随时段变化很大</w:t>
      </w:r>
      <w:r>
        <w:rPr>
          <w:rFonts w:ascii="Times New Roman" w:hAnsi="Times New Roman" w:eastAsia="宋体"/>
          <w:b w:val="0"/>
          <w:sz w:val="18"/>
        </w:rPr>
        <w:t>，两个已测时段的实例：2026-09-29 的三次（表 3，76.04 / 73.39 / 74.91 s/词元）跨度仅 3.6%，而 2026-09-30 同一配置、同一源码、同一脚本连续三轮为 65.21 / 75.62 / 79.91 s/词元，跨度 22.5%，19 次同类运行的合并跨度为 65.21–89.88。</w:t>
      </w:r>
      <w:r>
        <w:rPr>
          <w:rFonts w:ascii="Times New Roman" w:hAnsi="Times New Roman" w:eastAsia="宋体"/>
          <w:b/>
          <w:sz w:val="18"/>
        </w:rPr>
        <w:t>两个数都真实，因此不能引用某一时段的离散度充当本平台的重复性。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为观测量作配置间对比，须在同一时段内交错配对重复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不得引用跨时段的绝对速率作对比。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同时撤回本节此前据 v54 写入的一处归因</w:t>
      </w:r>
      <w:r>
        <w:rPr>
          <w:rFonts w:ascii="Times New Roman" w:hAnsi="Times New Roman" w:eastAsia="宋体"/>
          <w:b w:val="0"/>
          <w:sz w:val="18"/>
        </w:rPr>
        <w:t>："主干顺序流与专家散乱流在同一设备上互相争抢"不成立，散乱 4M 读（1740）快于顺序（1537）。v54 观测到的 arena 扩大导致 trunk 常驻由 22 层降至 15 层、75.5→126.2 s/词元，这一</w:t>
      </w:r>
      <w:r>
        <w:rPr>
          <w:rFonts w:ascii="Times New Roman" w:hAnsi="Times New Roman" w:eastAsia="宋体"/>
          <w:b/>
          <w:sz w:val="18"/>
        </w:rPr>
        <w:t>现象</w:t>
      </w:r>
      <w:r>
        <w:rPr>
          <w:rFonts w:ascii="Times New Roman" w:hAnsi="Times New Roman" w:eastAsia="宋体"/>
          <w:b w:val="0"/>
          <w:sz w:val="18"/>
        </w:rPr>
        <w:t>成立，但其</w:t>
      </w:r>
      <w:r>
        <w:rPr>
          <w:rFonts w:ascii="Times New Roman" w:hAnsi="Times New Roman" w:eastAsia="宋体"/>
          <w:b/>
          <w:sz w:val="18"/>
        </w:rPr>
        <w:t>机制</w:t>
      </w:r>
      <w:r>
        <w:rPr>
          <w:rFonts w:ascii="Times New Roman" w:hAnsi="Times New Roman" w:eastAsia="宋体"/>
          <w:b w:val="0"/>
          <w:sz w:val="18"/>
        </w:rPr>
        <w:t xml:space="preserve">尚未查明；预取在各种 arena 下均变慢（v50 0.75×、v54 0.60×），而设备既未饱和也不对访问模式敏感，故其代价在主机侧（CPU、争用，或 survival 统计本身有误——该 21% 数字自 v50 起引用至今从未独立复核，而同一次运行中 </w:t>
      </w:r>
      <w:r>
        <w:rPr>
          <w:rFonts w:ascii="Consolas" w:hAnsi="Consolas"/>
          <w:color w:val="000080"/>
          <w:sz w:val="18"/>
        </w:rPr>
        <w:t>stat_idle_s</w:t>
      </w:r>
      <w:r>
        <w:rPr>
          <w:rFonts w:ascii="Times New Roman" w:hAnsi="Times New Roman" w:eastAsia="宋体"/>
          <w:b w:val="0"/>
          <w:sz w:val="18"/>
        </w:rPr>
        <w:t xml:space="preserve"> 与 </w:t>
      </w:r>
      <w:r>
        <w:rPr>
          <w:rFonts w:ascii="Consolas" w:hAnsi="Consolas"/>
          <w:color w:val="000080"/>
          <w:sz w:val="18"/>
        </w:rPr>
        <w:t>hit_wall</w:t>
      </w:r>
      <w:r>
        <w:rPr>
          <w:rFonts w:ascii="Times New Roman" w:hAnsi="Times New Roman" w:eastAsia="宋体"/>
          <w:b w:val="0"/>
          <w:sz w:val="18"/>
        </w:rPr>
        <w:t xml:space="preserve"> 均为已确认的坏计数器）。出处 </w:t>
      </w:r>
      <w:r>
        <w:rPr>
          <w:rFonts w:ascii="Consolas" w:hAnsi="Consolas"/>
          <w:color w:val="000080"/>
          <w:sz w:val="18"/>
        </w:rPr>
        <w:t>reports/gateab_ab/v55_stream/ANALYSIS.txt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字节与带宽出处：慢盘 85 MB/s 系 25.83 GB 与 303.58 s 的精确商（台账 :327；另有 D-state 劣化整值 84 MB/s 见 :224）、高速盘 419 MB/s（:355；另冷读 588 MB/s 见 :453-:454）、1.5 GB/s 系 /dev/sdd7 混合 O_DIRECT 实测（nvme_bench 2026-09-26 S5D）；字节量取自 cap_sweep ctrl.json（今日最优）；末两行取自 2026-09-28 逐相位实测（同一次运行，K3_TRACE，出处见附录 A.2.1）。</w:t>
      </w:r>
      <w:r>
        <w:rPr>
          <w:rFonts w:ascii="Times New Roman" w:hAnsi="Times New Roman" w:eastAsia="宋体"/>
          <w:b/>
          <w:sz w:val="18"/>
        </w:rPr>
        <w:t>上列 1.5 GB/s 为大块测速器口径，与引擎的 4M O_DIRECT 访问形态不同档；引擎形态实测约 1600 MB/s（v55），两者不可混用。</w:t>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预算线：先算“健康时各低速层应搬多少字节”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补充第三条口径】字节达标不等于复用落位完成，须加测串行化。</w:t>
      </w:r>
      <w:r>
        <w:rPr>
          <w:rFonts w:ascii="Times New Roman" w:hAnsi="Times New Roman" w:eastAsia="宋体"/>
          <w:b w:val="0"/>
          <w:sz w:val="18"/>
        </w:rPr>
        <w:t xml:space="preserve"> §4.6 在本平台的实测给出：字节分流计价后仍有 1.30–1.58 倍差距，且该差距经引擎内计数器定位为</w:t>
      </w:r>
      <w:r>
        <w:rPr>
          <w:rFonts w:ascii="Times New Roman" w:hAnsi="Times New Roman" w:eastAsia="宋体"/>
          <w:b/>
          <w:sz w:val="18"/>
        </w:rPr>
        <w:t>算术与 I/O 串行化</w:t>
      </w:r>
      <w:r>
        <w:rPr>
          <w:rFonts w:ascii="Times New Roman" w:hAnsi="Times New Roman" w:eastAsia="宋体"/>
          <w:b w:val="0"/>
          <w:sz w:val="18"/>
        </w:rPr>
        <w:t xml:space="preserve">——16 个 worker 有 40–49% 的墙钟停在 </w:t>
      </w:r>
      <w:r>
        <w:rPr>
          <w:rFonts w:ascii="Consolas" w:hAnsi="Consolas"/>
          <w:color w:val="000080"/>
          <w:sz w:val="18"/>
        </w:rPr>
        <w:t>cond_wait</w:t>
      </w:r>
      <w:r>
        <w:rPr>
          <w:rFonts w:ascii="Times New Roman" w:hAnsi="Times New Roman" w:eastAsia="宋体"/>
          <w:b w:val="0"/>
          <w:sz w:val="18"/>
        </w:rPr>
        <w:t>，而队列仅积压 3%，即盘在计算期间无请求可发。因此验收判据由两条并列：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差距方向与存在性不变，但幅度已可定量，代价是必须承认它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尤其不得据此声称"端到端可进入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关于"改进测量方法"这一步能走多远，须说明其上限。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倍"之外不得再给任何倍数。</w:t>
      </w:r>
    </w:p>
    <w:p>
      <w:pPr>
        <w:spacing w:after="40" w:line="276" w:lineRule="auto"/>
        <w:ind w:firstLine="360"/>
      </w:pPr>
      <w:r>
        <w:rPr>
          <w:rFonts w:ascii="Times New Roman" w:hAnsi="Times New Roman" w:eastAsia="宋体"/>
          <w:b w:val="0"/>
          <w:sz w:val="18"/>
        </w:rPr>
        <w:t>教训有三：其一，以两条流的速率差反推机制，须先排除并发度这一混淆项；其二，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一次合格不构成可复现，可复现须跨轮次验证。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算法能否免读</w:t>
      </w:r>
      <w:r>
        <w:rPr>
          <w:rFonts w:ascii="Times New Roman" w:hAnsi="Times New Roman" w:eastAsia="宋体"/>
          <w:b w:val="0"/>
          <w:sz w:val="18"/>
        </w:rPr>
        <w:t>：该数据项是否必须被读取；</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能否缓存复用</w:t>
      </w:r>
      <w:r>
        <w:rPr>
          <w:rFonts w:ascii="Times New Roman" w:hAnsi="Times New Roman" w:eastAsia="宋体"/>
          <w:b w:val="0"/>
          <w:sz w:val="18"/>
        </w:rPr>
        <w:t>：读取结果能否在最快层 M_k 驻留并被复用（即原则的在场条件）；</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落层位置</w:t>
      </w:r>
      <w:r>
        <w:rPr>
          <w:rFonts w:ascii="Times New Roman" w:hAnsi="Times New Roman" w:eastAsia="宋体"/>
          <w:b w:val="0"/>
          <w:sz w:val="18"/>
        </w:rPr>
        <w:t>：若必须从低速层读取，权重是否至少置于参与路径中更快的层；</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落层前压缩</w:t>
      </w:r>
      <w:r>
        <w:rPr>
          <w:rFonts w:ascii="Times New Roman" w:hAnsi="Times New Roman" w:eastAsia="宋体"/>
          <w:b w:val="0"/>
          <w:sz w:val="18"/>
        </w:rPr>
        <w:t>：能否先压缩再落层，减少届时必须搬动的字节。</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的读法也须修正：实测÷公式在单流顺序档为 1.00（公式即定律），在多流或随机档升至 1.39-3.11，须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2026-09-28 分相位实测的出处与复现、观测口径。依《计算机科学》投稿须知第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作者简介与稿件信息（《计算机科学》投稿须知第 12 条：作者简介须注明是否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是。第一作者为中国计算机学会专业会员（会员号：＿＿＿＿＿＿＿＿），依《计算机科学》投稿须知第 10 条，录用稿件的版面设计服务费按 8.5 折计。</w:t>
      </w:r>
    </w:p>
    <w:p>
      <w:pPr>
        <w:spacing w:after="60" w:before="120" w:line="240" w:lineRule="auto"/>
      </w:pPr>
      <w:r>
        <w:rPr>
          <w:rFonts w:ascii="Times New Roman" w:hAnsi="Times New Roman" w:eastAsia="黑体"/>
          <w:b w:val="0"/>
          <w:sz w:val="21"/>
        </w:rPr>
        <w:t>自校负责人（《计算机科学》投稿须知第 14 条：编辑部返回一校样 PDF 供自校，须在稿件末尾注明）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