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缓存命中率调至满格（CACHE HIT 100%），端到端吞吐仍达不到应有水平——这一现象出现在 Kimi K3（2.8T MoE）于存储受限主机上的冷启动推理中。按字节台账而非按命中率汇报，得到的是另一幅图景：每词元从低速盘全量重读专家权重 25.83 GB，占专家段端到端耗时的 94%；把专家权重迁至高速盘后，命中率仍是满格，每词元搬运量仍是 25.83 GB，一个字节未省。</w:t>
      </w:r>
      <w:r>
        <w:rPr>
          <w:rFonts w:ascii="Times New Roman" w:hAnsi="Times New Roman" w:eastAsia="宋体"/>
          <w:b/>
          <w:sz w:val="18"/>
        </w:rPr>
        <w:t>命中只换了介质，没有免掉字节。</w:t>
      </w:r>
      <w:r>
        <w:rPr>
          <w:rFonts w:ascii="Times New Roman" w:hAnsi="Times New Roman" w:eastAsia="宋体"/>
          <w:b w:val="0"/>
          <w:sz w:val="18"/>
        </w:rPr>
        <w:t>命中率统计的是介质命中与否，字节台账统计的是搬了多少字节——两者不是同一本账。</w:t>
      </w:r>
      <w:r>
        <w:rPr>
          <w:rFonts w:ascii="Times New Roman" w:hAnsi="Times New Roman" w:eastAsia="宋体"/>
          <w:b/>
          <w:sz w:val="18"/>
        </w:rPr>
        <w:t>据此给出以字节为口径的验收判据</w:t>
      </w:r>
      <w:r>
        <w:rPr>
          <w:rFonts w:ascii="Times New Roman" w:hAnsi="Times New Roman" w:eastAsia="宋体"/>
          <w:b w:val="0"/>
          <w:sz w:val="18"/>
        </w:rPr>
        <w:t>：按 distinct 集核算每层驻留预算，以低速层读数是否回落至下界判定复用是否落位，取代白板命中率；配套四条排查次序，每步标明读哪个计数器、什么算通过。判据以计数器为输入，而计数器会骗人，故另给一条与负载无关的规程：凡派生量必须与一个独立的量交叉校验，并在报告中与被校量同屏打印。本轮六个曾产生错误结论的计数器字段全部由此发现，失效方式互不相同，共同点是误差与真实故障同量级，因而不会自我报警。全部数字取自单一平台、单一冷启动时序。</w:t>
      </w:r>
      <w:r>
        <w:rPr>
          <w:rFonts w:ascii="Times New Roman" w:hAnsi="Times New Roman" w:eastAsia="宋体"/>
          <w:b/>
          <w:sz w:val="18"/>
        </w:rPr>
        <w:t>结论随字节台账成立，不随速度账成立</w:t>
      </w:r>
      <w:r>
        <w:rPr>
          <w:rFonts w:ascii="Times New Roman" w:hAnsi="Times New Roman" w:eastAsia="宋体"/>
          <w:b w:val="0"/>
          <w:sz w:val="18"/>
        </w:rPr>
        <w:t>：同一配置连续 30 次运行的字节量完全相同，输出速度跨度却达 80.8%。**</w:t>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Cache hit rate at maximum (CACHE HIT 100%) while end-to-end throughput stays below its expected level — this is what Kimi K3 (2.8T MoE) does at cold start on a memory-constrained host. Accounting in bytes rather than in hit rate gives a different picture: 25.83 GB of expert weights are re-read in full from the slow disk per token, which is 94% of that stage's end-to-end time, and moving the experts to a fast disk leaves the hit rate at maximum and the byte count at 25.83 GB per token, not one byte saved. A hit changes the tier the bytes come from; it does not remove them. Hit rate counts whether the media were hit, a byte ledger counts how many bytes moved, and those are two different books. **From that follows an acceptance criterion stated in bytes**: budget each tier by its distinct set, judge whether reuse has landed by whether the slow-tier read falls to its bound, and drop the hit-rate dashboard. Four diagnostic steps come with it, each naming which counter to read and what counts as passing. The criterion takes counters as input, and counters lie, so a second rule follows, independent of the workload: every derived quantity must be cross-checked against an independent quantity and printed beside it. Six counter fields that produced wrong conclusions in this run were all found that way; their failures are unrelated to one another and share one property, that the error is the same size as the real fault and therefore never raises an alarm. All figures come from one platform and one cold-start sequence. **The conclusion holds on the byte account and not on the speed account**: across thirty identical runs the byte count is identical while the output speed spans 80.8%, which is why a throughput threshold of the order of ten percent cannot be used to accept or reject a change in this setting. Where the four steps all pass and a gap remains, the gap is not in the reuse layer, and the search moves to achievable aggregate bandwidth.</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Moonshot 开源的 Kimi K3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由定义与两条显式假设直接导出，不含隐藏引理，因而无需先核对文献即可使用，判据一旦成立，就固定了可以被逐行核对的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判据能否成立，取决于两件与这条原则无关的事：计出来的数是否可信（§3.2），以及字节级台账与时间账为什么不能混用（第 4.6 节）。</w:t>
      </w:r>
      <w:r>
        <w:rPr>
          <w:rFonts w:ascii="Times New Roman" w:hAnsi="Times New Roman" w:eastAsia="宋体"/>
          <w:b w:val="0"/>
          <w:sz w:val="18"/>
        </w:rPr>
        <w:t xml:space="preserve"> 这两处都不是原则能回答的，本文的主要工作也在它们上面。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Kimi K3（2.8T MoE）推理的冷启动，每词元从低速盘全量重读专家权重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该原则由两条显式假设导出，不含隐藏引理，因而无需先核对文献即可使用</w:t>
      </w:r>
      <w:r>
        <w:rPr>
          <w:rFonts w:ascii="Times New Roman" w:hAnsi="Times New Roman" w:eastAsia="宋体"/>
          <w:b w:val="0"/>
          <w:sz w:val="18"/>
        </w:rPr>
        <w:t>：判据的验收标准由此可以被逐行回查，而回查是本篇其余工作的前提。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50"/>
        <w:gridCol w:w="1242"/>
        <w:gridCol w:w="1242"/>
        <w:gridCol w:w="1242"/>
      </w:tblGrid>
      <w:tr>
        <w:tc>
          <w:tcPr>
            <w:tcW w:type="dxa" w:w="1150"/>
            <w:shd w:val="clear" w:fill="F2F2F2"/>
          </w:tcPr>
          <w:p>
            <w:pPr>
              <w:spacing w:after="0" w:before="0" w:line="240" w:lineRule="auto"/>
            </w:pPr>
            <w:r/>
            <w:r>
              <w:rPr>
                <w:rFonts w:ascii="Times New Roman" w:hAnsi="Times New Roman" w:eastAsia="黑体"/>
                <w:b/>
                <w:sz w:val="16"/>
              </w:rPr>
              <w:t>字段</w:t>
            </w:r>
          </w:p>
        </w:tc>
        <w:tc>
          <w:tcPr>
            <w:tcW w:type="dxa" w:w="1242"/>
            <w:shd w:val="clear" w:fill="F2F2F2"/>
          </w:tcPr>
          <w:p>
            <w:pPr>
              <w:spacing w:after="0" w:before="0" w:line="240" w:lineRule="auto"/>
            </w:pPr>
            <w:r/>
            <w:r>
              <w:rPr>
                <w:rFonts w:ascii="Times New Roman" w:hAnsi="Times New Roman" w:eastAsia="黑体"/>
                <w:b/>
                <w:sz w:val="16"/>
              </w:rPr>
              <w:t>它报出来的</w:t>
            </w:r>
          </w:p>
        </w:tc>
        <w:tc>
          <w:tcPr>
            <w:tcW w:type="dxa" w:w="1242"/>
            <w:shd w:val="clear" w:fill="F2F2F2"/>
          </w:tcPr>
          <w:p>
            <w:pPr>
              <w:spacing w:after="0" w:before="0" w:line="240" w:lineRule="auto"/>
            </w:pPr>
            <w:r/>
            <w:r>
              <w:rPr>
                <w:rFonts w:ascii="Times New Roman" w:hAnsi="Times New Roman" w:eastAsia="黑体"/>
                <w:b/>
                <w:sz w:val="16"/>
              </w:rPr>
              <w:t>独立量报的</w:t>
            </w:r>
          </w:p>
        </w:tc>
        <w:tc>
          <w:tcPr>
            <w:tcW w:type="dxa" w:w="1242"/>
            <w:shd w:val="clear" w:fill="F2F2F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341"/>
        <w:gridCol w:w="3535"/>
      </w:tblGrid>
      <w:tr>
        <w:tc>
          <w:tcPr>
            <w:tcW w:type="dxa" w:w="1341"/>
            <w:shd w:val="clear" w:fill="F2F2F2"/>
          </w:tcPr>
          <w:p>
            <w:pPr>
              <w:spacing w:after="0" w:before="0" w:line="240" w:lineRule="auto"/>
            </w:pPr>
            <w:r/>
            <w:r>
              <w:rPr>
                <w:rFonts w:ascii="Times New Roman" w:hAnsi="Times New Roman" w:eastAsia="黑体"/>
                <w:b/>
                <w:sz w:val="16"/>
              </w:rPr>
              <w:t>派生量</w:t>
            </w:r>
          </w:p>
        </w:tc>
        <w:tc>
          <w:tcPr>
            <w:tcW w:type="dxa" w:w="3535"/>
            <w:shd w:val="clear" w:fill="F2F2F2"/>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Moonshot 开源的 Kimi K3 混合专家模型[1]（2.8T 参数），在一台仅配系统内存（无片内/近存加速、需流式读权重）的存储受限主机上冷启动推理（引擎[9]）。存储层次的级联为：低速盘（源盘，近满）→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3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2247"/>
        <w:gridCol w:w="2629"/>
      </w:tblGrid>
      <w:tr>
        <w:tc>
          <w:tcPr>
            <w:tcW w:type="dxa" w:w="2247"/>
            <w:shd w:val="clear" w:fill="F2F2F2"/>
          </w:tcPr>
          <w:p>
            <w:pPr>
              <w:spacing w:after="0" w:before="0" w:line="240" w:lineRule="auto"/>
            </w:pPr>
            <w:r/>
            <w:r>
              <w:rPr>
                <w:rFonts w:ascii="Times New Roman" w:hAnsi="Times New Roman" w:eastAsia="黑体"/>
                <w:b/>
                <w:sz w:val="16"/>
              </w:rPr>
              <w:t>指标</w:t>
            </w:r>
          </w:p>
        </w:tc>
        <w:tc>
          <w:tcPr>
            <w:tcW w:type="dxa" w:w="2629"/>
            <w:shd w:val="clear" w:fill="F2F2F2"/>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4）。</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46"/>
        <w:gridCol w:w="1378"/>
        <w:gridCol w:w="1204"/>
        <w:gridCol w:w="1146"/>
      </w:tblGrid>
      <w:tr>
        <w:tc>
          <w:tcPr>
            <w:tcW w:type="dxa" w:w="1146"/>
            <w:shd w:val="clear" w:fill="F2F2F2"/>
          </w:tcPr>
          <w:p>
            <w:pPr>
              <w:spacing w:after="0" w:before="0" w:line="240" w:lineRule="auto"/>
            </w:pPr>
            <w:r/>
            <w:r>
              <w:rPr>
                <w:rFonts w:ascii="Times New Roman" w:hAnsi="Times New Roman" w:eastAsia="黑体"/>
                <w:b/>
                <w:sz w:val="16"/>
              </w:rPr>
              <w:t>落位层</w:t>
            </w:r>
          </w:p>
        </w:tc>
        <w:tc>
          <w:tcPr>
            <w:tcW w:type="dxa" w:w="1378"/>
            <w:shd w:val="clear" w:fill="F2F2F2"/>
          </w:tcPr>
          <w:p>
            <w:pPr>
              <w:spacing w:after="0" w:before="0" w:line="240" w:lineRule="auto"/>
            </w:pPr>
            <w:r/>
            <w:r>
              <w:rPr>
                <w:rFonts w:ascii="Times New Roman" w:hAnsi="Times New Roman" w:eastAsia="黑体"/>
                <w:b/>
                <w:sz w:val="16"/>
              </w:rPr>
              <w:t>低速盘</w:t>
            </w:r>
          </w:p>
        </w:tc>
        <w:tc>
          <w:tcPr>
            <w:tcW w:type="dxa" w:w="1204"/>
            <w:shd w:val="clear" w:fill="F2F2F2"/>
          </w:tcPr>
          <w:p>
            <w:pPr>
              <w:spacing w:after="0" w:before="0" w:line="240" w:lineRule="auto"/>
            </w:pPr>
            <w:r/>
            <w:r>
              <w:rPr>
                <w:rFonts w:ascii="Times New Roman" w:hAnsi="Times New Roman" w:eastAsia="黑体"/>
                <w:b/>
                <w:sz w:val="16"/>
              </w:rPr>
              <w:t>高速盘</w:t>
            </w:r>
          </w:p>
        </w:tc>
        <w:tc>
          <w:tcPr>
            <w:tcW w:type="dxa" w:w="1146"/>
            <w:shd w:val="clear" w:fill="F2F2F2"/>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各档的字节总量相同（表 4），变的是字节从哪一层被读。随落位层上移，低速层读数单调回落，向一次生成调用内每个 distinct 项刚好只读一次收敛；复用的承担场所从更慢速层迁移到更近的层。</w:t>
      </w:r>
      <w:r>
        <w:rPr>
          <w:rFonts w:ascii="Times New Roman" w:hAnsi="Times New Roman" w:eastAsia="宋体"/>
          <w:b/>
          <w:sz w:val="18"/>
        </w:rPr>
        <w:t>回落不是靠少搬字节，而是靠换一层搬</w:t>
      </w:r>
      <w:r>
        <w:rPr>
          <w:rFonts w:ascii="Times New Roman" w:hAnsi="Times New Roman" w:eastAsia="宋体"/>
          <w:b w:val="0"/>
          <w:sz w:val="18"/>
        </w:rPr>
        <w:t>——这正是推论 1 下界的可观测形状，也是层次结构唯一能做的事。</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4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31"/>
        <w:gridCol w:w="809"/>
        <w:gridCol w:w="787"/>
        <w:gridCol w:w="809"/>
        <w:gridCol w:w="853"/>
        <w:gridCol w:w="787"/>
      </w:tblGrid>
      <w:tr>
        <w:tc>
          <w:tcPr>
            <w:tcW w:type="dxa" w:w="831"/>
            <w:shd w:val="clear" w:fill="F2F2F2"/>
          </w:tcPr>
          <w:p>
            <w:pPr>
              <w:spacing w:after="0" w:before="0" w:line="240" w:lineRule="auto"/>
            </w:pPr>
            <w:r/>
            <w:r>
              <w:rPr>
                <w:rFonts w:ascii="Times New Roman" w:hAnsi="Times New Roman" w:eastAsia="黑体"/>
                <w:b/>
                <w:sz w:val="16"/>
              </w:rPr>
              <w:t>读取流</w:t>
            </w:r>
          </w:p>
        </w:tc>
        <w:tc>
          <w:tcPr>
            <w:tcW w:type="dxa" w:w="809"/>
            <w:shd w:val="clear" w:fill="F2F2F2"/>
          </w:tcPr>
          <w:p>
            <w:pPr>
              <w:spacing w:after="0" w:before="0" w:line="240" w:lineRule="auto"/>
            </w:pPr>
            <w:r/>
            <w:r>
              <w:rPr>
                <w:rFonts w:ascii="Times New Roman" w:hAnsi="Times New Roman" w:eastAsia="黑体"/>
                <w:b/>
                <w:sz w:val="16"/>
              </w:rPr>
              <w:t>字节/词元</w:t>
            </w:r>
          </w:p>
        </w:tc>
        <w:tc>
          <w:tcPr>
            <w:tcW w:type="dxa" w:w="787"/>
            <w:shd w:val="clear" w:fill="F2F2F2"/>
          </w:tcPr>
          <w:p>
            <w:pPr>
              <w:spacing w:after="0" w:before="0" w:line="240" w:lineRule="auto"/>
            </w:pPr>
            <w:r/>
            <w:r>
              <w:rPr>
                <w:rFonts w:ascii="Times New Roman" w:hAnsi="Times New Roman" w:eastAsia="黑体"/>
                <w:b/>
                <w:sz w:val="16"/>
              </w:rPr>
              <w:t>速率</w:t>
            </w:r>
          </w:p>
        </w:tc>
        <w:tc>
          <w:tcPr>
            <w:tcW w:type="dxa" w:w="809"/>
            <w:shd w:val="clear" w:fill="F2F2F2"/>
          </w:tcPr>
          <w:p>
            <w:pPr>
              <w:spacing w:after="0" w:before="0" w:line="240" w:lineRule="auto"/>
            </w:pPr>
            <w:r/>
            <w:r>
              <w:rPr>
                <w:rFonts w:ascii="Times New Roman" w:hAnsi="Times New Roman" w:eastAsia="黑体"/>
                <w:b/>
                <w:sz w:val="16"/>
              </w:rPr>
              <w:t>访问序</w:t>
            </w:r>
          </w:p>
        </w:tc>
        <w:tc>
          <w:tcPr>
            <w:tcW w:type="dxa" w:w="853"/>
            <w:shd w:val="clear" w:fill="F2F2F2"/>
          </w:tcPr>
          <w:p>
            <w:pPr>
              <w:spacing w:after="0" w:before="0" w:line="240" w:lineRule="auto"/>
            </w:pPr>
            <w:r/>
            <w:r>
              <w:rPr>
                <w:rFonts w:ascii="Times New Roman" w:hAnsi="Times New Roman" w:eastAsia="黑体"/>
                <w:b/>
                <w:sz w:val="16"/>
              </w:rPr>
              <w:t>暴露</w:t>
            </w:r>
          </w:p>
        </w:tc>
        <w:tc>
          <w:tcPr>
            <w:tcW w:type="dxa" w:w="787"/>
            <w:shd w:val="clear" w:fill="F2F2F2"/>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注：首次逐相位实测的三项之和为 68.4 s，超过该次端到端 66.1 s，故该次百分比不可用；本表时间线与引擎自报逐词元墙钟吻合 99.8–99.9%，且主存驻留档下的专家读段 355 MB/s 与后续独立测量的 379 MB/s 相符，二者出处见随稿附件 A.1。</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时间线。首次逐相位实测的百分比不可用：其一，该次运行未在解码循环中标记词元号，逐词元时间线的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0，"扣除首词元冷启动后的稳态"无从测起；其二，把重叠的时长相加当作暴露时间，导致三项之和超过表列端到端时2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把复用从低速盘挪到高速盘后，专家段耗时约降 37%（阶段 A 与阶段 B，同口径单次对照；两档数值见表 3 与表 7）。收益未达按跨遍复用的字节量推演的上界（约 90%），因为复用仍落在高速盘而非高速内存。表 4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次运行的字节量完全相同，墙钟跨度达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以分配档位为横轴画出低速层读数的回落，与表 4 同源。**要读的是那条单调下降的曲线，而不是任一单点**：方向与幅度共同构成推论 1 的可检验含义，单点则随口径而变（见表 4 注）。末档（DRAM）为推论指向而未观测的目标档，图中以空缺标出，不作实测声称。图中同时可见本文反复强调的一点：总字节量在各档并不下降（专家权重一列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w:t>
      </w:r>
      <w:r>
        <w:rPr>
          <w:rFonts w:ascii="Times New Roman" w:hAnsi="Times New Roman" w:eastAsia="宋体"/>
          <w:b w:val="0"/>
          <w:sz w:val="18"/>
        </w:rPr>
        <w:t xml:space="preserve"> 左图的交付字节在 30 次运行中是一条平线，无一例外；右图同这 30 次的输出速度则散布开去，其中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4“目标档”明确标注为未观测项，不作实测声称。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78"/>
        <w:gridCol w:w="1120"/>
        <w:gridCol w:w="1357"/>
        <w:gridCol w:w="1120"/>
      </w:tblGrid>
      <w:tr>
        <w:tc>
          <w:tcPr>
            <w:tcW w:type="dxa" w:w="1278"/>
            <w:shd w:val="clear" w:fill="F2F2F2"/>
          </w:tcPr>
          <w:p>
            <w:pPr>
              <w:spacing w:after="0" w:before="0" w:line="240" w:lineRule="auto"/>
            </w:pPr>
            <w:r/>
            <w:r>
              <w:rPr>
                <w:rFonts w:ascii="Times New Roman" w:hAnsi="Times New Roman" w:eastAsia="黑体"/>
                <w:b/>
                <w:sz w:val="16"/>
              </w:rPr>
              <w:t>L1 策略</w:t>
            </w:r>
          </w:p>
        </w:tc>
        <w:tc>
          <w:tcPr>
            <w:tcW w:type="dxa" w:w="1120"/>
            <w:shd w:val="clear" w:fill="F2F2F2"/>
          </w:tcPr>
          <w:p>
            <w:pPr>
              <w:spacing w:after="0" w:before="0" w:line="240" w:lineRule="auto"/>
            </w:pPr>
            <w:r/>
            <w:r>
              <w:rPr>
                <w:rFonts w:ascii="Times New Roman" w:hAnsi="Times New Roman" w:eastAsia="黑体"/>
                <w:b/>
                <w:sz w:val="16"/>
              </w:rPr>
              <w:t>cache</w:t>
            </w:r>
          </w:p>
        </w:tc>
        <w:tc>
          <w:tcPr>
            <w:tcW w:type="dxa" w:w="1357"/>
            <w:shd w:val="clear" w:fill="F2F2F2"/>
          </w:tcPr>
          <w:p>
            <w:pPr>
              <w:spacing w:after="0" w:before="0" w:line="240" w:lineRule="auto"/>
            </w:pPr>
            <w:r/>
            <w:r>
              <w:rPr>
                <w:rFonts w:ascii="Times New Roman" w:hAnsi="Times New Roman" w:eastAsia="黑体"/>
                <w:b/>
                <w:sz w:val="16"/>
              </w:rPr>
              <w:t>三轮实测</w:t>
            </w:r>
          </w:p>
        </w:tc>
        <w:tc>
          <w:tcPr>
            <w:tcW w:type="dxa" w:w="1120"/>
            <w:shd w:val="clear" w:fill="F2F2F2"/>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43"/>
        <w:gridCol w:w="820"/>
        <w:gridCol w:w="797"/>
        <w:gridCol w:w="797"/>
        <w:gridCol w:w="797"/>
        <w:gridCol w:w="820"/>
      </w:tblGrid>
      <w:tr>
        <w:tc>
          <w:tcPr>
            <w:tcW w:type="dxa" w:w="843"/>
            <w:shd w:val="clear" w:fill="F2F2F2"/>
          </w:tcPr>
          <w:p>
            <w:pPr>
              <w:spacing w:after="0" w:before="0" w:line="240" w:lineRule="auto"/>
            </w:pPr>
            <w:r/>
            <w:r>
              <w:rPr>
                <w:rFonts w:ascii="Times New Roman" w:hAnsi="Times New Roman" w:eastAsia="黑体"/>
                <w:b/>
                <w:sz w:val="16"/>
              </w:rPr>
              <w:t>落位档</w:t>
            </w:r>
          </w:p>
        </w:tc>
        <w:tc>
          <w:tcPr>
            <w:tcW w:type="dxa" w:w="820"/>
            <w:shd w:val="clear" w:fill="F2F2F2"/>
          </w:tcPr>
          <w:p>
            <w:pPr>
              <w:spacing w:after="0" w:before="0" w:line="240" w:lineRule="auto"/>
            </w:pPr>
            <w:r/>
            <w:r>
              <w:rPr>
                <w:rFonts w:ascii="Times New Roman" w:hAnsi="Times New Roman" w:eastAsia="黑体"/>
                <w:b/>
                <w:sz w:val="16"/>
              </w:rPr>
              <w:t>字节/词元</w:t>
            </w:r>
          </w:p>
        </w:tc>
        <w:tc>
          <w:tcPr>
            <w:tcW w:type="dxa" w:w="797"/>
            <w:shd w:val="clear" w:fill="F2F2F2"/>
          </w:tcPr>
          <w:p>
            <w:pPr>
              <w:spacing w:after="0" w:before="0" w:line="240" w:lineRule="auto"/>
            </w:pPr>
            <w:r/>
            <w:r>
              <w:rPr>
                <w:rFonts w:ascii="Times New Roman" w:hAnsi="Times New Roman" w:eastAsia="黑体"/>
                <w:b/>
                <w:sz w:val="16"/>
              </w:rPr>
              <w:t>带宽</w:t>
            </w:r>
          </w:p>
        </w:tc>
        <w:tc>
          <w:tcPr>
            <w:tcW w:type="dxa" w:w="797"/>
            <w:shd w:val="clear" w:fill="F2F2F2"/>
          </w:tcPr>
          <w:p>
            <w:pPr>
              <w:spacing w:after="0" w:before="0" w:line="240" w:lineRule="auto"/>
            </w:pPr>
            <w:r/>
            <w:r>
              <w:rPr>
                <w:rFonts w:ascii="Times New Roman" w:hAnsi="Times New Roman" w:eastAsia="黑体"/>
                <w:b/>
                <w:sz w:val="16"/>
              </w:rPr>
              <w:t>公式下限</w:t>
            </w:r>
          </w:p>
        </w:tc>
        <w:tc>
          <w:tcPr>
            <w:tcW w:type="dxa" w:w="797"/>
            <w:shd w:val="clear" w:fill="F2F2F2"/>
          </w:tcPr>
          <w:p>
            <w:pPr>
              <w:spacing w:after="0" w:before="0" w:line="240" w:lineRule="auto"/>
            </w:pPr>
            <w:r/>
            <w:r>
              <w:rPr>
                <w:rFonts w:ascii="Times New Roman" w:hAnsi="Times New Roman" w:eastAsia="黑体"/>
                <w:b/>
                <w:sz w:val="16"/>
              </w:rPr>
              <w:t>实测</w:t>
            </w:r>
          </w:p>
        </w:tc>
        <w:tc>
          <w:tcPr>
            <w:tcW w:type="dxa" w:w="820"/>
            <w:shd w:val="clear" w:fill="F2F2F2"/>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3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路并发的专家聚合速率按单流计，并把重叠的时长相加当作暴露时间；改为并集与互斥口径后，比值随之由 3.11 降至 1.06。修正前后的两组数值见随稿附件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7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其机制在引擎内直接测得（随稿附件 A.4.2，10 轮、跨两版代码，每词元请求数与字节数逐位一致）：</w:t>
      </w:r>
    </w:p>
    <w:p>
      <w:pPr>
        <w:spacing w:after="40" w:line="276" w:lineRule="auto"/>
        <w:ind w:firstLine="360"/>
      </w:pPr>
      <w:r>
        <w:rPr>
          <w:rFonts w:ascii="Times New Roman" w:hAnsi="Times New Roman" w:eastAsia="宋体"/>
          <w:b/>
          <w:sz w:val="18"/>
        </w:rPr>
        <w:t>表 7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before="80" w:after="20"/>
        <w:jc w:val="center"/>
      </w:pPr>
      <w:r>
        <w:rPr>
          <w:rFonts w:ascii="Times New Roman" w:hAnsi="Times New Roman" w:eastAsia="宋体"/>
          <w:b w:val="0"/>
          <w:sz w:val="15"/>
        </w:rPr>
        <w:t>表 8　两条读取流的实测速率与运行队列（分档运行）</w:t>
      </w:r>
    </w:p>
    <w:p>
      <w:pPr>
        <w:spacing w:before="80" w:after="20"/>
        <w:jc w:val="center"/>
      </w:pPr>
      <w:r>
        <w:rPr>
          <w:rFonts w:ascii="Times New Roman" w:hAnsi="Times New Roman" w:eastAsia="Times New Roman"/>
          <w:b w:val="0"/>
          <w:sz w:val="15"/>
        </w:rPr>
        <w:t>Table 8　Measured rate and run-queue depth per stream, per tier allocation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65"/>
        <w:gridCol w:w="2085"/>
        <w:gridCol w:w="1625"/>
      </w:tblGrid>
      <w:tr>
        <w:tc>
          <w:tcPr>
            <w:tcW w:type="dxa" w:w="1165"/>
            <w:shd w:val="clear" w:fill="F2F2F2"/>
          </w:tcPr>
          <w:p>
            <w:pPr>
              <w:spacing w:after="0" w:before="0" w:line="240" w:lineRule="auto"/>
            </w:pPr>
            <w:r/>
            <w:r>
              <w:rPr>
                <w:rFonts w:ascii="Times New Roman" w:hAnsi="Times New Roman" w:eastAsia="黑体"/>
                <w:b/>
                <w:sz w:val="16"/>
              </w:rPr>
              <w:t>流</w:t>
            </w:r>
          </w:p>
        </w:tc>
        <w:tc>
          <w:tcPr>
            <w:tcW w:type="dxa" w:w="2085"/>
            <w:shd w:val="clear" w:fill="F2F2F2"/>
          </w:tcPr>
          <w:p>
            <w:pPr>
              <w:spacing w:after="0" w:before="0" w:line="240" w:lineRule="auto"/>
            </w:pPr>
            <w:r/>
            <w:r>
              <w:rPr>
                <w:rFonts w:ascii="Times New Roman" w:hAnsi="Times New Roman" w:eastAsia="黑体"/>
                <w:b/>
                <w:sz w:val="16"/>
              </w:rPr>
              <w:t>每流速率</w:t>
            </w:r>
          </w:p>
        </w:tc>
        <w:tc>
          <w:tcPr>
            <w:tcW w:type="dxa" w:w="1625"/>
            <w:shd w:val="clear" w:fill="F2F2F2"/>
          </w:tcPr>
          <w:p>
            <w:pPr>
              <w:spacing w:after="0" w:before="0" w:line="240" w:lineRule="auto"/>
            </w:pPr>
            <w:r/>
            <w:r>
              <w:rPr>
                <w:rFonts w:ascii="Times New Roman" w:hAnsi="Times New Roman" w:eastAsia="黑体"/>
                <w:b/>
                <w:sz w:val="16"/>
              </w:rPr>
              <w:t>运行队列</w:t>
            </w:r>
          </w:p>
        </w:tc>
      </w:tr>
      <w:tr>
        <w:tc>
          <w:tcPr>
            <w:tcW w:type="dxa" w:w="1165"/>
          </w:tcPr>
          <w:p>
            <w:pPr>
              <w:spacing w:after="0" w:before="0" w:line="240" w:lineRule="auto"/>
            </w:pPr>
            <w:r/>
            <w:r>
              <w:rPr>
                <w:rFonts w:ascii="Times New Roman" w:hAnsi="Times New Roman" w:eastAsia="宋体"/>
                <w:b w:val="0"/>
                <w:sz w:val="15"/>
              </w:rPr>
              <w:t>主干流</w:t>
            </w:r>
          </w:p>
        </w:tc>
        <w:tc>
          <w:tcPr>
            <w:tcW w:type="dxa" w:w="2085"/>
          </w:tcPr>
          <w:p>
            <w:pPr>
              <w:spacing w:after="0" w:before="0" w:line="240" w:lineRule="auto"/>
            </w:pPr>
            <w:r/>
            <w:r>
              <w:rPr>
                <w:rFonts w:ascii="Times New Roman" w:hAnsi="Times New Roman" w:eastAsia="宋体"/>
                <w:b w:val="0"/>
                <w:sz w:val="15"/>
              </w:rPr>
              <w:t>708–1003 MB/s</w:t>
            </w:r>
          </w:p>
        </w:tc>
        <w:tc>
          <w:tcPr>
            <w:tcW w:type="dxa" w:w="1625"/>
          </w:tcPr>
          <w:p>
            <w:pPr>
              <w:spacing w:after="0" w:before="0" w:line="240" w:lineRule="auto"/>
            </w:pPr>
            <w:r/>
            <w:r>
              <w:rPr>
                <w:rFonts w:ascii="Times New Roman" w:hAnsi="Times New Roman" w:eastAsia="宋体"/>
                <w:b w:val="0"/>
                <w:sz w:val="15"/>
              </w:rPr>
              <w:t>0.1 s（0.1%）</w:t>
            </w:r>
          </w:p>
        </w:tc>
      </w:tr>
      <w:tr>
        <w:tc>
          <w:tcPr>
            <w:tcW w:type="dxa" w:w="1165"/>
          </w:tcPr>
          <w:p>
            <w:pPr>
              <w:spacing w:after="0" w:before="0" w:line="240" w:lineRule="auto"/>
            </w:pPr>
            <w:r/>
            <w:r>
              <w:rPr>
                <w:rFonts w:ascii="Times New Roman" w:hAnsi="Times New Roman" w:eastAsia="宋体"/>
                <w:b w:val="0"/>
                <w:sz w:val="15"/>
              </w:rPr>
              <w:t>专家流</w:t>
            </w:r>
          </w:p>
        </w:tc>
        <w:tc>
          <w:tcPr>
            <w:tcW w:type="dxa" w:w="2085"/>
          </w:tcPr>
          <w:p>
            <w:pPr>
              <w:spacing w:after="0" w:before="0" w:line="240" w:lineRule="auto"/>
            </w:pPr>
            <w:r/>
            <w:r>
              <w:rPr>
                <w:rFonts w:ascii="Times New Roman" w:hAnsi="Times New Roman" w:eastAsia="宋体"/>
                <w:b w:val="0"/>
                <w:sz w:val="15"/>
              </w:rPr>
              <w:t>34–46 MB/s</w:t>
            </w:r>
          </w:p>
        </w:tc>
        <w:tc>
          <w:tcPr>
            <w:tcW w:type="dxa" w:w="1625"/>
          </w:tcPr>
          <w:p>
            <w:pPr>
              <w:spacing w:after="0" w:before="0" w:line="240" w:lineRule="auto"/>
            </w:pPr>
            <w:r/>
            <w:r>
              <w:rPr>
                <w:rFonts w:ascii="Times New Roman" w:hAnsi="Times New Roman" w:eastAsia="宋体"/>
                <w:b w:val="0"/>
                <w:sz w:val="15"/>
              </w:rPr>
              <w:t>57–76 s（3.1–4.2%）</w:t>
            </w:r>
          </w:p>
        </w:tc>
      </w:tr>
      <w:tr>
        <w:tc>
          <w:tcPr>
            <w:tcW w:type="dxa" w:w="1165"/>
          </w:tcPr>
          <w:p>
            <w:pPr>
              <w:spacing w:after="0" w:before="0" w:line="240" w:lineRule="auto"/>
            </w:pPr>
            <w:r/>
            <w:r>
              <w:rPr>
                <w:rFonts w:ascii="Times New Roman" w:hAnsi="Times New Roman" w:eastAsia="宋体"/>
                <w:b w:val="0"/>
                <w:sz w:val="15"/>
              </w:rPr>
              <w:t>worker 睡眠</w:t>
            </w:r>
          </w:p>
        </w:tc>
        <w:tc>
          <w:tcPr>
            <w:tcW w:type="dxa" w:w="2085"/>
          </w:tcPr>
          <w:p>
            <w:pPr>
              <w:spacing w:after="0" w:before="0" w:line="240" w:lineRule="auto"/>
            </w:pPr>
            <w:r/>
            <w:r>
              <w:rPr>
                <w:rFonts w:ascii="Times New Roman" w:hAnsi="Times New Roman" w:eastAsia="宋体"/>
                <w:b w:val="0"/>
                <w:sz w:val="15"/>
              </w:rPr>
              <w:t>占墙钟 40–49%</w:t>
            </w:r>
          </w:p>
        </w:tc>
        <w:tc>
          <w:tcPr>
            <w:tcW w:type="dxa" w:w="1625"/>
          </w:tcPr>
          <w:p>
            <w:pPr>
              <w:spacing w:after="0" w:before="0" w:line="240" w:lineRule="auto"/>
            </w:pPr>
            <w:r/>
            <w:r>
              <w:rPr>
                <w:rFonts w:ascii="Times New Roman" w:hAnsi="Times New Roman" w:eastAsia="宋体"/>
                <w:b w:val="0"/>
                <w:sz w:val="15"/>
              </w:rPr>
              <w:t>—</w:t>
            </w:r>
          </w:p>
        </w:tc>
      </w:tr>
      <w:tr>
        <w:tc>
          <w:tcPr>
            <w:tcW w:type="dxa" w:w="1165"/>
          </w:tcPr>
          <w:p>
            <w:pPr>
              <w:spacing w:after="0" w:before="0" w:line="240" w:lineRule="auto"/>
            </w:pPr>
            <w:r/>
            <w:r>
              <w:rPr>
                <w:rFonts w:ascii="Times New Roman" w:hAnsi="Times New Roman" w:eastAsia="宋体"/>
                <w:b w:val="0"/>
                <w:sz w:val="15"/>
              </w:rPr>
              <w:t>实际并发</w:t>
            </w:r>
          </w:p>
        </w:tc>
        <w:tc>
          <w:tcPr>
            <w:tcW w:type="dxa" w:w="2085"/>
          </w:tcPr>
          <w:p>
            <w:pPr>
              <w:spacing w:after="0" w:before="0" w:line="240" w:lineRule="auto"/>
            </w:pPr>
            <w:r/>
            <w:r>
              <w:rPr>
                <w:rFonts w:ascii="Times New Roman" w:hAnsi="Times New Roman" w:eastAsia="宋体"/>
                <w:b w:val="0"/>
                <w:sz w:val="15"/>
              </w:rPr>
              <w:t>8.9–10.0×（配置 16 个 worker）</w:t>
            </w:r>
          </w:p>
        </w:tc>
        <w:tc>
          <w:tcPr>
            <w:tcW w:type="dxa" w:w="1625"/>
          </w:tcPr>
          <w:p>
            <w:pPr>
              <w:spacing w:after="0" w:before="0" w:line="240" w:lineRule="auto"/>
            </w:pPr>
            <w:r/>
            <w:r>
              <w:rPr>
                <w:rFonts w:ascii="Times New Roman" w:hAnsi="Times New Roman" w:eastAsia="宋体"/>
                <w:b w:val="0"/>
                <w:sz w:val="15"/>
              </w:rPr>
              <w:t>—</w:t>
            </w:r>
          </w:p>
        </w:tc>
      </w:tr>
    </w:tbl>
    <w:p>
      <w:pPr>
        <w:spacing w:before="80" w:after="20"/>
        <w:jc w:val="center"/>
      </w:pPr>
      <w:r>
        <w:rPr>
          <w:rFonts w:ascii="Times New Roman" w:hAnsi="Times New Roman" w:eastAsia="宋体"/>
          <w:b w:val="0"/>
          <w:sz w:val="15"/>
        </w:rPr>
        <w:t>表 8 前两行的速率由时间派生，不可复现；字节量才可复现。后续两次复现把这一点摆了出来：每词元的请求数与字节总量与本节完全相同，专家流的每流速率却低于表 8 的区间，主干流仍在区间内；两次复现的墙钟长于本节记录时段，字节除以更长的墙钟，自然得到更低的速率。**验收应核对字节而非速率。** 两次复现的完整数字与本文记录的最慢一次墙钟见随稿附件 A.1。</w:t>
      </w:r>
    </w:p>
    <w:p>
      <w:pPr>
        <w:spacing w:before="80" w:after="20"/>
        <w:jc w:val="center"/>
      </w:pPr>
      <w:r>
        <w:rPr>
          <w:rFonts w:ascii="Times New Roman" w:hAnsi="Times New Roman" w:eastAsia="Times New Roman"/>
          <w:b w:val="0"/>
          <w:sz w:val="15"/>
        </w:rPr>
      </w:r>
    </w:p>
    <w:p>
      <w:pPr>
        <w:spacing w:before="80" w:after="20"/>
        <w:jc w:val="center"/>
      </w:pPr>
      <w:r>
        <w:rPr>
          <w:rFonts w:ascii="Times New Roman" w:hAnsi="Times New Roman" w:eastAsia="宋体"/>
          <w:b w:val="0"/>
          <w:sz w:val="15"/>
        </w:rPr>
        <w:t>表 8 的并发倍数不是独立于睡眠占比的第二个量，二者同源：本机为 8 物理核 / 16 逻辑处理器，8 核乘以 SMT 增益即落在实测区间内，故 worker 数超过约 8–10 不再提高并行度。</w:t>
      </w:r>
    </w:p>
    <w:p>
      <w:pPr>
        <w:spacing w:before="80" w:after="2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before="80" w:after="20"/>
        <w:jc w:val="center"/>
      </w:pPr>
      <w:r>
        <w:rPr>
          <w:rFonts w:ascii="Times New Roman" w:hAnsi="Times New Roman" w:eastAsia="宋体"/>
          <w:b w:val="0"/>
          <w:sz w:val="15"/>
        </w:rPr>
        <w:t>表 9　按线程类别的内核记账（`schedstat` 采样，单位 s）</w:t>
      </w:r>
    </w:p>
    <w:p>
      <w:pPr>
        <w:spacing w:before="80" w:after="20"/>
        <w:jc w:val="center"/>
      </w:pPr>
      <w:r>
        <w:rPr>
          <w:rFonts w:ascii="Times New Roman" w:hAnsi="Times New Roman" w:eastAsia="Times New Roman"/>
          <w:b w:val="0"/>
          <w:sz w:val="15"/>
        </w:rPr>
        <w:t>Table 9　Kernel accounting by thread class (schedstat samples, seconds)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639"/>
        <w:gridCol w:w="1103"/>
        <w:gridCol w:w="1067"/>
        <w:gridCol w:w="1067"/>
      </w:tblGrid>
      <w:tr>
        <w:tc>
          <w:tcPr>
            <w:tcW w:type="dxa" w:w="1639"/>
            <w:shd w:val="clear" w:fill="F2F2F2"/>
          </w:tcPr>
          <w:p>
            <w:pPr>
              <w:spacing w:after="0" w:before="0" w:line="240" w:lineRule="auto"/>
            </w:pPr>
            <w:r/>
            <w:r>
              <w:rPr>
                <w:rFonts w:ascii="Times New Roman" w:hAnsi="Times New Roman" w:eastAsia="黑体"/>
                <w:b/>
                <w:sz w:val="16"/>
              </w:rPr>
              <w:t>线程类别</w:t>
            </w:r>
          </w:p>
        </w:tc>
        <w:tc>
          <w:tcPr>
            <w:tcW w:type="dxa" w:w="1103"/>
            <w:shd w:val="clear" w:fill="F2F2F2"/>
          </w:tcPr>
          <w:p>
            <w:pPr>
              <w:spacing w:after="0" w:before="0" w:line="240" w:lineRule="auto"/>
            </w:pPr>
            <w:r/>
            <w:r>
              <w:rPr>
                <w:rFonts w:ascii="Times New Roman" w:hAnsi="Times New Roman" w:eastAsia="黑体"/>
                <w:b/>
                <w:sz w:val="16"/>
              </w:rPr>
              <w:t>在核</w:t>
            </w:r>
          </w:p>
        </w:tc>
        <w:tc>
          <w:tcPr>
            <w:tcW w:type="dxa" w:w="1067"/>
            <w:shd w:val="clear" w:fill="F2F2F2"/>
          </w:tcPr>
          <w:p>
            <w:pPr>
              <w:spacing w:after="0" w:before="0" w:line="240" w:lineRule="auto"/>
            </w:pPr>
            <w:r/>
            <w:r>
              <w:rPr>
                <w:rFonts w:ascii="Times New Roman" w:hAnsi="Times New Roman" w:eastAsia="黑体"/>
                <w:b/>
                <w:sz w:val="16"/>
              </w:rPr>
              <w:t>运行队列等待</w:t>
            </w:r>
          </w:p>
        </w:tc>
        <w:tc>
          <w:tcPr>
            <w:tcW w:type="dxa" w:w="1067"/>
            <w:shd w:val="clear" w:fill="F2F2F2"/>
          </w:tcPr>
          <w:p>
            <w:pPr>
              <w:spacing w:after="0" w:before="0" w:line="240" w:lineRule="auto"/>
            </w:pPr>
            <w:r/>
            <w:r>
              <w:rPr>
                <w:rFonts w:ascii="Times New Roman" w:hAnsi="Times New Roman" w:eastAsia="黑体"/>
                <w:b/>
                <w:sz w:val="16"/>
              </w:rPr>
              <w:t>等待/在核</w:t>
            </w:r>
          </w:p>
        </w:tc>
      </w:tr>
      <w:tr>
        <w:tc>
          <w:tcPr>
            <w:tcW w:type="dxa" w:w="1639"/>
          </w:tcPr>
          <w:p>
            <w:pPr>
              <w:spacing w:after="0" w:before="0" w:line="240" w:lineRule="auto"/>
            </w:pPr>
            <w:r/>
            <w:r>
              <w:rPr>
                <w:rFonts w:ascii="Times New Roman" w:hAnsi="Times New Roman" w:eastAsia="宋体"/>
                <w:b w:val="0"/>
                <w:sz w:val="15"/>
              </w:rPr>
              <w:t>主线程（producer）</w:t>
            </w:r>
          </w:p>
        </w:tc>
        <w:tc>
          <w:tcPr>
            <w:tcW w:type="dxa" w:w="1103"/>
          </w:tcPr>
          <w:p>
            <w:pPr>
              <w:spacing w:after="0" w:before="0" w:line="240" w:lineRule="auto"/>
            </w:pPr>
            <w:r/>
            <w:r>
              <w:rPr>
                <w:rFonts w:ascii="Times New Roman" w:hAnsi="Times New Roman" w:eastAsia="宋体"/>
                <w:b w:val="0"/>
                <w:sz w:val="15"/>
              </w:rPr>
              <w:t>92.15</w:t>
            </w:r>
          </w:p>
        </w:tc>
        <w:tc>
          <w:tcPr>
            <w:tcW w:type="dxa" w:w="1067"/>
          </w:tcPr>
          <w:p>
            <w:pPr>
              <w:spacing w:after="0" w:before="0" w:line="240" w:lineRule="auto"/>
            </w:pPr>
            <w:r/>
            <w:r>
              <w:rPr>
                <w:rFonts w:ascii="Times New Roman" w:hAnsi="Times New Roman" w:eastAsia="宋体"/>
                <w:b w:val="0"/>
                <w:sz w:val="15"/>
              </w:rPr>
              <w:t>2.59</w:t>
            </w:r>
          </w:p>
        </w:tc>
        <w:tc>
          <w:tcPr>
            <w:tcW w:type="dxa" w:w="1067"/>
          </w:tcPr>
          <w:p>
            <w:pPr>
              <w:spacing w:after="0" w:before="0" w:line="240" w:lineRule="auto"/>
            </w:pPr>
            <w:r/>
            <w:r>
              <w:rPr>
                <w:rFonts w:ascii="Times New Roman" w:hAnsi="Times New Roman" w:eastAsia="宋体"/>
                <w:b w:val="0"/>
                <w:sz w:val="15"/>
              </w:rPr>
              <w:t>0.028</w:t>
            </w:r>
          </w:p>
        </w:tc>
      </w:tr>
      <w:tr>
        <w:tc>
          <w:tcPr>
            <w:tcW w:type="dxa" w:w="1639"/>
          </w:tcPr>
          <w:p>
            <w:pPr>
              <w:spacing w:after="0" w:before="0" w:line="240" w:lineRule="auto"/>
            </w:pPr>
            <w:r/>
            <w:r>
              <w:rPr>
                <w:rFonts w:ascii="Times New Roman" w:hAnsi="Times New Roman" w:eastAsia="宋体"/>
                <w:b w:val="0"/>
                <w:sz w:val="15"/>
              </w:rPr>
              <w:t>16 个 kio worker</w:t>
            </w:r>
          </w:p>
        </w:tc>
        <w:tc>
          <w:tcPr>
            <w:tcW w:type="dxa" w:w="1103"/>
          </w:tcPr>
          <w:p>
            <w:pPr>
              <w:spacing w:after="0" w:before="0" w:line="240" w:lineRule="auto"/>
            </w:pPr>
            <w:r/>
            <w:r>
              <w:rPr>
                <w:rFonts w:ascii="Times New Roman" w:hAnsi="Times New Roman" w:eastAsia="宋体"/>
                <w:b w:val="0"/>
                <w:sz w:val="15"/>
              </w:rPr>
              <w:t>各 48–58</w:t>
            </w:r>
          </w:p>
        </w:tc>
        <w:tc>
          <w:tcPr>
            <w:tcW w:type="dxa" w:w="1067"/>
          </w:tcPr>
          <w:p>
            <w:pPr>
              <w:spacing w:after="0" w:before="0" w:line="240" w:lineRule="auto"/>
            </w:pPr>
            <w:r/>
            <w:r>
              <w:rPr>
                <w:rFonts w:ascii="Times New Roman" w:hAnsi="Times New Roman" w:eastAsia="宋体"/>
                <w:b w:val="0"/>
                <w:sz w:val="15"/>
              </w:rPr>
              <w:t>各 1.9–3.3</w:t>
            </w:r>
          </w:p>
        </w:tc>
        <w:tc>
          <w:tcPr>
            <w:tcW w:type="dxa" w:w="1067"/>
          </w:tcPr>
          <w:p>
            <w:pPr>
              <w:spacing w:after="0" w:before="0" w:line="240" w:lineRule="auto"/>
            </w:pPr>
            <w:r/>
            <w:r>
              <w:rPr>
                <w:rFonts w:ascii="Times New Roman" w:hAnsi="Times New Roman" w:eastAsia="宋体"/>
                <w:b w:val="0"/>
                <w:sz w:val="15"/>
              </w:rPr>
              <w:t>0.039–0.063</w:t>
            </w:r>
          </w:p>
        </w:tc>
      </w:tr>
      <w:tr>
        <w:tc>
          <w:tcPr>
            <w:tcW w:type="dxa" w:w="1639"/>
          </w:tcPr>
          <w:p>
            <w:pPr>
              <w:spacing w:after="0" w:before="0" w:line="240" w:lineRule="auto"/>
            </w:pPr>
            <w:r/>
            <w:r>
              <w:rPr>
                <w:rFonts w:ascii="Times New Roman" w:hAnsi="Times New Roman" w:eastAsia="宋体"/>
                <w:b w:val="0"/>
                <w:sz w:val="15"/>
              </w:rPr>
              <w:t>另 4 个线程</w:t>
            </w:r>
          </w:p>
        </w:tc>
        <w:tc>
          <w:tcPr>
            <w:tcW w:type="dxa" w:w="1103"/>
          </w:tcPr>
          <w:p>
            <w:pPr>
              <w:spacing w:after="0" w:before="0" w:line="240" w:lineRule="auto"/>
            </w:pPr>
            <w:r/>
            <w:r>
              <w:rPr>
                <w:rFonts w:ascii="Times New Roman" w:hAnsi="Times New Roman" w:eastAsia="宋体"/>
                <w:b w:val="0"/>
                <w:sz w:val="15"/>
              </w:rPr>
              <w:t>各 23.2–23.5</w:t>
            </w:r>
          </w:p>
        </w:tc>
        <w:tc>
          <w:tcPr>
            <w:tcW w:type="dxa" w:w="1067"/>
          </w:tcPr>
          <w:p>
            <w:pPr>
              <w:spacing w:after="0" w:before="0" w:line="240" w:lineRule="auto"/>
            </w:pPr>
            <w:r/>
            <w:r>
              <w:rPr>
                <w:rFonts w:ascii="Times New Roman" w:hAnsi="Times New Roman" w:eastAsia="宋体"/>
                <w:b w:val="0"/>
                <w:sz w:val="15"/>
              </w:rPr>
              <w:t>约 2.5</w:t>
            </w:r>
          </w:p>
        </w:tc>
        <w:tc>
          <w:tcPr>
            <w:tcW w:type="dxa" w:w="1067"/>
          </w:tcPr>
          <w:p>
            <w:pPr>
              <w:spacing w:after="0" w:before="0" w:line="240" w:lineRule="auto"/>
            </w:pPr>
            <w:r/>
            <w:r>
              <w:rPr>
                <w:rFonts w:ascii="Times New Roman" w:hAnsi="Times New Roman" w:eastAsia="宋体"/>
                <w:b w:val="0"/>
                <w:sz w:val="15"/>
              </w:rPr>
              <w:t>0.105–0.111</w:t>
            </w:r>
          </w:p>
        </w:tc>
      </w:tr>
      <w:tr>
        <w:tc>
          <w:tcPr>
            <w:tcW w:type="dxa" w:w="1639"/>
          </w:tcPr>
          <w:p>
            <w:pPr>
              <w:spacing w:after="0" w:before="0" w:line="240" w:lineRule="auto"/>
            </w:pPr>
            <w:r/>
            <w:r>
              <w:rPr>
                <w:rFonts w:ascii="Times New Roman" w:hAnsi="Times New Roman" w:eastAsia="宋体"/>
                <w:b w:val="0"/>
                <w:sz w:val="15"/>
              </w:rPr>
              <w:t>**合计**（21/26 线程有增量）</w:t>
            </w:r>
          </w:p>
        </w:tc>
        <w:tc>
          <w:tcPr>
            <w:tcW w:type="dxa" w:w="1103"/>
          </w:tcPr>
          <w:p>
            <w:pPr>
              <w:spacing w:after="0" w:before="0" w:line="240" w:lineRule="auto"/>
            </w:pPr>
            <w:r/>
            <w:r>
              <w:rPr>
                <w:rFonts w:ascii="Times New Roman" w:hAnsi="Times New Roman" w:eastAsia="宋体"/>
                <w:b w:val="0"/>
                <w:sz w:val="15"/>
              </w:rPr>
              <w:t>**1007.4**</w:t>
            </w:r>
          </w:p>
        </w:tc>
        <w:tc>
          <w:tcPr>
            <w:tcW w:type="dxa" w:w="1067"/>
          </w:tcPr>
          <w:p>
            <w:pPr>
              <w:spacing w:after="0" w:before="0" w:line="240" w:lineRule="auto"/>
            </w:pPr>
            <w:r/>
            <w:r>
              <w:rPr>
                <w:rFonts w:ascii="Times New Roman" w:hAnsi="Times New Roman" w:eastAsia="宋体"/>
                <w:b w:val="0"/>
                <w:sz w:val="15"/>
              </w:rPr>
              <w:t>**52.7**</w:t>
            </w:r>
          </w:p>
        </w:tc>
        <w:tc>
          <w:tcPr>
            <w:tcW w:type="dxa" w:w="1067"/>
          </w:tcPr>
          <w:p>
            <w:pPr>
              <w:spacing w:after="0" w:before="0" w:line="240" w:lineRule="auto"/>
            </w:pPr>
            <w:r/>
            <w:r>
              <w:rPr>
                <w:rFonts w:ascii="Times New Roman" w:hAnsi="Times New Roman" w:eastAsia="宋体"/>
                <w:b w:val="0"/>
                <w:sz w:val="15"/>
              </w:rPr>
              <w:t>**0.052**</w:t>
            </w:r>
          </w:p>
        </w:tc>
      </w:tr>
    </w:tbl>
    <w:p>
      <w:pPr>
        <w:spacing w:after="40" w:line="276" w:lineRule="auto"/>
        <w:ind w:firstLine="360"/>
      </w:pPr>
      <w:r>
        <w:rPr>
          <w:rFonts w:ascii="Times New Roman" w:hAnsi="Times New Roman" w:eastAsia="宋体"/>
          <w:b w:val="0"/>
          <w:sz w:val="18"/>
        </w:rPr>
        <w:t>判定为非 CPU 受限，三条依据，都可从表 12 读出：运行队列等待均远小于在核时间，而饱和时两者应当相当；在核总量折合 8 核中的 3.2 核，即 40% 占用；队列等待仅占可用核时的 2.1%。worker 在核仅占墙钟 16%，说明它们真正阻塞在等待而非自旋。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（随稿附件 A.4.3），判定按绝对量重做。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可确定的是它不是字节造成的、也不是设备在该形态上做不到的；不可确定的是跨层流水能收回多少。该问题在本平台的测量重复性下无法判定（见本节方法学限度段与随稿附件第 3 章），故不作量化声称。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而非时间核算，不受此限度影响。上列十轮稳定量见随稿附件 A.4.2。</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5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5），而</w:t>
      </w:r>
      <w:r>
        <w:rPr>
          <w:rFonts w:ascii="Times New Roman" w:hAnsi="Times New Roman" w:eastAsia="宋体"/>
          <w:b/>
          <w:sz w:val="18"/>
        </w:rPr>
        <w:t>同盘、同单元、同 O_DIRECT、同 16 并发的独立测量高出数倍</w:t>
      </w:r>
      <w:r>
        <w:rPr>
          <w:rFonts w:ascii="Times New Roman" w:hAnsi="Times New Roman" w:eastAsia="宋体"/>
          <w:b w:val="0"/>
          <w:sz w:val="18"/>
        </w:rPr>
        <w:t>（表 10、随稿附件 A.4.2）。</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对交错配对测得（表 10）：</w:t>
      </w:r>
    </w:p>
    <w:p>
      <w:pPr>
        <w:spacing w:after="0"/>
        <w:ind w:left="170"/>
      </w:pPr>
      <w:r>
        <w:rPr>
          <w:rFonts w:ascii="Consolas" w:hAnsi="Consolas"/>
          <w:sz w:val="14"/>
        </w:rPr>
        <w:t>表 10　三对交错配对：设备臂与引擎臂同窗口交替（MB/s）</w:t>
      </w:r>
    </w:p>
    <w:p>
      <w:pPr>
        <w:spacing w:after="0"/>
        <w:ind w:left="170"/>
      </w:pPr>
      <w:r>
        <w:rPr>
          <w:rFonts w:ascii="Consolas" w:hAnsi="Consolas"/>
          <w:sz w:val="14"/>
        </w:rPr>
        <w:t>Table 10　Three interleaved pairs, device arm against engine arm in the same window</w:t>
      </w:r>
    </w:p>
    <w:p>
      <w:pPr>
        <w:spacing w:after="0"/>
        <w:ind w:left="170"/>
      </w:pPr>
      <w:r>
        <w:rPr>
          <w:rFonts w:ascii="Consolas" w:hAnsi="Consolas"/>
          <w:sz w:val="14"/>
        </w:rPr>
      </w:r>
    </w:p>
    <w:p>
      <w:pPr>
        <w:spacing w:after="0"/>
        <w:ind w:left="170"/>
      </w:pPr>
      <w:r>
        <w:rPr>
          <w:rFonts w:ascii="Consolas" w:hAnsi="Consolas"/>
          <w:sz w:val="14"/>
        </w:rPr>
        <w:t>| 配对 | 设备混合形态聚合 | 引擎聚合 | 引擎/设备 |</w:t>
      </w:r>
    </w:p>
    <w:p>
      <w:pPr>
        <w:spacing w:after="0"/>
        <w:ind w:left="170"/>
      </w:pPr>
      <w:r>
        <w:rPr>
          <w:rFonts w:ascii="Consolas" w:hAnsi="Consolas"/>
          <w:sz w:val="14"/>
        </w:rPr>
        <w:t>| --- | --- | --- | --- |</w:t>
      </w:r>
    </w:p>
    <w:p>
      <w:pPr>
        <w:spacing w:after="0"/>
        <w:ind w:left="170"/>
      </w:pPr>
      <w:r>
        <w:rPr>
          <w:rFonts w:ascii="Consolas" w:hAnsi="Consolas"/>
          <w:sz w:val="14"/>
        </w:rPr>
        <w:t>| 1 | 1222 | 941 | 0.77 |</w:t>
      </w:r>
    </w:p>
    <w:p>
      <w:pPr>
        <w:spacing w:after="0"/>
        <w:ind w:left="170"/>
      </w:pPr>
      <w:r>
        <w:rPr>
          <w:rFonts w:ascii="Consolas" w:hAnsi="Consolas"/>
          <w:sz w:val="14"/>
        </w:rPr>
        <w:t>| 2 | 1136 | 825 | 0.73 |</w:t>
      </w:r>
    </w:p>
    <w:p>
      <w:pPr>
        <w:spacing w:after="0"/>
        <w:ind w:left="170"/>
      </w:pPr>
      <w:r>
        <w:rPr>
          <w:rFonts w:ascii="Consolas" w:hAnsi="Consolas"/>
          <w:sz w:val="14"/>
        </w:rPr>
        <w:t>| 3 | 1367 | 863 | 0.63 |</w:t>
      </w:r>
    </w:p>
    <w:p>
      <w:pPr>
        <w:spacing w:after="0"/>
        <w:ind w:left="170"/>
      </w:pPr>
      <w:r>
        <w:rPr>
          <w:rFonts w:ascii="Consolas" w:hAnsi="Consolas"/>
          <w:sz w:val="14"/>
        </w:rPr>
        <w:t>| **配对差中位** | — | — | **1.30–1.58 倍** |</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倍（表 10）。以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测量口径上有一处限制值得记录：同一连续臂在两轮独立测量间可相差 47%（表 11），而五个臂中四个按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；表 10 的倍数由设备臂与引擎臂同窗口交替取得，代价是每对需 210 s 连续窗口。</w:t>
      </w:r>
    </w:p>
    <w:p>
      <w:pPr>
        <w:spacing w:before="80" w:after="20"/>
        <w:jc w:val="center"/>
      </w:pPr>
      <w:r>
        <w:rPr>
          <w:rFonts w:ascii="Times New Roman" w:hAnsi="Times New Roman" w:eastAsia="宋体"/>
          <w:b w:val="0"/>
          <w:sz w:val="15"/>
        </w:rPr>
        <w:t>表 11　同一连续臂的两轮独立测量（MB/s）</w:t>
      </w:r>
    </w:p>
    <w:p>
      <w:pPr>
        <w:spacing w:before="80" w:after="20"/>
        <w:jc w:val="center"/>
      </w:pPr>
      <w:r>
        <w:rPr>
          <w:rFonts w:ascii="Times New Roman" w:hAnsi="Times New Roman" w:eastAsia="Times New Roman"/>
          <w:b w:val="0"/>
          <w:sz w:val="15"/>
        </w:rPr>
        <w:t>Table 11　Two independent measurements of the same continuous arm</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666"/>
        <w:gridCol w:w="1300"/>
        <w:gridCol w:w="1910"/>
      </w:tblGrid>
      <w:tr>
        <w:tc>
          <w:tcPr>
            <w:tcW w:type="dxa" w:w="1666"/>
            <w:shd w:val="clear" w:fill="F2F2F2"/>
          </w:tcPr>
          <w:p>
            <w:pPr>
              <w:spacing w:after="0" w:before="0" w:line="240" w:lineRule="auto"/>
            </w:pPr>
            <w:r/>
            <w:r>
              <w:rPr>
                <w:rFonts w:ascii="Times New Roman" w:hAnsi="Times New Roman" w:eastAsia="黑体"/>
                <w:b/>
                <w:sz w:val="16"/>
              </w:rPr>
              <w:t>轮次</w:t>
            </w:r>
          </w:p>
        </w:tc>
        <w:tc>
          <w:tcPr>
            <w:tcW w:type="dxa" w:w="1300"/>
            <w:shd w:val="clear" w:fill="F2F2F2"/>
          </w:tcPr>
          <w:p>
            <w:pPr>
              <w:spacing w:after="0" w:before="0" w:line="240" w:lineRule="auto"/>
            </w:pPr>
            <w:r/>
            <w:r>
              <w:rPr>
                <w:rFonts w:ascii="Times New Roman" w:hAnsi="Times New Roman" w:eastAsia="黑体"/>
                <w:b/>
                <w:sz w:val="16"/>
              </w:rPr>
              <w:t>读数</w:t>
            </w:r>
          </w:p>
        </w:tc>
        <w:tc>
          <w:tcPr>
            <w:tcW w:type="dxa" w:w="1910"/>
            <w:shd w:val="clear" w:fill="F2F2F2"/>
          </w:tcPr>
          <w:p>
            <w:pPr>
              <w:spacing w:after="0" w:before="0" w:line="240" w:lineRule="auto"/>
            </w:pPr>
            <w:r/>
            <w:r>
              <w:rPr>
                <w:rFonts w:ascii="Times New Roman" w:hAnsi="Times New Roman" w:eastAsia="黑体"/>
                <w:b/>
                <w:sz w:val="16"/>
              </w:rPr>
              <w:t>相对偏差</w:t>
            </w:r>
          </w:p>
        </w:tc>
      </w:tr>
      <w:tr>
        <w:tc>
          <w:tcPr>
            <w:tcW w:type="dxa" w:w="1666"/>
          </w:tcPr>
          <w:p>
            <w:pPr>
              <w:spacing w:after="0" w:before="0" w:line="240" w:lineRule="auto"/>
            </w:pPr>
            <w:r/>
            <w:r>
              <w:rPr>
                <w:rFonts w:ascii="Times New Roman" w:hAnsi="Times New Roman" w:eastAsia="宋体"/>
                <w:b w:val="0"/>
                <w:sz w:val="15"/>
              </w:rPr>
              <w:t>第 1 轮</w:t>
            </w:r>
          </w:p>
        </w:tc>
        <w:tc>
          <w:tcPr>
            <w:tcW w:type="dxa" w:w="1300"/>
          </w:tcPr>
          <w:p>
            <w:pPr>
              <w:spacing w:after="0" w:before="0" w:line="240" w:lineRule="auto"/>
            </w:pPr>
            <w:r/>
            <w:r>
              <w:rPr>
                <w:rFonts w:ascii="Times New Roman" w:hAnsi="Times New Roman" w:eastAsia="宋体"/>
                <w:b w:val="0"/>
                <w:sz w:val="15"/>
              </w:rPr>
              <w:t>1786</w:t>
            </w:r>
          </w:p>
        </w:tc>
        <w:tc>
          <w:tcPr>
            <w:tcW w:type="dxa" w:w="1910"/>
          </w:tcPr>
          <w:p>
            <w:pPr>
              <w:spacing w:after="0" w:before="0" w:line="240" w:lineRule="auto"/>
            </w:pPr>
            <w:r/>
            <w:r>
              <w:rPr>
                <w:rFonts w:ascii="Times New Roman" w:hAnsi="Times New Roman" w:eastAsia="宋体"/>
                <w:b w:val="0"/>
                <w:sz w:val="15"/>
              </w:rPr>
              <w:t>—</w:t>
            </w:r>
          </w:p>
        </w:tc>
      </w:tr>
      <w:tr>
        <w:tc>
          <w:tcPr>
            <w:tcW w:type="dxa" w:w="1666"/>
          </w:tcPr>
          <w:p>
            <w:pPr>
              <w:spacing w:after="0" w:before="0" w:line="240" w:lineRule="auto"/>
            </w:pPr>
            <w:r/>
            <w:r>
              <w:rPr>
                <w:rFonts w:ascii="Times New Roman" w:hAnsi="Times New Roman" w:eastAsia="宋体"/>
                <w:b w:val="0"/>
                <w:sz w:val="15"/>
              </w:rPr>
              <w:t>第 2 轮</w:t>
            </w:r>
          </w:p>
        </w:tc>
        <w:tc>
          <w:tcPr>
            <w:tcW w:type="dxa" w:w="1300"/>
          </w:tcPr>
          <w:p>
            <w:pPr>
              <w:spacing w:after="0" w:before="0" w:line="240" w:lineRule="auto"/>
            </w:pPr>
            <w:r/>
            <w:r>
              <w:rPr>
                <w:rFonts w:ascii="Times New Roman" w:hAnsi="Times New Roman" w:eastAsia="宋体"/>
                <w:b w:val="0"/>
                <w:sz w:val="15"/>
              </w:rPr>
              <w:t>1214</w:t>
            </w:r>
          </w:p>
        </w:tc>
        <w:tc>
          <w:tcPr>
            <w:tcW w:type="dxa" w:w="1910"/>
          </w:tcPr>
          <w:p>
            <w:pPr>
              <w:spacing w:after="0" w:before="0" w:line="240" w:lineRule="auto"/>
            </w:pPr>
            <w:r/>
            <w:r>
              <w:rPr>
                <w:rFonts w:ascii="Times New Roman" w:hAnsi="Times New Roman" w:eastAsia="宋体"/>
                <w:b w:val="0"/>
                <w:sz w:val="15"/>
              </w:rPr>
              <w:t>**−47%**</w:t>
            </w:r>
          </w:p>
        </w:tc>
      </w:tr>
    </w:tbl>
    <w:p>
      <w:pPr>
        <w:spacing w:after="40" w:line="276" w:lineRule="auto"/>
        <w:ind w:firstLine="360"/>
      </w:pPr>
      <w:r>
        <w:rPr>
          <w:rFonts w:ascii="Times New Roman" w:hAnsi="Times New Roman" w:eastAsia="宋体"/>
          <w:b/>
          <w:sz w:val="18"/>
        </w:rPr>
        <w:t>因此本节的结论是：差距存在，为 1.30–1.58 倍（表 10），机制已在引擎内定位为算术与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12　本轮八处错误的四步排查回放</w:t>
      </w:r>
    </w:p>
    <w:p>
      <w:pPr>
        <w:spacing w:before="80" w:after="20"/>
        <w:jc w:val="center"/>
      </w:pPr>
      <w:r>
        <w:rPr>
          <w:rFonts w:ascii="Times New Roman" w:hAnsi="Times New Roman" w:eastAsia="Times New Roman"/>
          <w:b w:val="0"/>
          <w:sz w:val="15"/>
        </w:rPr>
        <w:t>Table 12　Replay of this run's eight errors against the four-step order</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50"/>
        <w:gridCol w:w="747"/>
        <w:gridCol w:w="819"/>
        <w:gridCol w:w="2060"/>
      </w:tblGrid>
      <w:tr>
        <w:tc>
          <w:tcPr>
            <w:tcW w:type="dxa" w:w="1250"/>
            <w:shd w:val="clear" w:fill="F2F2F2"/>
          </w:tcPr>
          <w:p>
            <w:pPr>
              <w:spacing w:after="0" w:before="0" w:line="240" w:lineRule="auto"/>
            </w:pPr>
            <w:r/>
            <w:r>
              <w:rPr>
                <w:rFonts w:ascii="Times New Roman" w:hAnsi="Times New Roman" w:eastAsia="黑体"/>
                <w:b/>
                <w:sz w:val="16"/>
              </w:rPr>
              <w:t>实际发生的错误</w:t>
            </w:r>
          </w:p>
        </w:tc>
        <w:tc>
          <w:tcPr>
            <w:tcW w:type="dxa" w:w="747"/>
            <w:shd w:val="clear" w:fill="F2F2F2"/>
          </w:tcPr>
          <w:p>
            <w:pPr>
              <w:spacing w:after="0" w:before="0" w:line="240" w:lineRule="auto"/>
            </w:pPr>
            <w:r/>
            <w:r>
              <w:rPr>
                <w:rFonts w:ascii="Times New Roman" w:hAnsi="Times New Roman" w:eastAsia="黑体"/>
                <w:b/>
                <w:sz w:val="16"/>
              </w:rPr>
              <w:t>观测平面</w:t>
            </w:r>
          </w:p>
        </w:tc>
        <w:tc>
          <w:tcPr>
            <w:tcW w:type="dxa" w:w="819"/>
            <w:shd w:val="clear" w:fill="F2F2F2"/>
          </w:tcPr>
          <w:p>
            <w:pPr>
              <w:spacing w:after="0" w:before="0" w:line="240" w:lineRule="auto"/>
            </w:pPr>
            <w:r/>
            <w:r>
              <w:rPr>
                <w:rFonts w:ascii="Times New Roman" w:hAnsi="Times New Roman" w:eastAsia="黑体"/>
                <w:b/>
                <w:sz w:val="16"/>
              </w:rPr>
              <w:t>四步能否抓住</w:t>
            </w:r>
          </w:p>
        </w:tc>
        <w:tc>
          <w:tcPr>
            <w:tcW w:type="dxa" w:w="2060"/>
            <w:shd w:val="clear" w:fill="F2F2F2"/>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4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sz w:val="18"/>
        </w:rPr>
        <w:t>结论是：在存储受限主机上，MoE 专家权重的复用没有落在它能到达的最快层，而命中率看不出这件事；按命中率验收这类改动不成立，验收线必须是逐层字节读数回落至其 distinct 集下界，并须另配一条关于可达聚合带宽的口径，因为代价与字节量不同向。</w:t>
      </w:r>
    </w:p>
    <w:p>
      <w:pPr>
        <w:spacing w:after="40" w:line="276" w:lineRule="auto"/>
        <w:ind w:firstLine="360"/>
      </w:pPr>
      <w:r>
        <w:rPr>
          <w:rFonts w:ascii="Times New Roman" w:hAnsi="Times New Roman" w:eastAsia="宋体"/>
          <w:b w:val="0"/>
          <w:sz w:val="18"/>
        </w:rPr>
        <w:t>这一结论由以下三步得出。本文从一次反常现象出发：按命中率将缓存优化至满格，端到端吞吐仍未达到应有水平。围绕该现象，本文给出可逐行回查的字节日志审计与一次真机测量：对存储受限主机上 Kimi K3（2.8T MoE）推理冷启动的实测表明，每词元从低速盘全量重读专家权重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字节达标并非终点。首次逐相位实测补出了判据原先缺的一个因子：代价还要看可达聚合带宽。该次运行的结果与直觉相反：搬运量最大的那一流反而近乎免费，搬运量最小的那一流几乎占满了整轮的墙（表 7）。</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倍（三对交错配对，随稿附件 A.4.2），机制已定位为算术与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冷启动，2026-08），随稿附件 A.1 [Author-built machine byte-stream ledger, k3 x86 cold start, 2026-08, attachment A.1].</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at maximum (CACHE HIT 100%) while end-to-end throughput stays below its expected level — this is what Kimi K3 (2.8T MoE) does at cold start on a memory-constrained host. Accounting in bytes rather than in hit rate gives a different picture: 25.83 GB of expert weights are re-read in full from the slow disk per token, which is 94% of that stage's end-to-end time, and moving the experts to a fast disk leaves the hit rate at maximum and the byte count at 25.83 GB per token, not one byte saved. A hit changes the tier the bytes come from; it does not remove them. Hit rate counts whether the media were hit, a byte ledger counts how many bytes moved, and those are two different books. </w:t>
      </w:r>
      <w:r>
        <w:rPr>
          <w:rFonts w:ascii="Times New Roman" w:hAnsi="Times New Roman" w:eastAsia="宋体"/>
          <w:b/>
          <w:sz w:val="18"/>
        </w:rPr>
        <w:t>From that follows an acceptance criterion stated in bytes</w:t>
      </w:r>
      <w:r>
        <w:rPr>
          <w:rFonts w:ascii="Times New Roman" w:hAnsi="Times New Roman" w:eastAsia="宋体"/>
          <w:b w:val="0"/>
          <w:sz w:val="18"/>
        </w:rPr>
        <w:t xml:space="preserve">: budget each tier by its distinct set, judge whether reuse has landed by whether the slow-tier read falls to its bound, and drop the hit-rate dashboard. Four diagnostic steps come with it, each naming which counter to read and what counts as passing. The criterion takes counters as input, and counters lie, so a second rule follows, independent of the workload: every derived quantity must be cross-checked against an independent quantity and printed beside it. Six counter fields that produced wrong conclusions in this run were all found that way; their failures are unrelated to one another and share one property, that the error is the same size as the real fault and therefore never raises an alarm. All figures come from one platform and one cold-start sequence. </w:t>
      </w:r>
      <w:r>
        <w:rPr>
          <w:rFonts w:ascii="Times New Roman" w:hAnsi="Times New Roman" w:eastAsia="宋体"/>
          <w:b/>
          <w:sz w:val="18"/>
        </w:rPr>
        <w:t>The conclusion holds on the byte account and not on the speed account</w:t>
      </w:r>
      <w:r>
        <w:rPr>
          <w:rFonts w:ascii="Times New Roman" w:hAnsi="Times New Roman" w:eastAsia="宋体"/>
          <w:b w:val="0"/>
          <w:sz w:val="18"/>
        </w:rPr>
        <w:t>: across thirty identical runs the byte count is identical while the output speed spans 80.8%, which is why a throughput threshold of the order of ten percent cannot be used to accept or reject a change in this setting. Where the four steps all pass and a gap remains, the gap is not in the reuse layer, and the search moves to achievable aggregate bandwidth.</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