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所用原则——慢速层只读一次——由定义与两条显式假设直接导出，不含隐藏引理，因而任何字节级台账都能逐行核对而不必先核对文献。</w:t>
      </w:r>
      <w:r>
        <w:rPr>
          <w:rFonts w:ascii="Times New Roman" w:hAnsi="Times New Roman" w:eastAsia="宋体"/>
          <w:b/>
          <w:sz w:val="18"/>
        </w:rPr>
        <w:t>判据能否成立，取决于计出来的数是否可信，而不是这条原则是否深刻。</w:t>
      </w:r>
      <w:r>
        <w:rPr>
          <w:rFonts w:ascii="Times New Roman" w:hAnsi="Times New Roman" w:eastAsia="宋体"/>
          <w:b w:val="0"/>
          <w:sz w:val="18"/>
        </w:rPr>
        <w:t xml:space="preserve"> 实测平台为 Kimi K3（2.8T MoE）：缓存命中率调至满格（CACHE HIT 100%），端到端吞吐仍达不到应有水平，而每词元从低速盘全量重读专家权重 25.83 GB，占该阶段端到端耗时的 94%；把专家迁至高速盘后命中率照样满格，逐词元字节台账显示搬运量仍是 25.83 GB。</w:t>
      </w:r>
      <w:r>
        <w:rPr>
          <w:rFonts w:ascii="Times New Roman" w:hAnsi="Times New Roman" w:eastAsia="宋体"/>
          <w:b/>
          <w:sz w:val="18"/>
        </w:rPr>
        <w:t>命中只换了介质，一个字节未省。</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取自上述单一平台的实测，适用范围与限度见 4.4 节。</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由定义与两条显式假设直接导出，不含隐藏引理，因而无需先核对文献即可使用，判据一旦成立，就固定了可以被逐行核对的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判据能否成立，取决于两件与这条原则无关的事：计出来的数是否可信（§3.2），以及字节级台账与时间账为什么不能混用（第 4.6 节）。</w:t>
      </w:r>
      <w:r>
        <w:rPr>
          <w:rFonts w:ascii="Times New Roman" w:hAnsi="Times New Roman" w:eastAsia="宋体"/>
          <w:b w:val="0"/>
          <w:sz w:val="18"/>
        </w:rPr>
        <w:t xml:space="preserve"> 这两处都不是原则能回答的，本文的主要工作也在它们上面。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该原则由两条显式假设导出，不含隐藏引理，因而无需先核对文献即可使用</w:t>
      </w:r>
      <w:r>
        <w:rPr>
          <w:rFonts w:ascii="Times New Roman" w:hAnsi="Times New Roman" w:eastAsia="宋体"/>
          <w:b w:val="0"/>
          <w:sz w:val="18"/>
        </w:rPr>
        <w:t>：判据的验收标准由此可以被逐行回查，而回查是本篇其余工作的前提。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50"/>
        <w:gridCol w:w="1242"/>
        <w:gridCol w:w="1242"/>
        <w:gridCol w:w="1242"/>
      </w:tblGrid>
      <w:tr>
        <w:tc>
          <w:tcPr>
            <w:tcW w:type="dxa" w:w="1150"/>
            <w:shd w:val="clear" w:fill="F2F2F2"/>
          </w:tcPr>
          <w:p>
            <w:pPr>
              <w:spacing w:after="0" w:before="0" w:line="240" w:lineRule="auto"/>
            </w:pPr>
            <w:r/>
            <w:r>
              <w:rPr>
                <w:rFonts w:ascii="Times New Roman" w:hAnsi="Times New Roman" w:eastAsia="黑体"/>
                <w:b/>
                <w:sz w:val="16"/>
              </w:rPr>
              <w:t>字段</w:t>
            </w:r>
          </w:p>
        </w:tc>
        <w:tc>
          <w:tcPr>
            <w:tcW w:type="dxa" w:w="1242"/>
            <w:shd w:val="clear" w:fill="F2F2F2"/>
          </w:tcPr>
          <w:p>
            <w:pPr>
              <w:spacing w:after="0" w:before="0" w:line="240" w:lineRule="auto"/>
            </w:pPr>
            <w:r/>
            <w:r>
              <w:rPr>
                <w:rFonts w:ascii="Times New Roman" w:hAnsi="Times New Roman" w:eastAsia="黑体"/>
                <w:b/>
                <w:sz w:val="16"/>
              </w:rPr>
              <w:t>它报出来的</w:t>
            </w:r>
          </w:p>
        </w:tc>
        <w:tc>
          <w:tcPr>
            <w:tcW w:type="dxa" w:w="1242"/>
            <w:shd w:val="clear" w:fill="F2F2F2"/>
          </w:tcPr>
          <w:p>
            <w:pPr>
              <w:spacing w:after="0" w:before="0" w:line="240" w:lineRule="auto"/>
            </w:pPr>
            <w:r/>
            <w:r>
              <w:rPr>
                <w:rFonts w:ascii="Times New Roman" w:hAnsi="Times New Roman" w:eastAsia="黑体"/>
                <w:b/>
                <w:sz w:val="16"/>
              </w:rPr>
              <w:t>独立量报的</w:t>
            </w:r>
          </w:p>
        </w:tc>
        <w:tc>
          <w:tcPr>
            <w:tcW w:type="dxa" w:w="1242"/>
            <w:shd w:val="clear" w:fill="F2F2F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341"/>
        <w:gridCol w:w="3535"/>
      </w:tblGrid>
      <w:tr>
        <w:tc>
          <w:tcPr>
            <w:tcW w:type="dxa" w:w="1341"/>
            <w:shd w:val="clear" w:fill="F2F2F2"/>
          </w:tcPr>
          <w:p>
            <w:pPr>
              <w:spacing w:after="0" w:before="0" w:line="240" w:lineRule="auto"/>
            </w:pPr>
            <w:r/>
            <w:r>
              <w:rPr>
                <w:rFonts w:ascii="Times New Roman" w:hAnsi="Times New Roman" w:eastAsia="黑体"/>
                <w:b/>
                <w:sz w:val="16"/>
              </w:rPr>
              <w:t>派生量</w:t>
            </w:r>
          </w:p>
        </w:tc>
        <w:tc>
          <w:tcPr>
            <w:tcW w:type="dxa" w:w="3535"/>
            <w:shd w:val="clear" w:fill="F2F2F2"/>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2247"/>
        <w:gridCol w:w="2629"/>
      </w:tblGrid>
      <w:tr>
        <w:tc>
          <w:tcPr>
            <w:tcW w:type="dxa" w:w="2247"/>
            <w:shd w:val="clear" w:fill="F2F2F2"/>
          </w:tcPr>
          <w:p>
            <w:pPr>
              <w:spacing w:after="0" w:before="0" w:line="240" w:lineRule="auto"/>
            </w:pPr>
            <w:r/>
            <w:r>
              <w:rPr>
                <w:rFonts w:ascii="Times New Roman" w:hAnsi="Times New Roman" w:eastAsia="黑体"/>
                <w:b/>
                <w:sz w:val="16"/>
              </w:rPr>
              <w:t>指标</w:t>
            </w:r>
          </w:p>
        </w:tc>
        <w:tc>
          <w:tcPr>
            <w:tcW w:type="dxa" w:w="2629"/>
            <w:shd w:val="clear" w:fill="F2F2F2"/>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46"/>
        <w:gridCol w:w="1378"/>
        <w:gridCol w:w="1204"/>
        <w:gridCol w:w="1146"/>
      </w:tblGrid>
      <w:tr>
        <w:tc>
          <w:tcPr>
            <w:tcW w:type="dxa" w:w="1146"/>
            <w:shd w:val="clear" w:fill="F2F2F2"/>
          </w:tcPr>
          <w:p>
            <w:pPr>
              <w:spacing w:after="0" w:before="0" w:line="240" w:lineRule="auto"/>
            </w:pPr>
            <w:r/>
            <w:r>
              <w:rPr>
                <w:rFonts w:ascii="Times New Roman" w:hAnsi="Times New Roman" w:eastAsia="黑体"/>
                <w:b/>
                <w:sz w:val="16"/>
              </w:rPr>
              <w:t>落位层</w:t>
            </w:r>
          </w:p>
        </w:tc>
        <w:tc>
          <w:tcPr>
            <w:tcW w:type="dxa" w:w="1378"/>
            <w:shd w:val="clear" w:fill="F2F2F2"/>
          </w:tcPr>
          <w:p>
            <w:pPr>
              <w:spacing w:after="0" w:before="0" w:line="240" w:lineRule="auto"/>
            </w:pPr>
            <w:r/>
            <w:r>
              <w:rPr>
                <w:rFonts w:ascii="Times New Roman" w:hAnsi="Times New Roman" w:eastAsia="黑体"/>
                <w:b/>
                <w:sz w:val="16"/>
              </w:rPr>
              <w:t>低速盘</w:t>
            </w:r>
          </w:p>
        </w:tc>
        <w:tc>
          <w:tcPr>
            <w:tcW w:type="dxa" w:w="1204"/>
            <w:shd w:val="clear" w:fill="F2F2F2"/>
          </w:tcPr>
          <w:p>
            <w:pPr>
              <w:spacing w:after="0" w:before="0" w:line="240" w:lineRule="auto"/>
            </w:pPr>
            <w:r/>
            <w:r>
              <w:rPr>
                <w:rFonts w:ascii="Times New Roman" w:hAnsi="Times New Roman" w:eastAsia="黑体"/>
                <w:b/>
                <w:sz w:val="16"/>
              </w:rPr>
              <w:t>高速盘</w:t>
            </w:r>
          </w:p>
        </w:tc>
        <w:tc>
          <w:tcPr>
            <w:tcW w:type="dxa" w:w="1146"/>
            <w:shd w:val="clear" w:fill="F2F2F2"/>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项刚好只读一次"收敛；复用的承担场所从更慢速层迁移到更近的层。这正是推论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31"/>
        <w:gridCol w:w="809"/>
        <w:gridCol w:w="787"/>
        <w:gridCol w:w="809"/>
        <w:gridCol w:w="853"/>
        <w:gridCol w:w="787"/>
      </w:tblGrid>
      <w:tr>
        <w:tc>
          <w:tcPr>
            <w:tcW w:type="dxa" w:w="831"/>
            <w:shd w:val="clear" w:fill="F2F2F2"/>
          </w:tcPr>
          <w:p>
            <w:pPr>
              <w:spacing w:after="0" w:before="0" w:line="240" w:lineRule="auto"/>
            </w:pPr>
            <w:r/>
            <w:r>
              <w:rPr>
                <w:rFonts w:ascii="Times New Roman" w:hAnsi="Times New Roman" w:eastAsia="黑体"/>
                <w:b/>
                <w:sz w:val="16"/>
              </w:rPr>
              <w:t>读取流</w:t>
            </w:r>
          </w:p>
        </w:tc>
        <w:tc>
          <w:tcPr>
            <w:tcW w:type="dxa" w:w="809"/>
            <w:shd w:val="clear" w:fill="F2F2F2"/>
          </w:tcPr>
          <w:p>
            <w:pPr>
              <w:spacing w:after="0" w:before="0" w:line="240" w:lineRule="auto"/>
            </w:pPr>
            <w:r/>
            <w:r>
              <w:rPr>
                <w:rFonts w:ascii="Times New Roman" w:hAnsi="Times New Roman" w:eastAsia="黑体"/>
                <w:b/>
                <w:sz w:val="16"/>
              </w:rPr>
              <w:t>字节/词元</w:t>
            </w:r>
          </w:p>
        </w:tc>
        <w:tc>
          <w:tcPr>
            <w:tcW w:type="dxa" w:w="787"/>
            <w:shd w:val="clear" w:fill="F2F2F2"/>
          </w:tcPr>
          <w:p>
            <w:pPr>
              <w:spacing w:after="0" w:before="0" w:line="240" w:lineRule="auto"/>
            </w:pPr>
            <w:r/>
            <w:r>
              <w:rPr>
                <w:rFonts w:ascii="Times New Roman" w:hAnsi="Times New Roman" w:eastAsia="黑体"/>
                <w:b/>
                <w:sz w:val="16"/>
              </w:rPr>
              <w:t>速率</w:t>
            </w:r>
          </w:p>
        </w:tc>
        <w:tc>
          <w:tcPr>
            <w:tcW w:type="dxa" w:w="809"/>
            <w:shd w:val="clear" w:fill="F2F2F2"/>
          </w:tcPr>
          <w:p>
            <w:pPr>
              <w:spacing w:after="0" w:before="0" w:line="240" w:lineRule="auto"/>
            </w:pPr>
            <w:r/>
            <w:r>
              <w:rPr>
                <w:rFonts w:ascii="Times New Roman" w:hAnsi="Times New Roman" w:eastAsia="黑体"/>
                <w:b/>
                <w:sz w:val="16"/>
              </w:rPr>
              <w:t>访问序</w:t>
            </w:r>
          </w:p>
        </w:tc>
        <w:tc>
          <w:tcPr>
            <w:tcW w:type="dxa" w:w="853"/>
            <w:shd w:val="clear" w:fill="F2F2F2"/>
          </w:tcPr>
          <w:p>
            <w:pPr>
              <w:spacing w:after="0" w:before="0" w:line="240" w:lineRule="auto"/>
            </w:pPr>
            <w:r/>
            <w:r>
              <w:rPr>
                <w:rFonts w:ascii="Times New Roman" w:hAnsi="Times New Roman" w:eastAsia="黑体"/>
                <w:b/>
                <w:sz w:val="16"/>
              </w:rPr>
              <w:t>暴露</w:t>
            </w:r>
          </w:p>
        </w:tc>
        <w:tc>
          <w:tcPr>
            <w:tcW w:type="dxa" w:w="787"/>
            <w:shd w:val="clear" w:fill="F2F2F2"/>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3）降至 191.6 s/词元，约 −37%，为同口径的单次对照；同一次高速盘驻留长程运行的端到端输出速度实测为 262.78 s/词元。收益未达按跨遍复用的字节量推演的上界（约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4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78"/>
        <w:gridCol w:w="1120"/>
        <w:gridCol w:w="1357"/>
        <w:gridCol w:w="1120"/>
      </w:tblGrid>
      <w:tr>
        <w:tc>
          <w:tcPr>
            <w:tcW w:type="dxa" w:w="1278"/>
            <w:shd w:val="clear" w:fill="F2F2F2"/>
          </w:tcPr>
          <w:p>
            <w:pPr>
              <w:spacing w:after="0" w:before="0" w:line="240" w:lineRule="auto"/>
            </w:pPr>
            <w:r/>
            <w:r>
              <w:rPr>
                <w:rFonts w:ascii="Times New Roman" w:hAnsi="Times New Roman" w:eastAsia="黑体"/>
                <w:b/>
                <w:sz w:val="16"/>
              </w:rPr>
              <w:t>L1 策略</w:t>
            </w:r>
          </w:p>
        </w:tc>
        <w:tc>
          <w:tcPr>
            <w:tcW w:type="dxa" w:w="1120"/>
            <w:shd w:val="clear" w:fill="F2F2F2"/>
          </w:tcPr>
          <w:p>
            <w:pPr>
              <w:spacing w:after="0" w:before="0" w:line="240" w:lineRule="auto"/>
            </w:pPr>
            <w:r/>
            <w:r>
              <w:rPr>
                <w:rFonts w:ascii="Times New Roman" w:hAnsi="Times New Roman" w:eastAsia="黑体"/>
                <w:b/>
                <w:sz w:val="16"/>
              </w:rPr>
              <w:t>cache</w:t>
            </w:r>
          </w:p>
        </w:tc>
        <w:tc>
          <w:tcPr>
            <w:tcW w:type="dxa" w:w="1357"/>
            <w:shd w:val="clear" w:fill="F2F2F2"/>
          </w:tcPr>
          <w:p>
            <w:pPr>
              <w:spacing w:after="0" w:before="0" w:line="240" w:lineRule="auto"/>
            </w:pPr>
            <w:r/>
            <w:r>
              <w:rPr>
                <w:rFonts w:ascii="Times New Roman" w:hAnsi="Times New Roman" w:eastAsia="黑体"/>
                <w:b/>
                <w:sz w:val="16"/>
              </w:rPr>
              <w:t>三轮实测</w:t>
            </w:r>
          </w:p>
        </w:tc>
        <w:tc>
          <w:tcPr>
            <w:tcW w:type="dxa" w:w="1120"/>
            <w:shd w:val="clear" w:fill="F2F2F2"/>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43"/>
        <w:gridCol w:w="820"/>
        <w:gridCol w:w="797"/>
        <w:gridCol w:w="797"/>
        <w:gridCol w:w="797"/>
        <w:gridCol w:w="820"/>
      </w:tblGrid>
      <w:tr>
        <w:tc>
          <w:tcPr>
            <w:tcW w:type="dxa" w:w="843"/>
            <w:shd w:val="clear" w:fill="F2F2F2"/>
          </w:tcPr>
          <w:p>
            <w:pPr>
              <w:spacing w:after="0" w:before="0" w:line="240" w:lineRule="auto"/>
            </w:pPr>
            <w:r/>
            <w:r>
              <w:rPr>
                <w:rFonts w:ascii="Times New Roman" w:hAnsi="Times New Roman" w:eastAsia="黑体"/>
                <w:b/>
                <w:sz w:val="16"/>
              </w:rPr>
              <w:t>落位档</w:t>
            </w:r>
          </w:p>
        </w:tc>
        <w:tc>
          <w:tcPr>
            <w:tcW w:type="dxa" w:w="820"/>
            <w:shd w:val="clear" w:fill="F2F2F2"/>
          </w:tcPr>
          <w:p>
            <w:pPr>
              <w:spacing w:after="0" w:before="0" w:line="240" w:lineRule="auto"/>
            </w:pPr>
            <w:r/>
            <w:r>
              <w:rPr>
                <w:rFonts w:ascii="Times New Roman" w:hAnsi="Times New Roman" w:eastAsia="黑体"/>
                <w:b/>
                <w:sz w:val="16"/>
              </w:rPr>
              <w:t>字节/词元</w:t>
            </w:r>
          </w:p>
        </w:tc>
        <w:tc>
          <w:tcPr>
            <w:tcW w:type="dxa" w:w="797"/>
            <w:shd w:val="clear" w:fill="F2F2F2"/>
          </w:tcPr>
          <w:p>
            <w:pPr>
              <w:spacing w:after="0" w:before="0" w:line="240" w:lineRule="auto"/>
            </w:pPr>
            <w:r/>
            <w:r>
              <w:rPr>
                <w:rFonts w:ascii="Times New Roman" w:hAnsi="Times New Roman" w:eastAsia="黑体"/>
                <w:b/>
                <w:sz w:val="16"/>
              </w:rPr>
              <w:t>带宽</w:t>
            </w:r>
          </w:p>
        </w:tc>
        <w:tc>
          <w:tcPr>
            <w:tcW w:type="dxa" w:w="797"/>
            <w:shd w:val="clear" w:fill="F2F2F2"/>
          </w:tcPr>
          <w:p>
            <w:pPr>
              <w:spacing w:after="0" w:before="0" w:line="240" w:lineRule="auto"/>
            </w:pPr>
            <w:r/>
            <w:r>
              <w:rPr>
                <w:rFonts w:ascii="Times New Roman" w:hAnsi="Times New Roman" w:eastAsia="黑体"/>
                <w:b/>
                <w:sz w:val="16"/>
              </w:rPr>
              <w:t>公式下限</w:t>
            </w:r>
          </w:p>
        </w:tc>
        <w:tc>
          <w:tcPr>
            <w:tcW w:type="dxa" w:w="797"/>
            <w:shd w:val="clear" w:fill="F2F2F2"/>
          </w:tcPr>
          <w:p>
            <w:pPr>
              <w:spacing w:after="0" w:before="0" w:line="240" w:lineRule="auto"/>
            </w:pPr>
            <w:r/>
            <w:r>
              <w:rPr>
                <w:rFonts w:ascii="Times New Roman" w:hAnsi="Times New Roman" w:eastAsia="黑体"/>
                <w:b/>
                <w:sz w:val="16"/>
              </w:rPr>
              <w:t>实测</w:t>
            </w:r>
          </w:p>
        </w:tc>
        <w:tc>
          <w:tcPr>
            <w:tcW w:type="dxa" w:w="820"/>
            <w:shd w:val="clear" w:fill="F2F2F2"/>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其机制在引擎内直接测得（随稿附件 A.4.2，10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（随稿附件 A.4.3），判定按绝对量重做。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可确定的是它不是字节造成的、也不是设备在该形态上做不到的；不可确定的是跨层流水能收回多少。该问题在本平台的测量重复性下无法判定（见本节方法学限度段与随稿附件第 3 章），故不作量化声称。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而非时间核算，不受此限度影响。上列十轮稳定量见随稿附件 A.4.2。</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（随稿附件 A.4.2）。</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对交错配对测得（随稿附件 A.4.2）：</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50"/>
        <w:gridCol w:w="747"/>
        <w:gridCol w:w="819"/>
        <w:gridCol w:w="2060"/>
      </w:tblGrid>
      <w:tr>
        <w:tc>
          <w:tcPr>
            <w:tcW w:type="dxa" w:w="1250"/>
            <w:shd w:val="clear" w:fill="F2F2F2"/>
          </w:tcPr>
          <w:p>
            <w:pPr>
              <w:spacing w:after="0" w:before="0" w:line="240" w:lineRule="auto"/>
            </w:pPr>
            <w:r/>
            <w:r>
              <w:rPr>
                <w:rFonts w:ascii="Times New Roman" w:hAnsi="Times New Roman" w:eastAsia="黑体"/>
                <w:b/>
                <w:sz w:val="16"/>
              </w:rPr>
              <w:t>实际发生的错误</w:t>
            </w:r>
          </w:p>
        </w:tc>
        <w:tc>
          <w:tcPr>
            <w:tcW w:type="dxa" w:w="747"/>
            <w:shd w:val="clear" w:fill="F2F2F2"/>
          </w:tcPr>
          <w:p>
            <w:pPr>
              <w:spacing w:after="0" w:before="0" w:line="240" w:lineRule="auto"/>
            </w:pPr>
            <w:r/>
            <w:r>
              <w:rPr>
                <w:rFonts w:ascii="Times New Roman" w:hAnsi="Times New Roman" w:eastAsia="黑体"/>
                <w:b/>
                <w:sz w:val="16"/>
              </w:rPr>
              <w:t>观测平面</w:t>
            </w:r>
          </w:p>
        </w:tc>
        <w:tc>
          <w:tcPr>
            <w:tcW w:type="dxa" w:w="819"/>
            <w:shd w:val="clear" w:fill="F2F2F2"/>
          </w:tcPr>
          <w:p>
            <w:pPr>
              <w:spacing w:after="0" w:before="0" w:line="240" w:lineRule="auto"/>
            </w:pPr>
            <w:r/>
            <w:r>
              <w:rPr>
                <w:rFonts w:ascii="Times New Roman" w:hAnsi="Times New Roman" w:eastAsia="黑体"/>
                <w:b/>
                <w:sz w:val="16"/>
              </w:rPr>
              <w:t>四步能否抓住</w:t>
            </w:r>
          </w:p>
        </w:tc>
        <w:tc>
          <w:tcPr>
            <w:tcW w:type="dxa" w:w="2060"/>
            <w:shd w:val="clear" w:fill="F2F2F2"/>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倍（三对交错配对，随稿附件 A.4.2），机制已定位为算术与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冷启动，2026-08），随稿附件 A.1 [Author-built machine byte-stream ledger, k3 x86 cold start, 2026-08, attachment A.1].</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