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103607"/>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103607"/>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L1 策略</w:t>
            </w:r>
          </w:p>
        </w:tc>
        <w:tc>
          <w:tcPr>
            <w:tcW w:type="dxa" w:w="2523"/>
          </w:tcPr>
          <w:p>
            <w:pPr>
              <w:spacing w:after="0"/>
            </w:pPr>
            <w:r/>
            <w:r>
              <w:rPr>
                <w:rFonts w:ascii="Times New Roman" w:hAnsi="Times New Roman" w:eastAsia="黑体"/>
                <w:b/>
                <w:sz w:val="16"/>
              </w:rPr>
              <w:t>cache/GB</w:t>
            </w:r>
          </w:p>
        </w:tc>
        <w:tc>
          <w:tcPr>
            <w:tcW w:type="dxa" w:w="2523"/>
          </w:tcPr>
          <w:p>
            <w:pPr>
              <w:spacing w:after="0"/>
            </w:pPr>
            <w:r/>
            <w:r>
              <w:rPr>
                <w:rFonts w:ascii="Times New Roman" w:hAnsi="Times New Roman" w:eastAsia="黑体"/>
                <w:b/>
                <w:sz w:val="16"/>
              </w:rPr>
              <w:t>三轮实测（GB/词元）</w:t>
            </w:r>
          </w:p>
        </w:tc>
        <w:tc>
          <w:tcPr>
            <w:tcW w:type="dxa" w:w="2523"/>
          </w:tcPr>
          <w:p>
            <w:pPr>
              <w:spacing w:after="0"/>
            </w:pPr>
            <w:r/>
            <w:r>
              <w:rPr>
                <w:rFonts w:ascii="Times New Roman" w:hAnsi="Times New Roman" w:eastAsia="黑体"/>
                <w:b/>
                <w:sz w:val="16"/>
              </w:rPr>
              <w:t>中位</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bl>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当日最优配置（首轮扫描）</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分相位实测（第二次，主干常驻档，n=3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before="80" w:after="20"/>
        <w:jc w:val="center"/>
      </w:pPr>
      <w:r>
        <w:drawing>
          <wp:inline xmlns:a="http://schemas.openxmlformats.org/drawingml/2006/main" xmlns:pic="http://schemas.openxmlformats.org/drawingml/2006/picture">
            <wp:extent cx="2880000" cy="1101930"/>
            <wp:docPr id="4" name="Picture 4"/>
            <wp:cNvGraphicFramePr>
              <a:graphicFrameLocks noChangeAspect="1"/>
            </wp:cNvGraphicFramePr>
            <a:graphic>
              <a:graphicData uri="http://schemas.openxmlformats.org/drawingml/2006/picture">
                <pic:pic>
                  <pic:nvPicPr>
                    <pic:cNvPr id="0" name="table4_ratio_grey.png"/>
                    <pic:cNvPicPr/>
                  </pic:nvPicPr>
                  <pic:blipFill>
                    <a:blip r:embed="rId12"/>
                    <a:stretch>
                      <a:fillRect/>
                    </a:stretch>
                  </pic:blipFill>
                  <pic:spPr>
                    <a:xfrm>
                      <a:off x="0" y="0"/>
                      <a:ext cx="2880000" cy="1101930"/>
                    </a:xfrm>
                    <a:prstGeom prst="rect"/>
                  </pic:spPr>
                </pic:pic>
              </a:graphicData>
            </a:graphic>
          </wp:inline>
        </w:drawing>
      </w:r>
    </w:p>
    <w:p>
      <w:pPr>
        <w:spacing w:after="20" w:before="0"/>
        <w:jc w:val="center"/>
      </w:pPr>
      <w:r>
        <w:rPr>
          <w:rFonts w:ascii="Times New Roman" w:hAnsi="Times New Roman" w:eastAsia="宋体"/>
          <w:b w:val="0"/>
          <w:sz w:val="15"/>
        </w:rPr>
        <w:t>图 3　同一配置连续 30 次运行的字节量与输出速度对比</w:t>
      </w:r>
    </w:p>
    <w:p>
      <w:pPr>
        <w:spacing w:after="20" w:before="0"/>
        <w:jc w:val="center"/>
      </w:pPr>
      <w:r>
        <w:rPr>
          <w:rFonts w:ascii="Times New Roman" w:hAnsi="Times New Roman" w:eastAsia="Times New Roman"/>
          <w:b w:val="0"/>
          <w:sz w:val="15"/>
        </w:rPr>
        <w:t>Fig.3　Byte count and output speed over thirty consecutive runs of one configuration</w:t>
      </w:r>
    </w:p>
    <w:p>
      <w:pPr>
        <w:spacing w:after="40" w:line="276" w:lineRule="auto"/>
        <w:ind w:firstLine="360"/>
      </w:pPr>
      <w:r>
        <w:rPr>
          <w:rFonts w:ascii="Times New Roman" w:hAnsi="Times New Roman" w:eastAsia="宋体"/>
          <w:b/>
          <w:sz w:val="18"/>
        </w:rPr>
        <w:t>图 4 的左图说明为什么需要两步读法。</w:t>
      </w:r>
      <w:r>
        <w:rPr>
          <w:rFonts w:ascii="Times New Roman" w:hAnsi="Times New Roman" w:eastAsia="宋体"/>
          <w:b w:val="0"/>
          <w:sz w:val="18"/>
        </w:rPr>
        <w:t xml:space="preserve"> 四个比值里 3.11 与 1.60 都远离 1.00，若直接按"实测高于公式"解读，会得出实现有严重损耗的结论；而右图显示，一旦主干与专家各自按其实际带宽计价，比值即落回 1.00 与 1.06，</w:t>
      </w:r>
      <w:r>
        <w:rPr>
          <w:rFonts w:ascii="Times New Roman" w:hAnsi="Times New Roman" w:eastAsia="宋体"/>
          <w:b/>
          <w:sz w:val="18"/>
        </w:rPr>
        <w:t>两档均在规程第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 xml:space="preserve">差距的方向与存在性不受测量口径影响，幅度则随口径变化：由上述三对配对测得 1.30–1.58 倍。以 buffered 读与错误单元尺寸得到的速率（1007 / 1058 / 1358 / 2926 MB/s）不满足与引擎同口径——其单元大小取 17600000，而引擎实际 </w:t>
      </w:r>
      <w:r>
        <w:rPr>
          <w:rFonts w:ascii="Consolas" w:hAnsi="Consolas"/>
          <w:color w:val="000080"/>
          <w:sz w:val="18"/>
        </w:rPr>
        <w:t>l2.slot_bytes</w:t>
      </w:r>
      <w:r>
        <w:rPr>
          <w:rFonts w:ascii="Times New Roman" w:hAnsi="Times New Roman" w:eastAsia="宋体"/>
          <w:b w:val="0"/>
          <w:sz w:val="18"/>
        </w:rPr>
        <w:t xml:space="preserve"> 为 17547264（引擎启动行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流），说明差距不是设备并发能力不足。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GB/词元），方向与该规律一致。首次逐相位实测（表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