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缓存高命中与词元低输出：字节级验收方法与一条平凡下界</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慢速层读取次数的下界由定义与两条显式假设直接导出，不含隐藏引理；把它讲出来是为了让判据可以被逐行核对，而不是把它当作结果。方法的其余部分与该界是否平凡无关。某系统缓存命中率已满格（CACHE HIT 100%）而端到端吞吐上不去，此处以逐词元字节台账回答此类问题。现象是每词元仍从低速盘全量重读专家权重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。根因是命中率统计的是"介质"、字节台账统计的是"字节"，两者是两本账。由此凝成一条经验规律"慢速层只读一次"：复用落在数据能到达的最快层时，更慢层的最小读取次数为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Byte-Level Acceptance Method over a Trivial Lower Bound</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Ningde 355110, Fujian, China</w:t>
      </w:r>
    </w:p>
    <w:p>
      <w:pPr>
        <w:spacing w:after="60" w:before="0" w:line="240" w:lineRule="auto"/>
      </w:pPr>
      <w:r>
        <w:rPr>
          <w:rFonts w:ascii="Times New Roman" w:hAnsi="Times New Roman" w:eastAsia="Times New Roman"/>
          <w:b w:val="0"/>
          <w:sz w:val="18"/>
        </w:rPr>
        <w:t>with Low Token Output: A Byte-Level Acceptance Method over a Trivial Lower Bound</w:t>
      </w:r>
    </w:p>
    <w:p>
      <w:pPr>
        <w:spacing w:after="60" w:before="0" w:line="240" w:lineRule="auto"/>
      </w:pPr>
      <w:r>
        <w:rPr>
          <w:rFonts w:ascii="Times New Roman" w:hAnsi="Times New Roman" w:eastAsia="Times New Roman"/>
          <w:b w:val="0"/>
          <w:sz w:val="18"/>
        </w:rPr>
        <w:t>TANG Haiyong; China Nuclear Industry Huaxing Construction Co., Ltd., Ningde 355110, Fujian, China</w:t>
      </w:r>
    </w:p>
    <w:p>
      <w:pPr>
        <w:spacing w:after="60" w:before="0" w:line="240" w:lineRule="auto"/>
      </w:pPr>
      <w:r>
        <w:rPr>
          <w:rFonts w:ascii="Times New Roman" w:hAnsi="Times New Roman" w:eastAsia="Times New Roman"/>
          <w:b w:val="0"/>
          <w:sz w:val="18"/>
        </w:rPr>
        <w:t>**Abstract:** The lower bound this paper uses on slow-tier reads follows immediately from the definition and from two explicit assumptions, with no hidden lemma; it is stated so that the criterion built on it can be checked line by line rather than taken as a result, and nothing else in the method depends on that bound being interesting.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本文给出什么</w:t>
      </w:r>
    </w:p>
    <w:p>
      <w:pPr>
        <w:spacing w:after="40" w:line="276" w:lineRule="auto"/>
        <w:ind w:firstLine="360"/>
      </w:pPr>
      <w:r>
        <w:rPr>
          <w:rFonts w:ascii="Times New Roman" w:hAnsi="Times New Roman" w:eastAsia="宋体"/>
          <w:b w:val="0"/>
          <w:sz w:val="18"/>
        </w:rPr>
        <w:t>三件可复用的东西，都以字节为口径，且与模型无关：</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一把标尺</w:t>
      </w:r>
      <w:r>
        <w:rPr>
          <w:rFonts w:ascii="Times New Roman" w:hAnsi="Times New Roman" w:eastAsia="宋体"/>
          <w:b w:val="0"/>
          <w:sz w:val="18"/>
        </w:rPr>
        <w:t>：使“复用是否落位”成为可验收的判断，取代命中率白板。标尺的数学基础是一条下界（§3.1），它很短——由定义与两条显式假设直接导出，不含隐藏引理，写出来是为了让判据能被逐行核对，而不是把它当作结果。</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一份排查次序</w:t>
      </w:r>
      <w:r>
        <w:rPr>
          <w:rFonts w:ascii="Times New Roman" w:hAnsi="Times New Roman" w:eastAsia="宋体"/>
          <w:b w:val="0"/>
          <w:sz w:val="18"/>
        </w:rPr>
        <w:t>（§5.3）：四步，每步标明读哪个计数器、什么算通过。</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一条仪表规程</w:t>
      </w:r>
      <w:r>
        <w:rPr>
          <w:rFonts w:ascii="Times New Roman" w:hAnsi="Times New Roman" w:eastAsia="宋体"/>
          <w:b w:val="0"/>
          <w:sz w:val="18"/>
        </w:rPr>
        <w:t>（§3.2）：凡派生量必须与一个独立的量交叉校验并在报告中同屏打印。判据以计数器为输入，因此这一条是前两条的前提，而不是附属说明。</w:t>
      </w:r>
    </w:p>
    <w:p>
      <w:pPr>
        <w:spacing w:after="40" w:line="276" w:lineRule="auto"/>
        <w:ind w:firstLine="360"/>
      </w:pPr>
      <w:r>
        <w:rPr>
          <w:rFonts w:ascii="Times New Roman" w:hAnsi="Times New Roman" w:eastAsia="宋体"/>
          <w:b w:val="0"/>
          <w:sz w:val="18"/>
        </w:rPr>
        <w:t>速度收益不在其中——本文不提供“照做即可提速若干倍”的做法，也未观测到已达下界的目标档，该档在下文始终标注为未观测项。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标尺的数学基础值得先说清，因为它决定了本文其余部分的分量。设数据项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健康系统的低速层读取次数总和的最小值是“每层刚好只读一次”；任何显著超过该下界的低速层读取，都指向“复用未落在应落的最快层”，而不是算法需要免读。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这条界只依赖两条假设：参与路径上的层构成数据到达最快层的唯一入口（不设旁路）；代价按层序单调，且仅在“读取字节代价、对字节量线性”的口径下讨论。它不回答“如何达到下界”（那交给调度），只回答“下界是多少、达到没有”——而这正是排查的第一个问题。与局部性原理的分工是：局部性讲“该复用”，这条界讲“复用的底线”。</w:t>
      </w:r>
    </w:p>
    <w:p>
      <w:pPr>
        <w:spacing w:after="40" w:line="276" w:lineRule="auto"/>
        <w:ind w:firstLine="360"/>
      </w:pPr>
      <w:r>
        <w:rPr>
          <w:rFonts w:ascii="Times New Roman" w:hAnsi="Times New Roman" w:eastAsia="宋体"/>
          <w:b/>
          <w:sz w:val="18"/>
        </w:rPr>
        <w:t>这条界平凡，而本文的其余部分不依赖它是否平凡。</w:t>
      </w:r>
      <w:r>
        <w:rPr>
          <w:rFonts w:ascii="Times New Roman" w:hAnsi="Times New Roman" w:eastAsia="宋体"/>
          <w:b w:val="0"/>
          <w:sz w:val="18"/>
        </w:rPr>
        <w:t xml:space="preserve"> 它平凡到不需要引用，因此审阅者无法在推导上挑刺；能挑刺、也确实被挑出问题的地方在别处——在计出来的数是否可信（§3.2），以及在字节账与时间账为什么不能混用（第 4.6 节）。</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一套以字节为口径的验收判据及其工程用法（第 5 章）</w:t>
      </w:r>
      <w:r>
        <w:rPr>
          <w:rFonts w:ascii="Times New Roman" w:hAnsi="Times New Roman" w:eastAsia="宋体"/>
          <w:b w:val="0"/>
          <w:sz w:val="18"/>
        </w:rPr>
        <w:t>：以 distinct 集核算每层驻留预算，以“低速层读数回落至下界”作为复用是否落位的验收判据（取代命中率白板），并给出四步排查次序，每步标明读哪个计数器、什么算通过。判据不依赖模型、介质与工作负载。</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一次以字节级台账为主观测的可逐行回查真机审计（第 4 章）</w:t>
      </w:r>
      <w:r>
        <w:rPr>
          <w:rFonts w:ascii="Times New Roman" w:hAnsi="Times New Roman" w:eastAsia="宋体"/>
          <w:b w:val="0"/>
          <w:sz w:val="18"/>
        </w:rPr>
        <w:t>：对存储受限主机上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一条与模型无关的仪表规程及其六个失效实例（§3.2）</w:t>
      </w:r>
      <w:r>
        <w:rPr>
          <w:rFonts w:ascii="Times New Roman" w:hAnsi="Times New Roman" w:eastAsia="宋体"/>
          <w:b w:val="0"/>
          <w:sz w:val="18"/>
        </w:rPr>
        <w:t>：凡派生量必须与一个独立的量交叉校验并在报告中同屏打印。本轮六个曾产生错误结论的计数器字段全部由此发现，且</w:t>
      </w:r>
      <w:r>
        <w:rPr>
          <w:rFonts w:ascii="Times New Roman" w:hAnsi="Times New Roman" w:eastAsia="宋体"/>
          <w:b/>
          <w:sz w:val="18"/>
        </w:rPr>
        <w:t>失效方式彼此无关、共同点是探针出错幅度与真实故障同量级，因而不会自我报警</w:t>
      </w:r>
      <w:r>
        <w:rPr>
          <w:rFonts w:ascii="Times New Roman" w:hAnsi="Times New Roman" w:eastAsia="宋体"/>
          <w:b w:val="0"/>
          <w:sz w:val="18"/>
        </w:rPr>
        <w:t>。该规程是前两项得以成立的前提——判据依赖计数器，而计数器能否被信任只能靠校验，不能靠信任。</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输出速度不作为验收判据，及其理由（第 4.6、§5.2）</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判据的数学基础：一条平凡下界（§3.1）</w:t>
      </w:r>
      <w:r>
        <w:rPr>
          <w:rFonts w:ascii="Times New Roman" w:hAnsi="Times New Roman" w:eastAsia="宋体"/>
          <w:b w:val="0"/>
          <w:sz w:val="18"/>
        </w:rPr>
        <w:t>。设数据项 d 被复用 R 次、复用落在其能到达的最快层，则每一更慢层的最小读取次数为 1，且该下界可达、达到它的调度同时使低速层读取字节代价最小。该界由两条显式假设导出，</w:t>
      </w:r>
      <w:r>
        <w:rPr>
          <w:rFonts w:ascii="Times New Roman" w:hAnsi="Times New Roman" w:eastAsia="宋体"/>
          <w:b/>
          <w:sz w:val="18"/>
        </w:rPr>
        <w:t>平凡到不含隐藏引理，故不足以独立构成贡献</w:t>
      </w:r>
      <w:r>
        <w:rPr>
          <w:rFonts w:ascii="Times New Roman" w:hAnsi="Times New Roman" w:eastAsia="宋体"/>
          <w:b w:val="0"/>
          <w:sz w:val="18"/>
        </w:rPr>
        <w:t>；它的作用是使判据有一个可以被逐行核对的原点。</w:t>
      </w:r>
      <w:r>
        <w:rPr>
          <w:rFonts w:ascii="Times New Roman" w:hAnsi="Times New Roman" w:eastAsia="宋体"/>
          <w:b/>
          <w:sz w:val="18"/>
        </w:rPr>
        <w:t>由第 4.6 节的实测，本文给出该界之外的第二个理由：慢层同时收取字节代价与串行化代价，把数据上移到最快层可同时消除两者。</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判据：下界与可验证性</w:t>
      </w:r>
    </w:p>
    <w:p>
      <w:pPr>
        <w:spacing w:after="40" w:line="276" w:lineRule="auto"/>
        <w:ind w:firstLine="360"/>
      </w:pPr>
      <w:r>
        <w:rPr>
          <w:rFonts w:ascii="Times New Roman" w:hAnsi="Times New Roman" w:eastAsia="宋体"/>
          <w:b w:val="0"/>
          <w:sz w:val="18"/>
        </w:rPr>
        <w:t>判据由两部分组成：一条下界，以及一个能让这条下界被逐行核对的测量规程。下界本身很短，第 4 章的全部结论都挂在它上面；真正需要展开的是后半部分——因为下界是否成立，最终取决于计出来的数是否可信。</w:t>
      </w:r>
    </w:p>
    <w:p>
      <w:pPr>
        <w:spacing w:after="40" w:before="80" w:line="240" w:lineRule="auto"/>
      </w:pPr>
      <w:r>
        <w:rPr>
          <w:rFonts w:ascii="Times New Roman" w:hAnsi="Times New Roman" w:eastAsia="黑体"/>
          <w:b w:val="0"/>
          <w:sz w:val="18"/>
        </w:rPr>
        <w:t>3.1  下界（引理）</w:t>
      </w:r>
    </w:p>
    <w:p>
      <w:pPr>
        <w:spacing w:after="40" w:line="276" w:lineRule="auto"/>
        <w:ind w:firstLine="360"/>
      </w:pPr>
      <w:r>
        <w:rPr>
          <w:rFonts w:ascii="Times New Roman" w:hAnsi="Times New Roman" w:eastAsia="宋体"/>
          <w:b w:val="0"/>
          <w:sz w:val="18"/>
        </w:rPr>
        <w:t xml:space="preserve">设存储层次由 N 层介质构成，按单次字节访问代价单调上升排序：M_1（最慢，代价最高）→ … → M_N（最快，代价最低）。对数据项 d，记其复用总次数 R ≥ 1，R_i 为 d 从 M_i 被读取的次数。原则只对 d </w:t>
      </w:r>
      <w:r>
        <w:rPr>
          <w:rFonts w:ascii="Times New Roman" w:hAnsi="Times New Roman" w:eastAsia="宋体"/>
          <w:b/>
          <w:sz w:val="18"/>
        </w:rPr>
        <w:t>实际穿越</w:t>
      </w:r>
      <w:r>
        <w:rPr>
          <w:rFonts w:ascii="Times New Roman" w:hAnsi="Times New Roman" w:eastAsia="宋体"/>
          <w:b w:val="0"/>
          <w:sz w:val="18"/>
        </w:rPr>
        <w:t>的介质下结论——某介质物理上更快但 d 从不进入，则不计入。</w:t>
      </w:r>
    </w:p>
    <w:p>
      <w:pPr>
        <w:spacing w:after="40" w:line="276" w:lineRule="auto"/>
        <w:ind w:firstLine="360"/>
      </w:pPr>
      <w:r>
        <w:rPr>
          <w:rFonts w:ascii="Times New Roman" w:hAnsi="Times New Roman" w:eastAsia="宋体"/>
          <w:b w:val="0"/>
          <w:sz w:val="18"/>
        </w:rPr>
        <w:t>引理 设 d 被复用 R ≥ 1 次，且复用实际发生在 d 能到达的最快介质 M_k，则对任意 i &lt; k 恒有 R_i ≥ 1，且该下界同时可达：存在读取调度使 R_i = 1 对所有 i &lt; k 成立，其余 R − 1 次全部在 M_k 内完成。</w:t>
      </w:r>
    </w:p>
    <w:p>
      <w:pPr>
        <w:spacing w:after="40" w:line="276" w:lineRule="auto"/>
        <w:ind w:firstLine="360"/>
      </w:pPr>
      <w:r>
        <w:rPr>
          <w:rFonts w:ascii="Times New Roman" w:hAnsi="Times New Roman" w:eastAsia="宋体"/>
          <w:b w:val="0"/>
          <w:sz w:val="18"/>
        </w:rPr>
        <w:t>证明依赖两条显式假设：</w:t>
      </w:r>
      <w:r>
        <w:rPr>
          <w:rFonts w:ascii="Times New Roman" w:hAnsi="Times New Roman" w:eastAsia="宋体"/>
          <w:b/>
          <w:sz w:val="18"/>
        </w:rPr>
        <w:t>P1（入口唯一）</w:t>
      </w:r>
      <w:r>
        <w:rPr>
          <w:rFonts w:ascii="Times New Roman" w:hAnsi="Times New Roman" w:eastAsia="宋体"/>
          <w:b w:val="0"/>
          <w:sz w:val="18"/>
        </w:rPr>
        <w:t>——路径上每层是数据进入更高层的唯一通道，旁路、直接 DMA、多副本并存不属此模型；</w:t>
      </w:r>
      <w:r>
        <w:rPr>
          <w:rFonts w:ascii="Times New Roman" w:hAnsi="Times New Roman" w:eastAsia="宋体"/>
          <w:b/>
          <w:sz w:val="18"/>
        </w:rPr>
        <w:t>P2（代价口径）</w:t>
      </w:r>
      <w:r>
        <w:rPr>
          <w:rFonts w:ascii="Times New Roman" w:hAnsi="Times New Roman" w:eastAsia="宋体"/>
          <w:b w:val="0"/>
          <w:sz w:val="18"/>
        </w:rPr>
        <w:t>——访问代价按层序单调递减，且“代价”仅指读取字节代价、对字节量线性，写、逐出与争用不计入。</w:t>
      </w:r>
    </w:p>
    <w:p>
      <w:pPr>
        <w:spacing w:after="40" w:line="276" w:lineRule="auto"/>
        <w:ind w:firstLine="360"/>
      </w:pPr>
      <w:r>
        <w:rPr>
          <w:rFonts w:ascii="Times New Roman" w:hAnsi="Times New Roman" w:eastAsia="宋体"/>
          <w:b w:val="0"/>
          <w:sz w:val="18"/>
        </w:rPr>
        <w:t>由参与路径的定义，d 实际进入过路径上每层；由 P1，凡到达 M_k 的 d 必先经 M_i 读入。两者合起来即 R_i ≥ 1，对每个路径层独立成立，不依赖容量与工作量假设。在 P2 下总代价为 Σ = c_k·(R−1) + Σ_{i&lt;k} c_i·R_i，复用在 M_k 使首项固定，尾项在 R_i ≥ 1、c_i &gt; 0 的约束下于 R_i = 1 处取严格最小值；可达性由 P1 的逐层构造给出。□</w:t>
      </w:r>
    </w:p>
    <w:p>
      <w:pPr>
        <w:spacing w:after="40" w:line="276" w:lineRule="auto"/>
        <w:ind w:firstLine="360"/>
      </w:pPr>
      <w:r>
        <w:rPr>
          <w:rFonts w:ascii="Times New Roman" w:hAnsi="Times New Roman" w:eastAsia="宋体"/>
          <w:b w:val="0"/>
          <w:sz w:val="18"/>
        </w:rPr>
        <w:t>由引理直接得到两条推论。</w:t>
      </w:r>
      <w:r>
        <w:rPr>
          <w:rFonts w:ascii="Times New Roman" w:hAnsi="Times New Roman" w:eastAsia="宋体"/>
          <w:b/>
          <w:sz w:val="18"/>
        </w:rPr>
        <w:t>推论 1（代价最优）</w:t>
      </w:r>
      <w:r>
        <w:rPr>
          <w:rFonts w:ascii="Times New Roman" w:hAnsi="Times New Roman" w:eastAsia="宋体"/>
          <w:b w:val="0"/>
          <w:sz w:val="18"/>
        </w:rPr>
        <w:t>：达到下界的调度同时是低速层读取字节代价最小的调度。</w:t>
      </w:r>
      <w:r>
        <w:rPr>
          <w:rFonts w:ascii="Times New Roman" w:hAnsi="Times New Roman" w:eastAsia="宋体"/>
          <w:b/>
          <w:sz w:val="18"/>
        </w:rPr>
        <w:t>推论 2（违纪指征）</w:t>
      </w:r>
      <w:r>
        <w:rPr>
          <w:rFonts w:ascii="Times New Roman" w:hAnsi="Times New Roman" w:eastAsia="宋体"/>
          <w:b w:val="0"/>
          <w:sz w:val="18"/>
        </w:rPr>
        <w:t>：若实测某低速层读取次数显著大于 1，则“复用实际发生在最快层”的判定不成立，问题在资源配置而非算法需要免读。</w:t>
      </w:r>
    </w:p>
    <w:p>
      <w:pPr>
        <w:spacing w:after="40" w:line="276" w:lineRule="auto"/>
        <w:ind w:firstLine="360"/>
      </w:pPr>
      <w:r>
        <w:rPr>
          <w:rFonts w:ascii="Times New Roman" w:hAnsi="Times New Roman" w:eastAsia="宋体"/>
          <w:b/>
          <w:sz w:val="18"/>
        </w:rPr>
        <w:t>边界</w:t>
      </w:r>
      <w:r>
        <w:rPr>
          <w:rFonts w:ascii="Times New Roman" w:hAnsi="Times New Roman" w:eastAsia="宋体"/>
          <w:b w:val="0"/>
          <w:sz w:val="18"/>
        </w:rPr>
        <w:t>：容量不足不构成违反——活集超出 M_k 时属“不在场”，原则不适用而非被违反。原则回答“下界是多少、有没有达到”，不回答“如何达到”。P1 只覆盖逐层入口的实现，故推论 2 在本模型内是定理，模型之外退化为经验准则，其实力由第 4 章实证支撑。判据不依赖系统类型，适用于通用分层存储，第 4 章的 MoE 场景是其中一个验证实例。</w:t>
      </w:r>
    </w:p>
    <w:p>
      <w:pPr>
        <w:spacing w:after="40" w:before="80" w:line="240" w:lineRule="auto"/>
      </w:pPr>
      <w:r>
        <w:rPr>
          <w:rFonts w:ascii="Times New Roman" w:hAnsi="Times New Roman" w:eastAsia="黑体"/>
          <w:b w:val="0"/>
          <w:sz w:val="18"/>
        </w:rPr>
        <w:t>3.2  判据的可验证性：交叉校验规程</w:t>
      </w:r>
    </w:p>
    <w:p>
      <w:pPr>
        <w:spacing w:after="40" w:line="276" w:lineRule="auto"/>
        <w:ind w:firstLine="360"/>
      </w:pPr>
      <w:r>
        <w:rPr>
          <w:rFonts w:ascii="Times New Roman" w:hAnsi="Times New Roman" w:eastAsia="宋体"/>
          <w:b w:val="0"/>
          <w:sz w:val="18"/>
        </w:rPr>
        <w:t>上述推论与第 4 章的判据全部依赖字节计数器，而计数器会骗人。本轮实测中有六个计数器字段曾产生错误结论。它们的失效方式彼此无关，但</w:t>
      </w:r>
      <w:r>
        <w:rPr>
          <w:rFonts w:ascii="Times New Roman" w:hAnsi="Times New Roman" w:eastAsia="宋体"/>
          <w:b/>
          <w:sz w:val="18"/>
        </w:rPr>
        <w:t>有一个共同点：探针出错的幅度与真实故障的幅度同量级，因此探针不会自我报警</w:t>
      </w:r>
      <w:r>
        <w:rPr>
          <w:rFonts w:ascii="Times New Roman" w:hAnsi="Times New Roman" w:eastAsia="宋体"/>
          <w:b w:val="0"/>
          <w:sz w:val="18"/>
        </w:rPr>
        <w:t>。</w:t>
      </w:r>
    </w:p>
    <w:tbl>
      <w:tblPr>
        <w:tblStyle w:val="TableGrid"/>
        <w:tblW w:type="auto" w:w="0"/>
        <w:tblLook w:firstColumn="1" w:firstRow="1" w:lastColumn="0" w:lastRow="0" w:noHBand="0" w:noVBand="1" w:val="04A0"/>
        <w:tblLayout w:type="fixed"/>
      </w:tblPr>
      <w:tblGrid>
        <w:gridCol w:w="1150"/>
        <w:gridCol w:w="1242"/>
        <w:gridCol w:w="1242"/>
        <w:gridCol w:w="1242"/>
      </w:tblGrid>
      <w:tr>
        <w:tc>
          <w:tcPr>
            <w:tcW w:type="dxa" w:w="1150"/>
          </w:tcPr>
          <w:p>
            <w:pPr>
              <w:spacing w:after="0" w:before="0" w:line="240" w:lineRule="auto"/>
            </w:pPr>
            <w:r/>
            <w:r>
              <w:rPr>
                <w:rFonts w:ascii="Times New Roman" w:hAnsi="Times New Roman" w:eastAsia="黑体"/>
                <w:b/>
                <w:sz w:val="16"/>
              </w:rPr>
              <w:t>字段</w:t>
            </w:r>
          </w:p>
        </w:tc>
        <w:tc>
          <w:tcPr>
            <w:tcW w:type="dxa" w:w="1242"/>
          </w:tcPr>
          <w:p>
            <w:pPr>
              <w:spacing w:after="0" w:before="0" w:line="240" w:lineRule="auto"/>
            </w:pPr>
            <w:r/>
            <w:r>
              <w:rPr>
                <w:rFonts w:ascii="Times New Roman" w:hAnsi="Times New Roman" w:eastAsia="黑体"/>
                <w:b/>
                <w:sz w:val="16"/>
              </w:rPr>
              <w:t>它报出来的</w:t>
            </w:r>
          </w:p>
        </w:tc>
        <w:tc>
          <w:tcPr>
            <w:tcW w:type="dxa" w:w="1242"/>
          </w:tcPr>
          <w:p>
            <w:pPr>
              <w:spacing w:after="0" w:before="0" w:line="240" w:lineRule="auto"/>
            </w:pPr>
            <w:r/>
            <w:r>
              <w:rPr>
                <w:rFonts w:ascii="Times New Roman" w:hAnsi="Times New Roman" w:eastAsia="黑体"/>
                <w:b/>
                <w:sz w:val="16"/>
              </w:rPr>
              <w:t>独立量报的</w:t>
            </w:r>
          </w:p>
        </w:tc>
        <w:tc>
          <w:tcPr>
            <w:tcW w:type="dxa" w:w="1242"/>
          </w:tcPr>
          <w:p>
            <w:pPr>
              <w:spacing w:after="0" w:before="0" w:line="240" w:lineRule="auto"/>
            </w:pPr>
            <w:r/>
            <w:r>
              <w:rPr>
                <w:rFonts w:ascii="Times New Roman" w:hAnsi="Times New Roman" w:eastAsia="黑体"/>
                <w:b/>
                <w:sz w:val="16"/>
              </w:rPr>
              <w:t>差</w:t>
            </w:r>
          </w:p>
        </w:tc>
      </w:tr>
      <w:tr>
        <w:tc>
          <w:tcPr>
            <w:tcW w:type="dxa" w:w="1150"/>
          </w:tcPr>
          <w:p>
            <w:pPr>
              <w:spacing w:after="0" w:before="0" w:line="240" w:lineRule="auto"/>
            </w:pPr>
            <w:r/>
            <w:r>
              <w:rPr>
                <w:rFonts w:ascii="Times New Roman" w:hAnsi="Times New Roman" w:eastAsia="宋体"/>
                <w:b w:val="0"/>
                <w:sz w:val="15"/>
              </w:rPr>
              <w:t>`stat_*` 系列</w:t>
            </w:r>
          </w:p>
        </w:tc>
        <w:tc>
          <w:tcPr>
            <w:tcW w:type="dxa" w:w="1242"/>
          </w:tcPr>
          <w:p>
            <w:pPr>
              <w:spacing w:after="0" w:before="0" w:line="240" w:lineRule="auto"/>
            </w:pPr>
            <w:r/>
            <w:r>
              <w:rPr>
                <w:rFonts w:ascii="Times New Roman" w:hAnsi="Times New Roman" w:eastAsia="宋体"/>
                <w:b w:val="0"/>
                <w:sz w:val="15"/>
              </w:rPr>
              <w:t>纳秒累加</w:t>
            </w:r>
          </w:p>
        </w:tc>
        <w:tc>
          <w:tcPr>
            <w:tcW w:type="dxa" w:w="1242"/>
          </w:tcPr>
          <w:p>
            <w:pPr>
              <w:spacing w:after="0" w:before="0" w:line="240" w:lineRule="auto"/>
            </w:pPr>
            <w:r/>
            <w:r>
              <w:rPr>
                <w:rFonts w:ascii="Times New Roman" w:hAnsi="Times New Roman" w:eastAsia="宋体"/>
                <w:b w:val="0"/>
                <w:sz w:val="15"/>
              </w:rPr>
              <w:t>与 worker 墙钟不守恒</w:t>
            </w:r>
          </w:p>
        </w:tc>
        <w:tc>
          <w:tcPr>
            <w:tcW w:type="dxa" w:w="1242"/>
          </w:tcPr>
          <w:p>
            <w:pPr>
              <w:spacing w:after="0" w:before="0" w:line="240" w:lineRule="auto"/>
            </w:pPr>
            <w:r/>
            <w:r>
              <w:rPr>
                <w:rFonts w:ascii="Times New Roman" w:hAnsi="Times New Roman" w:eastAsia="宋体"/>
                <w:b w:val="0"/>
                <w:sz w:val="15"/>
              </w:rPr>
              <w:t>数据竞争</w:t>
            </w:r>
          </w:p>
        </w:tc>
      </w:tr>
      <w:tr>
        <w:tc>
          <w:tcPr>
            <w:tcW w:type="dxa" w:w="1150"/>
          </w:tcPr>
          <w:p>
            <w:pPr>
              <w:spacing w:after="0" w:before="0" w:line="240" w:lineRule="auto"/>
            </w:pPr>
            <w:r/>
            <w:r>
              <w:rPr>
                <w:rFonts w:ascii="Times New Roman" w:hAnsi="Times New Roman" w:eastAsia="宋体"/>
                <w:b w:val="0"/>
                <w:sz w:val="15"/>
              </w:rPr>
              <w:t>`stat_idle_s`</w:t>
            </w:r>
          </w:p>
        </w:tc>
        <w:tc>
          <w:tcPr>
            <w:tcW w:type="dxa" w:w="1242"/>
          </w:tcPr>
          <w:p>
            <w:pPr>
              <w:spacing w:after="0" w:before="0" w:line="240" w:lineRule="auto"/>
            </w:pPr>
            <w:r/>
            <w:r>
              <w:rPr>
                <w:rFonts w:ascii="Times New Roman" w:hAnsi="Times New Roman" w:eastAsia="宋体"/>
                <w:b w:val="0"/>
                <w:sz w:val="15"/>
              </w:rPr>
              <w:t>只记“决定睡”的瞬间</w:t>
            </w:r>
          </w:p>
        </w:tc>
        <w:tc>
          <w:tcPr>
            <w:tcW w:type="dxa" w:w="1242"/>
          </w:tcPr>
          <w:p>
            <w:pPr>
              <w:spacing w:after="0" w:before="0" w:line="240" w:lineRule="auto"/>
            </w:pPr>
            <w:r/>
            <w:r>
              <w:rPr>
                <w:rFonts w:ascii="Times New Roman" w:hAnsi="Times New Roman" w:eastAsia="宋体"/>
                <w:b w:val="0"/>
                <w:sz w:val="15"/>
              </w:rPr>
              <w:t>worker 时间不守恒</w:t>
            </w:r>
          </w:p>
        </w:tc>
        <w:tc>
          <w:tcPr>
            <w:tcW w:type="dxa" w:w="1242"/>
          </w:tcPr>
          <w:p>
            <w:pPr>
              <w:spacing w:after="0" w:before="0" w:line="240" w:lineRule="auto"/>
            </w:pPr>
            <w:r/>
            <w:r>
              <w:rPr>
                <w:rFonts w:ascii="Times New Roman" w:hAnsi="Times New Roman" w:eastAsia="宋体"/>
                <w:b w:val="0"/>
                <w:sz w:val="15"/>
              </w:rPr>
              <w:t>语义不是时长</w:t>
            </w:r>
          </w:p>
        </w:tc>
      </w:tr>
      <w:tr>
        <w:tc>
          <w:tcPr>
            <w:tcW w:type="dxa" w:w="1150"/>
          </w:tcPr>
          <w:p>
            <w:pPr>
              <w:spacing w:after="0" w:before="0" w:line="240" w:lineRule="auto"/>
            </w:pPr>
            <w:r/>
            <w:r>
              <w:rPr>
                <w:rFonts w:ascii="Times New Roman" w:hAnsi="Times New Roman" w:eastAsia="宋体"/>
                <w:b w:val="0"/>
                <w:sz w:val="15"/>
              </w:rPr>
              <w:t>已交付字节</w:t>
            </w:r>
          </w:p>
        </w:tc>
        <w:tc>
          <w:tcPr>
            <w:tcW w:type="dxa" w:w="1242"/>
          </w:tcPr>
          <w:p>
            <w:pPr>
              <w:spacing w:after="0" w:before="0" w:line="240" w:lineRule="auto"/>
            </w:pPr>
            <w:r/>
            <w:r>
              <w:rPr>
                <w:rFonts w:ascii="Times New Roman" w:hAnsi="Times New Roman" w:eastAsia="宋体"/>
                <w:b w:val="0"/>
                <w:sz w:val="15"/>
              </w:rPr>
              <w:t>含失败与短读</w:t>
            </w:r>
          </w:p>
        </w:tc>
        <w:tc>
          <w:tcPr>
            <w:tcW w:type="dxa" w:w="1242"/>
          </w:tcPr>
          <w:p>
            <w:pPr>
              <w:spacing w:after="0" w:before="0" w:line="240" w:lineRule="auto"/>
            </w:pPr>
            <w:r/>
            <w:r>
              <w:rPr>
                <w:rFonts w:ascii="Times New Roman" w:hAnsi="Times New Roman" w:eastAsia="宋体"/>
                <w:b w:val="0"/>
                <w:sz w:val="15"/>
              </w:rPr>
              <w:t>与理论载入量不符</w:t>
            </w:r>
          </w:p>
        </w:tc>
        <w:tc>
          <w:tcPr>
            <w:tcW w:type="dxa" w:w="1242"/>
          </w:tcPr>
          <w:p>
            <w:pPr>
              <w:spacing w:after="0" w:before="0" w:line="240" w:lineRule="auto"/>
            </w:pPr>
            <w:r/>
            <w:r>
              <w:rPr>
                <w:rFonts w:ascii="Times New Roman" w:hAnsi="Times New Roman" w:eastAsia="宋体"/>
                <w:b w:val="0"/>
                <w:sz w:val="15"/>
              </w:rPr>
              <w:t>失败被计入</w:t>
            </w:r>
          </w:p>
        </w:tc>
      </w:tr>
      <w:tr>
        <w:tc>
          <w:tcPr>
            <w:tcW w:type="dxa" w:w="1150"/>
          </w:tcPr>
          <w:p>
            <w:pPr>
              <w:spacing w:after="0" w:before="0" w:line="240" w:lineRule="auto"/>
            </w:pPr>
            <w:r/>
            <w:r>
              <w:rPr>
                <w:rFonts w:ascii="Times New Roman" w:hAnsi="Times New Roman" w:eastAsia="宋体"/>
                <w:b w:val="0"/>
                <w:sz w:val="15"/>
              </w:rPr>
              <w:t>`device XXX MB/s`</w:t>
            </w:r>
          </w:p>
        </w:tc>
        <w:tc>
          <w:tcPr>
            <w:tcW w:type="dxa" w:w="1242"/>
          </w:tcPr>
          <w:p>
            <w:pPr>
              <w:spacing w:after="0" w:before="0" w:line="240" w:lineRule="auto"/>
            </w:pPr>
            <w:r/>
            <w:r>
              <w:rPr>
                <w:rFonts w:ascii="Times New Roman" w:hAnsi="Times New Roman" w:eastAsia="宋体"/>
                <w:b w:val="0"/>
                <w:sz w:val="15"/>
              </w:rPr>
              <w:t>每流速率</w:t>
            </w:r>
          </w:p>
        </w:tc>
        <w:tc>
          <w:tcPr>
            <w:tcW w:type="dxa" w:w="1242"/>
          </w:tcPr>
          <w:p>
            <w:pPr>
              <w:spacing w:after="0" w:before="0" w:line="240" w:lineRule="auto"/>
            </w:pPr>
            <w:r/>
            <w:r>
              <w:rPr>
                <w:rFonts w:ascii="Times New Roman" w:hAnsi="Times New Roman" w:eastAsia="宋体"/>
                <w:b w:val="0"/>
                <w:sz w:val="15"/>
              </w:rPr>
              <w:t>低于单流值</w:t>
            </w:r>
          </w:p>
        </w:tc>
        <w:tc>
          <w:tcPr>
            <w:tcW w:type="dxa" w:w="1242"/>
          </w:tcPr>
          <w:p>
            <w:pPr>
              <w:spacing w:after="0" w:before="0" w:line="240" w:lineRule="auto"/>
            </w:pPr>
            <w:r/>
            <w:r>
              <w:rPr>
                <w:rFonts w:ascii="Times New Roman" w:hAnsi="Times New Roman" w:eastAsia="宋体"/>
                <w:b w:val="0"/>
                <w:sz w:val="15"/>
              </w:rPr>
              <w:t>冒充设备上限</w:t>
            </w:r>
          </w:p>
        </w:tc>
      </w:tr>
      <w:tr>
        <w:tc>
          <w:tcPr>
            <w:tcW w:type="dxa" w:w="1150"/>
          </w:tcPr>
          <w:p>
            <w:pPr>
              <w:spacing w:after="0" w:before="0" w:line="240" w:lineRule="auto"/>
            </w:pPr>
            <w:r/>
            <w:r>
              <w:rPr>
                <w:rFonts w:ascii="Times New Roman" w:hAnsi="Times New Roman" w:eastAsia="宋体"/>
                <w:b w:val="0"/>
                <w:sz w:val="15"/>
              </w:rPr>
              <w:t>tier 级合计</w:t>
            </w:r>
          </w:p>
        </w:tc>
        <w:tc>
          <w:tcPr>
            <w:tcW w:type="dxa" w:w="1242"/>
          </w:tcPr>
          <w:p>
            <w:pPr>
              <w:spacing w:after="0" w:before="0" w:line="240" w:lineRule="auto"/>
            </w:pPr>
            <w:r/>
            <w:r>
              <w:rPr>
                <w:rFonts w:ascii="Times New Roman" w:hAnsi="Times New Roman" w:eastAsia="宋体"/>
                <w:b w:val="0"/>
                <w:sz w:val="15"/>
              </w:rPr>
              <w:t>单值</w:t>
            </w:r>
          </w:p>
        </w:tc>
        <w:tc>
          <w:tcPr>
            <w:tcW w:type="dxa" w:w="1242"/>
          </w:tcPr>
          <w:p>
            <w:pPr>
              <w:spacing w:after="0" w:before="0" w:line="240" w:lineRule="auto"/>
            </w:pPr>
            <w:r/>
            <w:r>
              <w:rPr>
                <w:rFonts w:ascii="Times New Roman" w:hAnsi="Times New Roman" w:eastAsia="宋体"/>
                <w:b w:val="0"/>
                <w:sz w:val="15"/>
              </w:rPr>
              <w:t>分组后差 20 倍</w:t>
            </w:r>
          </w:p>
        </w:tc>
        <w:tc>
          <w:tcPr>
            <w:tcW w:type="dxa" w:w="1242"/>
          </w:tcPr>
          <w:p>
            <w:pPr>
              <w:spacing w:after="0" w:before="0" w:line="240" w:lineRule="auto"/>
            </w:pPr>
            <w:r/>
            <w:r>
              <w:rPr>
                <w:rFonts w:ascii="Times New Roman" w:hAnsi="Times New Roman" w:eastAsia="宋体"/>
                <w:b w:val="0"/>
                <w:sz w:val="15"/>
              </w:rPr>
              <w:t>混合了两种形态</w:t>
            </w:r>
          </w:p>
        </w:tc>
      </w:tr>
      <w:tr>
        <w:tc>
          <w:tcPr>
            <w:tcW w:type="dxa" w:w="1150"/>
          </w:tcPr>
          <w:p>
            <w:pPr>
              <w:spacing w:after="0" w:before="0" w:line="240" w:lineRule="auto"/>
            </w:pPr>
            <w:r/>
            <w:r>
              <w:rPr>
                <w:rFonts w:ascii="Times New Roman" w:hAnsi="Times New Roman" w:eastAsia="宋体"/>
                <w:b w:val="0"/>
                <w:sz w:val="15"/>
              </w:rPr>
              <w:t>`hit_wall`</w:t>
            </w:r>
          </w:p>
        </w:tc>
        <w:tc>
          <w:tcPr>
            <w:tcW w:type="dxa" w:w="1242"/>
          </w:tcPr>
          <w:p>
            <w:pPr>
              <w:spacing w:after="0" w:before="0" w:line="240" w:lineRule="auto"/>
            </w:pPr>
            <w:r/>
            <w:r>
              <w:rPr>
                <w:rFonts w:ascii="Times New Roman" w:hAnsi="Times New Roman" w:eastAsia="宋体"/>
                <w:b w:val="0"/>
                <w:sz w:val="15"/>
              </w:rPr>
              <w:t>0.00 s</w:t>
            </w:r>
          </w:p>
        </w:tc>
        <w:tc>
          <w:tcPr>
            <w:tcW w:type="dxa" w:w="1242"/>
          </w:tcPr>
          <w:p>
            <w:pPr>
              <w:spacing w:after="0" w:before="0" w:line="240" w:lineRule="auto"/>
            </w:pPr>
            <w:r/>
            <w:r>
              <w:rPr>
                <w:rFonts w:ascii="Times New Roman" w:hAnsi="Times New Roman" w:eastAsia="宋体"/>
                <w:b w:val="0"/>
                <w:sz w:val="15"/>
              </w:rPr>
              <w:t>`pread` 1742.60 s</w:t>
            </w:r>
          </w:p>
        </w:tc>
        <w:tc>
          <w:tcPr>
            <w:tcW w:type="dxa" w:w="1242"/>
          </w:tcPr>
          <w:p>
            <w:pPr>
              <w:spacing w:after="0" w:before="0" w:line="240" w:lineRule="auto"/>
            </w:pPr>
            <w:r/>
            <w:r>
              <w:rPr>
                <w:rFonts w:ascii="Times New Roman" w:hAnsi="Times New Roman" w:eastAsia="宋体"/>
                <w:b w:val="0"/>
                <w:sz w:val="15"/>
              </w:rPr>
              <w:t>两个语义不同的量相减</w:t>
            </w:r>
          </w:p>
        </w:tc>
      </w:tr>
    </w:tbl>
    <w:p>
      <w:pPr>
        <w:spacing w:after="40" w:line="276" w:lineRule="auto"/>
        <w:ind w:firstLine="360"/>
      </w:pPr>
      <w:r>
        <w:rPr>
          <w:rFonts w:ascii="Times New Roman" w:hAnsi="Times New Roman" w:eastAsia="宋体"/>
          <w:b/>
          <w:sz w:val="18"/>
        </w:rPr>
        <w:t>六个当中没有一个自己暴露。</w:t>
      </w:r>
      <w:r>
        <w:rPr>
          <w:rFonts w:ascii="Times New Roman" w:hAnsi="Times New Roman" w:eastAsia="宋体"/>
          <w:b w:val="0"/>
          <w:sz w:val="18"/>
        </w:rPr>
        <w:t xml:space="preserve"> 每一个都是与另一个</w:t>
      </w:r>
      <w:r>
        <w:rPr>
          <w:rFonts w:ascii="Times New Roman" w:hAnsi="Times New Roman" w:eastAsia="宋体"/>
          <w:b/>
          <w:sz w:val="18"/>
        </w:rPr>
        <w:t>独立来源</w:t>
      </w:r>
      <w:r>
        <w:rPr>
          <w:rFonts w:ascii="Times New Roman" w:hAnsi="Times New Roman" w:eastAsia="宋体"/>
          <w:b w:val="0"/>
          <w:sz w:val="18"/>
        </w:rPr>
        <w:t>的量对账才显形的。</w:t>
      </w:r>
    </w:p>
    <w:p>
      <w:pPr>
        <w:spacing w:after="40" w:line="276" w:lineRule="auto"/>
        <w:ind w:firstLine="360"/>
      </w:pPr>
      <w:r>
        <w:rPr>
          <w:rFonts w:ascii="Consolas" w:hAnsi="Consolas"/>
          <w:color w:val="000080"/>
          <w:sz w:val="18"/>
        </w:rPr>
        <w:t>hit_wall</w:t>
      </w:r>
      <w:r>
        <w:rPr>
          <w:rFonts w:ascii="Times New Roman" w:hAnsi="Times New Roman" w:eastAsia="宋体"/>
          <w:b w:val="0"/>
          <w:sz w:val="18"/>
        </w:rPr>
        <w:t xml:space="preserve"> 最值得单说，因为它最难靠“小心一点”避免。原实现想回答“这批读里多少时间花在命中、多少花在未命中”，做法是在批次入口对 </w:t>
      </w:r>
      <w:r>
        <w:rPr>
          <w:rFonts w:ascii="Consolas" w:hAnsi="Consolas"/>
          <w:color w:val="000080"/>
          <w:sz w:val="18"/>
        </w:rPr>
        <w:t>hit_seconds</w:t>
      </w:r>
      <w:r>
        <w:rPr>
          <w:rFonts w:ascii="Times New Roman" w:hAnsi="Times New Roman" w:eastAsia="宋体"/>
          <w:b w:val="0"/>
          <w:sz w:val="18"/>
        </w:rPr>
        <w:t xml:space="preserve"> / </w:t>
      </w:r>
      <w:r>
        <w:rPr>
          <w:rFonts w:ascii="Consolas" w:hAnsi="Consolas"/>
          <w:color w:val="000080"/>
          <w:sz w:val="18"/>
        </w:rPr>
        <w:t>miss_seconds</w:t>
      </w:r>
      <w:r>
        <w:rPr>
          <w:rFonts w:ascii="Times New Roman" w:hAnsi="Times New Roman" w:eastAsia="宋体"/>
          <w:b w:val="0"/>
          <w:sz w:val="18"/>
        </w:rPr>
        <w:t xml:space="preserve"> 取快照，再把批次墙钟按快照差的比例分摊。但这两个字段是 16 个线程各自累加自己 </w:t>
      </w:r>
      <w:r>
        <w:rPr>
          <w:rFonts w:ascii="Consolas" w:hAnsi="Consolas"/>
          <w:color w:val="000080"/>
          <w:sz w:val="18"/>
        </w:rPr>
        <w:t>pread</w:t>
      </w:r>
      <w:r>
        <w:rPr>
          <w:rFonts w:ascii="Times New Roman" w:hAnsi="Times New Roman" w:eastAsia="宋体"/>
          <w:b w:val="0"/>
          <w:sz w:val="18"/>
        </w:rPr>
        <w:t xml:space="preserve"> 耗时的</w:t>
      </w:r>
      <w:r>
        <w:rPr>
          <w:rFonts w:ascii="Times New Roman" w:hAnsi="Times New Roman" w:eastAsia="宋体"/>
          <w:b/>
          <w:sz w:val="18"/>
        </w:rPr>
        <w:t>线程累计量</w:t>
      </w:r>
      <w:r>
        <w:rPr>
          <w:rFonts w:ascii="Times New Roman" w:hAnsi="Times New Roman" w:eastAsia="宋体"/>
          <w:b w:val="0"/>
          <w:sz w:val="18"/>
        </w:rPr>
        <w:t>，而快照差把窗口期内另外 15 个线程完成的读也算了进去。</w:t>
      </w:r>
      <w:r>
        <w:rPr>
          <w:rFonts w:ascii="Times New Roman" w:hAnsi="Times New Roman" w:eastAsia="宋体"/>
          <w:b/>
          <w:sz w:val="18"/>
        </w:rPr>
        <w:t>分子与分母描述的不是同一批读，和因此塌成 0。</w:t>
      </w:r>
      <w:r>
        <w:rPr>
          <w:rFonts w:ascii="Times New Roman" w:hAnsi="Times New Roman" w:eastAsia="宋体"/>
          <w:b w:val="0"/>
          <w:sz w:val="18"/>
        </w:rPr>
        <w:t xml:space="preserve"> 修复方式不是加锁，是把记账下沉到判定发生的地点：</w:t>
      </w:r>
      <w:r>
        <w:rPr>
          <w:rFonts w:ascii="Consolas" w:hAnsi="Consolas"/>
          <w:color w:val="000080"/>
          <w:sz w:val="18"/>
        </w:rPr>
        <w:t>k3_l2_get</w:t>
      </w:r>
      <w:r>
        <w:rPr>
          <w:rFonts w:ascii="Times New Roman" w:hAnsi="Times New Roman" w:eastAsia="宋体"/>
          <w:b w:val="0"/>
          <w:sz w:val="18"/>
        </w:rPr>
        <w:t xml:space="preserve"> 在命中分支与未命中分支各自累加自己那一段的耗时，不再需要任何跨线程差分。修复后实测 </w:t>
      </w:r>
      <w:r>
        <w:rPr>
          <w:rFonts w:ascii="Consolas" w:hAnsi="Consolas"/>
          <w:color w:val="000080"/>
          <w:sz w:val="18"/>
        </w:rPr>
        <w:t>hit_wall</w:t>
      </w:r>
      <w:r>
        <w:rPr>
          <w:rFonts w:ascii="Times New Roman" w:hAnsi="Times New Roman" w:eastAsia="宋体"/>
          <w:b w:val="0"/>
          <w:sz w:val="18"/>
        </w:rPr>
        <w:t xml:space="preserve"> 与 </w:t>
      </w:r>
      <w:r>
        <w:rPr>
          <w:rFonts w:ascii="Consolas" w:hAnsi="Consolas"/>
          <w:color w:val="000080"/>
          <w:sz w:val="18"/>
        </w:rPr>
        <w:t>pread</w:t>
      </w:r>
      <w:r>
        <w:rPr>
          <w:rFonts w:ascii="Times New Roman" w:hAnsi="Times New Roman" w:eastAsia="宋体"/>
          <w:b w:val="0"/>
          <w:sz w:val="18"/>
        </w:rPr>
        <w:t xml:space="preserve"> 的比值为 1.0000，因为两者此后记的是同一批读的同一段耗时。</w:t>
      </w:r>
    </w:p>
    <w:p>
      <w:pPr>
        <w:spacing w:after="40" w:line="276" w:lineRule="auto"/>
        <w:ind w:firstLine="360"/>
      </w:pPr>
      <w:r>
        <w:rPr>
          <w:rFonts w:ascii="Times New Roman" w:hAnsi="Times New Roman" w:eastAsia="宋体"/>
          <w:b w:val="0"/>
          <w:sz w:val="18"/>
        </w:rPr>
        <w:t>由此得到一条与模型无关的规程，它是判据成立的前提：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凡派生量，必须指定一个与之独立的量做交叉校验，并在报告中同屏打印。</w:t>
      </w:r>
    </w:p>
    <w:tbl>
      <w:tblPr>
        <w:tblStyle w:val="TableGrid"/>
        <w:tblW w:type="auto" w:w="0"/>
        <w:tblLook w:firstColumn="1" w:firstRow="1" w:lastColumn="0" w:lastRow="0" w:noHBand="0" w:noVBand="1" w:val="04A0"/>
        <w:tblLayout w:type="fixed"/>
      </w:tblPr>
      <w:tblGrid>
        <w:gridCol w:w="1341"/>
        <w:gridCol w:w="3535"/>
      </w:tblGrid>
      <w:tr>
        <w:tc>
          <w:tcPr>
            <w:tcW w:type="dxa" w:w="1341"/>
          </w:tcPr>
          <w:p>
            <w:pPr>
              <w:spacing w:after="0" w:before="0" w:line="240" w:lineRule="auto"/>
            </w:pPr>
            <w:r/>
            <w:r>
              <w:rPr>
                <w:rFonts w:ascii="Times New Roman" w:hAnsi="Times New Roman" w:eastAsia="黑体"/>
                <w:b/>
                <w:sz w:val="16"/>
              </w:rPr>
              <w:t>派生量</w:t>
            </w:r>
          </w:p>
        </w:tc>
        <w:tc>
          <w:tcPr>
            <w:tcW w:type="dxa" w:w="3535"/>
          </w:tcPr>
          <w:p>
            <w:pPr>
              <w:spacing w:after="0" w:before="0" w:line="240" w:lineRule="auto"/>
            </w:pPr>
            <w:r/>
            <w:r>
              <w:rPr>
                <w:rFonts w:ascii="Times New Roman" w:hAnsi="Times New Roman" w:eastAsia="黑体"/>
                <w:b/>
                <w:sz w:val="16"/>
              </w:rPr>
              <w:t>交叉校验对象</w:t>
            </w:r>
          </w:p>
        </w:tc>
      </w:tr>
      <w:tr>
        <w:tc>
          <w:tcPr>
            <w:tcW w:type="dxa" w:w="1341"/>
          </w:tcPr>
          <w:p>
            <w:pPr>
              <w:spacing w:after="0" w:before="0" w:line="240" w:lineRule="auto"/>
            </w:pPr>
            <w:r/>
            <w:r>
              <w:rPr>
                <w:rFonts w:ascii="Times New Roman" w:hAnsi="Times New Roman" w:eastAsia="宋体"/>
                <w:b w:val="0"/>
                <w:sz w:val="15"/>
              </w:rPr>
              <w:t>每词元字节</w:t>
            </w:r>
          </w:p>
        </w:tc>
        <w:tc>
          <w:tcPr>
            <w:tcW w:type="dxa" w:w="3535"/>
          </w:tcPr>
          <w:p>
            <w:pPr>
              <w:spacing w:after="0" w:before="0" w:line="240" w:lineRule="auto"/>
            </w:pPr>
            <w:r/>
            <w:r>
              <w:rPr>
                <w:rFonts w:ascii="Times New Roman" w:hAnsi="Times New Roman" w:eastAsia="宋体"/>
                <w:b w:val="0"/>
                <w:sz w:val="15"/>
              </w:rPr>
              <w:t>理论载入量（层数 × 激活专家数 × 单专家字节）</w:t>
            </w:r>
          </w:p>
        </w:tc>
      </w:tr>
      <w:tr>
        <w:tc>
          <w:tcPr>
            <w:tcW w:type="dxa" w:w="1341"/>
          </w:tcPr>
          <w:p>
            <w:pPr>
              <w:spacing w:after="0" w:before="0" w:line="240" w:lineRule="auto"/>
            </w:pPr>
            <w:r/>
            <w:r>
              <w:rPr>
                <w:rFonts w:ascii="Times New Roman" w:hAnsi="Times New Roman" w:eastAsia="宋体"/>
                <w:b w:val="0"/>
                <w:sz w:val="15"/>
              </w:rPr>
              <w:t>并发倍数</w:t>
            </w:r>
          </w:p>
        </w:tc>
        <w:tc>
          <w:tcPr>
            <w:tcW w:type="dxa" w:w="3535"/>
          </w:tcPr>
          <w:p>
            <w:pPr>
              <w:spacing w:after="0" w:before="0" w:line="240" w:lineRule="auto"/>
            </w:pPr>
            <w:r/>
            <w:r>
              <w:rPr>
                <w:rFonts w:ascii="Times New Roman" w:hAnsi="Times New Roman" w:eastAsia="宋体"/>
                <w:b w:val="0"/>
                <w:sz w:val="15"/>
              </w:rPr>
              <w:t>16 ×（1 − sleep 占比）</w:t>
            </w:r>
          </w:p>
        </w:tc>
      </w:tr>
      <w:tr>
        <w:tc>
          <w:tcPr>
            <w:tcW w:type="dxa" w:w="1341"/>
          </w:tcPr>
          <w:p>
            <w:pPr>
              <w:spacing w:after="0" w:before="0" w:line="240" w:lineRule="auto"/>
            </w:pPr>
            <w:r/>
            <w:r>
              <w:rPr>
                <w:rFonts w:ascii="Times New Roman" w:hAnsi="Times New Roman" w:eastAsia="宋体"/>
                <w:b w:val="0"/>
                <w:sz w:val="15"/>
              </w:rPr>
              <w:t>`hit_wall`</w:t>
            </w:r>
          </w:p>
        </w:tc>
        <w:tc>
          <w:tcPr>
            <w:tcW w:type="dxa" w:w="3535"/>
          </w:tcPr>
          <w:p>
            <w:pPr>
              <w:spacing w:after="0" w:before="0" w:line="240" w:lineRule="auto"/>
            </w:pPr>
            <w:r/>
            <w:r>
              <w:rPr>
                <w:rFonts w:ascii="Times New Roman" w:hAnsi="Times New Roman" w:eastAsia="宋体"/>
                <w:b w:val="0"/>
                <w:sz w:val="15"/>
              </w:rPr>
              <w:t>`pread_seconds`</w:t>
            </w:r>
          </w:p>
        </w:tc>
      </w:tr>
      <w:tr>
        <w:tc>
          <w:tcPr>
            <w:tcW w:type="dxa" w:w="1341"/>
          </w:tcPr>
          <w:p>
            <w:pPr>
              <w:spacing w:after="0" w:before="0" w:line="240" w:lineRule="auto"/>
            </w:pPr>
            <w:r/>
            <w:r>
              <w:rPr>
                <w:rFonts w:ascii="Times New Roman" w:hAnsi="Times New Roman" w:eastAsia="宋体"/>
                <w:b w:val="0"/>
                <w:sz w:val="15"/>
              </w:rPr>
              <w:t>已交付字节</w:t>
            </w:r>
          </w:p>
        </w:tc>
        <w:tc>
          <w:tcPr>
            <w:tcW w:type="dxa" w:w="3535"/>
          </w:tcPr>
          <w:p>
            <w:pPr>
              <w:spacing w:after="0" w:before="0" w:line="240" w:lineRule="auto"/>
            </w:pPr>
            <w:r/>
            <w:r>
              <w:rPr>
                <w:rFonts w:ascii="Times New Roman" w:hAnsi="Times New Roman" w:eastAsia="宋体"/>
                <w:b w:val="0"/>
                <w:sz w:val="15"/>
              </w:rPr>
              <w:t>请求数 × 单请求大小</w:t>
            </w:r>
          </w:p>
        </w:tc>
      </w:tr>
      <w:tr>
        <w:tc>
          <w:tcPr>
            <w:tcW w:type="dxa" w:w="1341"/>
          </w:tcPr>
          <w:p>
            <w:pPr>
              <w:spacing w:after="0" w:before="0" w:line="240" w:lineRule="auto"/>
            </w:pPr>
            <w:r/>
            <w:r>
              <w:rPr>
                <w:rFonts w:ascii="Times New Roman" w:hAnsi="Times New Roman" w:eastAsia="宋体"/>
                <w:b w:val="0"/>
                <w:sz w:val="15"/>
              </w:rPr>
              <w:t>每流速率</w:t>
            </w:r>
          </w:p>
        </w:tc>
        <w:tc>
          <w:tcPr>
            <w:tcW w:type="dxa" w:w="3535"/>
          </w:tcPr>
          <w:p>
            <w:pPr>
              <w:spacing w:after="0" w:before="0" w:line="240" w:lineRule="auto"/>
            </w:pPr>
            <w:r/>
            <w:r>
              <w:rPr>
                <w:rFonts w:ascii="Times New Roman" w:hAnsi="Times New Roman" w:eastAsia="宋体"/>
                <w:b w:val="0"/>
                <w:sz w:val="15"/>
              </w:rPr>
              <w:t>聚合吞吐 ÷ 并发倍数</w:t>
            </w:r>
          </w:p>
        </w:tc>
      </w:tr>
    </w:tbl>
    <w:p>
      <w:pPr>
        <w:spacing w:after="40" w:line="276" w:lineRule="auto"/>
        <w:ind w:firstLine="360"/>
      </w:pPr>
      <w:r>
        <w:rPr>
          <w:rFonts w:ascii="Times New Roman" w:hAnsi="Times New Roman" w:eastAsia="宋体"/>
          <w:b/>
          <w:sz w:val="18"/>
        </w:rPr>
        <w:t>“同屏打印”不是排版偏好，而是发现机制。</w:t>
      </w:r>
      <w:r>
        <w:rPr>
          <w:rFonts w:ascii="Times New Roman" w:hAnsi="Times New Roman" w:eastAsia="宋体"/>
          <w:b w:val="0"/>
          <w:sz w:val="18"/>
        </w:rPr>
        <w:t xml:space="preserve"> </w:t>
      </w:r>
      <w:r>
        <w:rPr>
          <w:rFonts w:ascii="Consolas" w:hAnsi="Consolas"/>
          <w:color w:val="000080"/>
          <w:sz w:val="18"/>
        </w:rPr>
        <w:t>hit_wall = 0.00</w:t>
      </w:r>
      <w:r>
        <w:rPr>
          <w:rFonts w:ascii="Times New Roman" w:hAnsi="Times New Roman" w:eastAsia="宋体"/>
          <w:b w:val="0"/>
          <w:sz w:val="18"/>
        </w:rPr>
        <w:t xml:space="preserve"> 与 </w:t>
      </w:r>
      <w:r>
        <w:rPr>
          <w:rFonts w:ascii="Consolas" w:hAnsi="Consolas"/>
          <w:color w:val="000080"/>
          <w:sz w:val="18"/>
        </w:rPr>
        <w:t>pread = 1742.60</w:t>
      </w:r>
      <w:r>
        <w:rPr>
          <w:rFonts w:ascii="Times New Roman" w:hAnsi="Times New Roman" w:eastAsia="宋体"/>
          <w:b w:val="0"/>
          <w:sz w:val="18"/>
        </w:rPr>
        <w:t xml:space="preserve"> 之所以能被察觉，正因为它们印在同一份日志里、彼此相邻；分开在不同输出中的两个数不会被对照，因而不会被发现。本轮若有若干字段当初未与邻居同屏，很可能至今仍在使用。规程的代价只是报告里多打印几个已有变量。</w:t>
      </w:r>
    </w:p>
    <w:p>
      <w:pPr>
        <w:spacing w:after="40" w:line="276" w:lineRule="auto"/>
        <w:ind w:firstLine="360"/>
      </w:pPr>
      <w:r>
        <w:rPr>
          <w:rFonts w:ascii="Times New Roman" w:hAnsi="Times New Roman" w:eastAsia="宋体"/>
          <w:b w:val="0"/>
          <w:sz w:val="18"/>
        </w:rPr>
        <w:t>规程同时限定了结论的适用范围：</w:t>
      </w:r>
      <w:r>
        <w:rPr>
          <w:rFonts w:ascii="Consolas" w:hAnsi="Consolas"/>
          <w:color w:val="000080"/>
          <w:sz w:val="18"/>
        </w:rPr>
        <w:t>hit_wall</w:t>
      </w:r>
      <w:r>
        <w:rPr>
          <w:rFonts w:ascii="Times New Roman" w:hAnsi="Times New Roman" w:eastAsia="宋体"/>
          <w:b w:val="0"/>
          <w:sz w:val="18"/>
        </w:rPr>
        <w:t xml:space="preserve"> 归零发生在第 4 章结论形成</w:t>
      </w:r>
      <w:r>
        <w:rPr>
          <w:rFonts w:ascii="Times New Roman" w:hAnsi="Times New Roman" w:eastAsia="宋体"/>
          <w:b/>
          <w:sz w:val="18"/>
        </w:rPr>
        <w:t>之后</w:t>
      </w:r>
      <w:r>
        <w:rPr>
          <w:rFonts w:ascii="Times New Roman" w:hAnsi="Times New Roman" w:eastAsia="宋体"/>
          <w:b w:val="0"/>
          <w:sz w:val="18"/>
        </w:rPr>
        <w:t>，一度被当作判据缺口来解释；校正之后才知道那是仪表缺陷。</w:t>
      </w:r>
      <w:r>
        <w:rPr>
          <w:rFonts w:ascii="Times New Roman" w:hAnsi="Times New Roman" w:eastAsia="宋体"/>
          <w:b/>
          <w:sz w:val="18"/>
        </w:rPr>
        <w:t>若两者未加区分，判据会被一次仪表故障推倒。</w:t>
      </w:r>
      <w:r>
        <w:rPr>
          <w:rFonts w:ascii="Times New Roman" w:hAnsi="Times New Roman" w:eastAsia="宋体"/>
          <w:b w:val="0"/>
          <w:sz w:val="18"/>
        </w:rPr>
        <w:t xml:space="preserve"> 各节数字之所以可以逐行回查，是因为每个派生量旁边都印着它的校验对象——读者可以自行判断某个结论是数据的性质还是仪表的性质。</w:t>
      </w:r>
    </w:p>
    <w:p>
      <w:pPr>
        <w:spacing w:after="60" w:before="120" w:line="240" w:lineRule="auto"/>
      </w:pPr>
      <w:r>
        <w:rPr>
          <w:rFonts w:ascii="Times New Roman" w:hAnsi="Times New Roman" w:eastAsia="黑体"/>
          <w:b w:val="0"/>
          <w:sz w:val="21"/>
        </w:rPr>
        <w:t>4  判据的实证：MoE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专家段基准台账（冷启动基线）</w:t>
      </w:r>
    </w:p>
    <w:p>
      <w:pPr>
        <w:spacing w:before="80" w:after="20"/>
        <w:jc w:val="center"/>
      </w:pPr>
      <w:r>
        <w:rPr>
          <w:rFonts w:ascii="Times New Roman" w:hAnsi="Times New Roman" w:eastAsia="Times New Roman"/>
          <w:b w:val="0"/>
          <w:sz w:val="15"/>
        </w:rPr>
        <w:t>Table 1　Baseline ledger of the expert stage (cold-start baseline)</w:t>
      </w:r>
    </w:p>
    <w:tbl>
      <w:tblPr>
        <w:tblStyle w:val="TableGrid"/>
        <w:tblW w:type="auto" w:w="0"/>
        <w:tblLook w:firstColumn="1" w:firstRow="1" w:lastColumn="0" w:lastRow="0" w:noHBand="0" w:noVBand="1" w:val="04A0"/>
        <w:tblLayout w:type="fixed"/>
      </w:tblPr>
      <w:tblGrid>
        <w:gridCol w:w="2247"/>
        <w:gridCol w:w="2629"/>
      </w:tblGrid>
      <w:tr>
        <w:tc>
          <w:tcPr>
            <w:tcW w:type="dxa" w:w="2247"/>
          </w:tcPr>
          <w:p>
            <w:pPr>
              <w:spacing w:after="0" w:before="0" w:line="240" w:lineRule="auto"/>
            </w:pPr>
            <w:r/>
            <w:r>
              <w:rPr>
                <w:rFonts w:ascii="Times New Roman" w:hAnsi="Times New Roman" w:eastAsia="黑体"/>
                <w:b/>
                <w:sz w:val="16"/>
              </w:rPr>
              <w:t>指标</w:t>
            </w:r>
          </w:p>
        </w:tc>
        <w:tc>
          <w:tcPr>
            <w:tcW w:type="dxa" w:w="2629"/>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是“一次生成调用之内，每个 distinct 项刚好只读一次”（见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的可检验含义是：更慢层的读数应随着“复用实际落位层”的上移而向下界（一次生成调用之内，每个 distinct 项刚好只读一次）单向趋近。本案例提供了两个可观测的落位档，加上一个由推论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Per-token byte reads of each tier as the reuse landing tier moves up</w:t>
      </w:r>
    </w:p>
    <w:tbl>
      <w:tblPr>
        <w:tblStyle w:val="TableGrid"/>
        <w:tblW w:type="auto" w:w="0"/>
        <w:tblLook w:firstColumn="1" w:firstRow="1" w:lastColumn="0" w:lastRow="0" w:noHBand="0" w:noVBand="1" w:val="04A0"/>
        <w:tblLayout w:type="fixed"/>
      </w:tblPr>
      <w:tblGrid>
        <w:gridCol w:w="1146"/>
        <w:gridCol w:w="1378"/>
        <w:gridCol w:w="1204"/>
        <w:gridCol w:w="1146"/>
      </w:tblGrid>
      <w:tr>
        <w:tc>
          <w:tcPr>
            <w:tcW w:type="dxa" w:w="1146"/>
          </w:tcPr>
          <w:p>
            <w:pPr>
              <w:spacing w:after="0" w:before="0" w:line="240" w:lineRule="auto"/>
            </w:pPr>
            <w:r/>
            <w:r>
              <w:rPr>
                <w:rFonts w:ascii="Times New Roman" w:hAnsi="Times New Roman" w:eastAsia="黑体"/>
                <w:b/>
                <w:sz w:val="16"/>
              </w:rPr>
              <w:t>落位层</w:t>
            </w:r>
          </w:p>
        </w:tc>
        <w:tc>
          <w:tcPr>
            <w:tcW w:type="dxa" w:w="1378"/>
          </w:tcPr>
          <w:p>
            <w:pPr>
              <w:spacing w:after="0" w:before="0" w:line="240" w:lineRule="auto"/>
            </w:pPr>
            <w:r/>
            <w:r>
              <w:rPr>
                <w:rFonts w:ascii="Times New Roman" w:hAnsi="Times New Roman" w:eastAsia="黑体"/>
                <w:b/>
                <w:sz w:val="16"/>
              </w:rPr>
              <w:t>低速盘</w:t>
            </w:r>
          </w:p>
        </w:tc>
        <w:tc>
          <w:tcPr>
            <w:tcW w:type="dxa" w:w="1204"/>
          </w:tcPr>
          <w:p>
            <w:pPr>
              <w:spacing w:after="0" w:before="0" w:line="240" w:lineRule="auto"/>
            </w:pPr>
            <w:r/>
            <w:r>
              <w:rPr>
                <w:rFonts w:ascii="Times New Roman" w:hAnsi="Times New Roman" w:eastAsia="黑体"/>
                <w:b/>
                <w:sz w:val="16"/>
              </w:rPr>
              <w:t>高速盘</w:t>
            </w:r>
          </w:p>
        </w:tc>
        <w:tc>
          <w:tcPr>
            <w:tcW w:type="dxa" w:w="1146"/>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GB）回落，高速盘档全程均值 6.7 GB、后 16 词元尾段仅约 1.7 GB（=27 GB/16 词元，出处见随稿附件 A.1），向"一次生成调用内每个 distinct 项刚好只读一次"收敛；复用的承担场所从更慢层迁移到更近的层。这正是推论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t>Table 3　Second phase-resolved measurement: with reuse already landed, re-tiered by access order (gen=8, 22 layers of 32 GB backbone resident, 15 GB expert arena, K3_TRACE, n=3)</w:t>
      </w:r>
    </w:p>
    <w:tbl>
      <w:tblPr>
        <w:tblStyle w:val="TableGrid"/>
        <w:tblW w:type="auto" w:w="0"/>
        <w:tblLook w:firstColumn="1" w:firstRow="1" w:lastColumn="0" w:lastRow="0" w:noHBand="0" w:noVBand="1" w:val="04A0"/>
        <w:tblLayout w:type="fixed"/>
      </w:tblPr>
      <w:tblGrid>
        <w:gridCol w:w="831"/>
        <w:gridCol w:w="809"/>
        <w:gridCol w:w="787"/>
        <w:gridCol w:w="809"/>
        <w:gridCol w:w="853"/>
        <w:gridCol w:w="787"/>
      </w:tblGrid>
      <w:tr>
        <w:tc>
          <w:tcPr>
            <w:tcW w:type="dxa" w:w="831"/>
          </w:tcPr>
          <w:p>
            <w:pPr>
              <w:spacing w:after="0" w:before="0" w:line="240" w:lineRule="auto"/>
            </w:pPr>
            <w:r/>
            <w:r>
              <w:rPr>
                <w:rFonts w:ascii="Times New Roman" w:hAnsi="Times New Roman" w:eastAsia="黑体"/>
                <w:b/>
                <w:sz w:val="16"/>
              </w:rPr>
              <w:t>读取流</w:t>
            </w:r>
          </w:p>
        </w:tc>
        <w:tc>
          <w:tcPr>
            <w:tcW w:type="dxa" w:w="809"/>
          </w:tcPr>
          <w:p>
            <w:pPr>
              <w:spacing w:after="0" w:before="0" w:line="240" w:lineRule="auto"/>
            </w:pPr>
            <w:r/>
            <w:r>
              <w:rPr>
                <w:rFonts w:ascii="Times New Roman" w:hAnsi="Times New Roman" w:eastAsia="黑体"/>
                <w:b/>
                <w:sz w:val="16"/>
              </w:rPr>
              <w:t>字节/词元</w:t>
            </w:r>
          </w:p>
        </w:tc>
        <w:tc>
          <w:tcPr>
            <w:tcW w:type="dxa" w:w="787"/>
          </w:tcPr>
          <w:p>
            <w:pPr>
              <w:spacing w:after="0" w:before="0" w:line="240" w:lineRule="auto"/>
            </w:pPr>
            <w:r/>
            <w:r>
              <w:rPr>
                <w:rFonts w:ascii="Times New Roman" w:hAnsi="Times New Roman" w:eastAsia="黑体"/>
                <w:b/>
                <w:sz w:val="16"/>
              </w:rPr>
              <w:t>速率</w:t>
            </w:r>
          </w:p>
        </w:tc>
        <w:tc>
          <w:tcPr>
            <w:tcW w:type="dxa" w:w="809"/>
          </w:tcPr>
          <w:p>
            <w:pPr>
              <w:spacing w:after="0" w:before="0" w:line="240" w:lineRule="auto"/>
            </w:pPr>
            <w:r/>
            <w:r>
              <w:rPr>
                <w:rFonts w:ascii="Times New Roman" w:hAnsi="Times New Roman" w:eastAsia="黑体"/>
                <w:b/>
                <w:sz w:val="16"/>
              </w:rPr>
              <w:t>访问序</w:t>
            </w:r>
          </w:p>
        </w:tc>
        <w:tc>
          <w:tcPr>
            <w:tcW w:type="dxa" w:w="853"/>
          </w:tcPr>
          <w:p>
            <w:pPr>
              <w:spacing w:after="0" w:before="0" w:line="240" w:lineRule="auto"/>
            </w:pPr>
            <w:r/>
            <w:r>
              <w:rPr>
                <w:rFonts w:ascii="Times New Roman" w:hAnsi="Times New Roman" w:eastAsia="黑体"/>
                <w:b/>
                <w:sz w:val="16"/>
              </w:rPr>
              <w:t>暴露</w:t>
            </w:r>
          </w:p>
        </w:tc>
        <w:tc>
          <w:tcPr>
            <w:tcW w:type="dxa" w:w="787"/>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1）降至 191.6 s/词元，约 −37%，为同口径的单次对照；同一次高速盘驻留长程运行的端到端输出速度实测为 262.78 s/词元。收益未达按跨遍复用的字节量推演的上界（约 −90%），因为复用仍落在高速盘而非高速内存。表 2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2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tbl>
      <w:tblPr>
        <w:tblStyle w:val="TableGrid"/>
        <w:tblW w:type="auto" w:w="0"/>
        <w:tblLook w:firstColumn="1" w:firstRow="1" w:lastColumn="0" w:lastRow="0" w:noHBand="0" w:noVBand="1" w:val="04A0"/>
        <w:tblLayout w:type="fixed"/>
      </w:tblPr>
      <w:tblGrid>
        <w:gridCol w:w="1278"/>
        <w:gridCol w:w="1120"/>
        <w:gridCol w:w="1357"/>
        <w:gridCol w:w="1120"/>
      </w:tblGrid>
      <w:tr>
        <w:tc>
          <w:tcPr>
            <w:tcW w:type="dxa" w:w="1278"/>
          </w:tcPr>
          <w:p>
            <w:pPr>
              <w:spacing w:after="0" w:before="0" w:line="240" w:lineRule="auto"/>
            </w:pPr>
            <w:r/>
            <w:r>
              <w:rPr>
                <w:rFonts w:ascii="Times New Roman" w:hAnsi="Times New Roman" w:eastAsia="黑体"/>
                <w:b/>
                <w:sz w:val="16"/>
              </w:rPr>
              <w:t>L1 策略</w:t>
            </w:r>
          </w:p>
        </w:tc>
        <w:tc>
          <w:tcPr>
            <w:tcW w:type="dxa" w:w="1120"/>
          </w:tcPr>
          <w:p>
            <w:pPr>
              <w:spacing w:after="0" w:before="0" w:line="240" w:lineRule="auto"/>
            </w:pPr>
            <w:r/>
            <w:r>
              <w:rPr>
                <w:rFonts w:ascii="Times New Roman" w:hAnsi="Times New Roman" w:eastAsia="黑体"/>
                <w:b/>
                <w:sz w:val="16"/>
              </w:rPr>
              <w:t>cache</w:t>
            </w:r>
          </w:p>
        </w:tc>
        <w:tc>
          <w:tcPr>
            <w:tcW w:type="dxa" w:w="1357"/>
          </w:tcPr>
          <w:p>
            <w:pPr>
              <w:spacing w:after="0" w:before="0" w:line="240" w:lineRule="auto"/>
            </w:pPr>
            <w:r/>
            <w:r>
              <w:rPr>
                <w:rFonts w:ascii="Times New Roman" w:hAnsi="Times New Roman" w:eastAsia="黑体"/>
                <w:b/>
                <w:sz w:val="16"/>
              </w:rPr>
              <w:t>三轮实测</w:t>
            </w:r>
          </w:p>
        </w:tc>
        <w:tc>
          <w:tcPr>
            <w:tcW w:type="dxa" w:w="1120"/>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Layout w:type="fixed"/>
      </w:tblPr>
      <w:tblGrid>
        <w:gridCol w:w="843"/>
        <w:gridCol w:w="820"/>
        <w:gridCol w:w="797"/>
        <w:gridCol w:w="797"/>
        <w:gridCol w:w="797"/>
        <w:gridCol w:w="820"/>
      </w:tblGrid>
      <w:tr>
        <w:tc>
          <w:tcPr>
            <w:tcW w:type="dxa" w:w="843"/>
          </w:tcPr>
          <w:p>
            <w:pPr>
              <w:spacing w:after="0" w:before="0" w:line="240" w:lineRule="auto"/>
            </w:pPr>
            <w:r/>
            <w:r>
              <w:rPr>
                <w:rFonts w:ascii="Times New Roman" w:hAnsi="Times New Roman" w:eastAsia="黑体"/>
                <w:b/>
                <w:sz w:val="16"/>
              </w:rPr>
              <w:t>落位档</w:t>
            </w:r>
          </w:p>
        </w:tc>
        <w:tc>
          <w:tcPr>
            <w:tcW w:type="dxa" w:w="820"/>
          </w:tcPr>
          <w:p>
            <w:pPr>
              <w:spacing w:after="0" w:before="0" w:line="240" w:lineRule="auto"/>
            </w:pPr>
            <w:r/>
            <w:r>
              <w:rPr>
                <w:rFonts w:ascii="Times New Roman" w:hAnsi="Times New Roman" w:eastAsia="黑体"/>
                <w:b/>
                <w:sz w:val="16"/>
              </w:rPr>
              <w:t>字节/词元</w:t>
            </w:r>
          </w:p>
        </w:tc>
        <w:tc>
          <w:tcPr>
            <w:tcW w:type="dxa" w:w="797"/>
          </w:tcPr>
          <w:p>
            <w:pPr>
              <w:spacing w:after="0" w:before="0" w:line="240" w:lineRule="auto"/>
            </w:pPr>
            <w:r/>
            <w:r>
              <w:rPr>
                <w:rFonts w:ascii="Times New Roman" w:hAnsi="Times New Roman" w:eastAsia="黑体"/>
                <w:b/>
                <w:sz w:val="16"/>
              </w:rPr>
              <w:t>带宽</w:t>
            </w:r>
          </w:p>
        </w:tc>
        <w:tc>
          <w:tcPr>
            <w:tcW w:type="dxa" w:w="797"/>
          </w:tcPr>
          <w:p>
            <w:pPr>
              <w:spacing w:after="0" w:before="0" w:line="240" w:lineRule="auto"/>
            </w:pPr>
            <w:r/>
            <w:r>
              <w:rPr>
                <w:rFonts w:ascii="Times New Roman" w:hAnsi="Times New Roman" w:eastAsia="黑体"/>
                <w:b/>
                <w:sz w:val="16"/>
              </w:rPr>
              <w:t>公式下限</w:t>
            </w:r>
          </w:p>
        </w:tc>
        <w:tc>
          <w:tcPr>
            <w:tcW w:type="dxa" w:w="797"/>
          </w:tcPr>
          <w:p>
            <w:pPr>
              <w:spacing w:after="0" w:before="0" w:line="240" w:lineRule="auto"/>
            </w:pPr>
            <w:r/>
            <w:r>
              <w:rPr>
                <w:rFonts w:ascii="Times New Roman" w:hAnsi="Times New Roman" w:eastAsia="黑体"/>
                <w:b/>
                <w:sz w:val="16"/>
              </w:rPr>
              <w:t>实测</w:t>
            </w:r>
          </w:p>
        </w:tc>
        <w:tc>
          <w:tcPr>
            <w:tcW w:type="dxa" w:w="820"/>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1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4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40" w:line="276" w:lineRule="auto"/>
        <w:ind w:firstLine="360"/>
      </w:pPr>
      <w:r>
        <w:rPr>
          <w:rFonts w:ascii="Times New Roman" w:hAnsi="Times New Roman" w:eastAsia="宋体"/>
          <w:b/>
          <w:sz w:val="18"/>
        </w:rPr>
        <w:t>表 4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仅核算字节会低估慢层的代价：慢层同时收取字节代价与串行化代价，而把数据上移到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本文各节在给出判定的同时，也保留了那些被实测推翻的早期归因。它们不是补充说明，而是记录了判据如何被用：凡被判据推翻的，先查是不是数据性质变了，再查是不是仪表错了——后者见 §3.2，本节数处归因修正正是走完这两步的结果。</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4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判据的工程用法：预算、验收与排查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对一次生成调用求和，即得每低速层的读数预算。设 D_i 为 d 在参与路径上经介质 M_i 的 distinct 项集，N 为会话词元数，则健康时的读数预算与实测超读倍数分别为</w:t>
      </w:r>
    </w:p>
    <w:p>
      <w:pPr>
        <w:spacing w:after="0"/>
        <w:ind w:left="170"/>
      </w:pPr>
      <w:r>
        <w:rPr>
          <w:rFonts w:ascii="Consolas" w:hAnsi="Consolas"/>
          <w:sz w:val="14"/>
        </w:rPr>
        <w:t>B_i = Σ_{d ∈ D_i} slot(d)                 一次生成调用中，介质 M_i 的最小读数</w:t>
      </w:r>
    </w:p>
    <w:p>
      <w:pPr>
        <w:spacing w:after="0"/>
        <w:ind w:left="170"/>
      </w:pPr>
      <w:r>
        <w:rPr>
          <w:rFonts w:ascii="Consolas" w:hAnsi="Consolas"/>
          <w:sz w:val="14"/>
        </w:rPr>
        <w:t>E_i = B_actual,i / B_i                     超读倍数，取值 1 即已达下界</w:t>
      </w:r>
    </w:p>
    <w:p>
      <w:pPr>
        <w:spacing w:after="40" w:line="276" w:lineRule="auto"/>
        <w:ind w:firstLine="360"/>
      </w:pPr>
      <w:r>
        <w:rPr>
          <w:rFonts w:ascii="Times New Roman" w:hAnsi="Times New Roman" w:eastAsia="宋体"/>
          <w:b w:val="0"/>
          <w:sz w:val="18"/>
        </w:rPr>
        <w:t>其中 B_i 的构造即"每个 distinct 项刚好只读一次"。本文案例中专家 distinct 集合计约 176 GB；阶段 A 基线每词元 25.83 GB，故一次生成共读 B_1 ≈ 25.83 × N GB，远超下界 176 GB，超读倍数随 N 线性增长。E_1 远大于 1 即"复用未落位"，其超出部分可通过落位设计回收。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字节达标之后还需加测串行化，其成因随后经直接测量判定。字节达标不等于复用落位完成，加测串行化。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KPI，即 5.1 的超读倍数 E_1。本例的下界是一次生成调用之内、distinct 集刚好只读一次，合计约 176 GB；阶段 A 每词元全量重读 25.83 GB，该次生成的 E_1 = 25.83 × N / 176；稳态尾段（高速盘档）读数降至约 1.7 GB/词元，同一换算下 E_1 大幅收敛。</w:t>
      </w:r>
      <w:r>
        <w:rPr>
          <w:rFonts w:ascii="Times New Roman" w:hAnsi="Times New Roman" w:eastAsia="宋体"/>
          <w:b/>
          <w:sz w:val="18"/>
        </w:rPr>
        <w:t>E_1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3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§3.2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w:t>
      </w:r>
    </w:p>
    <w:p>
      <w:pPr>
        <w:spacing w:after="40" w:before="60" w:line="240" w:lineRule="auto"/>
      </w:pPr>
      <w:r>
        <w:rPr>
          <w:rFonts w:ascii="Times New Roman" w:hAnsi="Times New Roman" w:eastAsia="楷体"/>
          <w:b w:val="0"/>
          <w:sz w:val="18"/>
        </w:rPr>
        <w:t>5.3.1  回放：这套次序在本轮实际抓住了什么</w:t>
      </w:r>
    </w:p>
    <w:p>
      <w:pPr>
        <w:spacing w:after="40" w:line="276" w:lineRule="auto"/>
        <w:ind w:firstLine="360"/>
      </w:pPr>
      <w:r>
        <w:rPr>
          <w:rFonts w:ascii="Times New Roman" w:hAnsi="Times New Roman" w:eastAsia="宋体"/>
          <w:b w:val="0"/>
          <w:sz w:val="18"/>
        </w:rPr>
        <w:t>次序给出之后需要回答它是否有用。本轮把六处计数器错误与两处归因错误逐条过一遍，结果如下。</w:t>
      </w:r>
    </w:p>
    <w:tbl>
      <w:tblPr>
        <w:tblStyle w:val="TableGrid"/>
        <w:tblW w:type="auto" w:w="0"/>
        <w:tblLook w:firstColumn="1" w:firstRow="1" w:lastColumn="0" w:lastRow="0" w:noHBand="0" w:noVBand="1" w:val="04A0"/>
        <w:tblLayout w:type="fixed"/>
      </w:tblPr>
      <w:tblGrid>
        <w:gridCol w:w="1250"/>
        <w:gridCol w:w="747"/>
        <w:gridCol w:w="819"/>
        <w:gridCol w:w="2060"/>
      </w:tblGrid>
      <w:tr>
        <w:tc>
          <w:tcPr>
            <w:tcW w:type="dxa" w:w="1250"/>
          </w:tcPr>
          <w:p>
            <w:pPr>
              <w:spacing w:after="0" w:before="0" w:line="240" w:lineRule="auto"/>
            </w:pPr>
            <w:r/>
            <w:r>
              <w:rPr>
                <w:rFonts w:ascii="Times New Roman" w:hAnsi="Times New Roman" w:eastAsia="黑体"/>
                <w:b/>
                <w:sz w:val="16"/>
              </w:rPr>
              <w:t>实际发生的错误</w:t>
            </w:r>
          </w:p>
        </w:tc>
        <w:tc>
          <w:tcPr>
            <w:tcW w:type="dxa" w:w="747"/>
          </w:tcPr>
          <w:p>
            <w:pPr>
              <w:spacing w:after="0" w:before="0" w:line="240" w:lineRule="auto"/>
            </w:pPr>
            <w:r/>
            <w:r>
              <w:rPr>
                <w:rFonts w:ascii="Times New Roman" w:hAnsi="Times New Roman" w:eastAsia="黑体"/>
                <w:b/>
                <w:sz w:val="16"/>
              </w:rPr>
              <w:t>观测平面</w:t>
            </w:r>
          </w:p>
        </w:tc>
        <w:tc>
          <w:tcPr>
            <w:tcW w:type="dxa" w:w="819"/>
          </w:tcPr>
          <w:p>
            <w:pPr>
              <w:spacing w:after="0" w:before="0" w:line="240" w:lineRule="auto"/>
            </w:pPr>
            <w:r/>
            <w:r>
              <w:rPr>
                <w:rFonts w:ascii="Times New Roman" w:hAnsi="Times New Roman" w:eastAsia="黑体"/>
                <w:b/>
                <w:sz w:val="16"/>
              </w:rPr>
              <w:t>四步能否抓住</w:t>
            </w:r>
          </w:p>
        </w:tc>
        <w:tc>
          <w:tcPr>
            <w:tcW w:type="dxa" w:w="2060"/>
          </w:tcPr>
          <w:p>
            <w:pPr>
              <w:spacing w:after="0" w:before="0" w:line="240" w:lineRule="auto"/>
            </w:pPr>
            <w:r/>
            <w:r>
              <w:rPr>
                <w:rFonts w:ascii="Times New Roman" w:hAnsi="Times New Roman" w:eastAsia="黑体"/>
                <w:b/>
                <w:sz w:val="16"/>
              </w:rPr>
              <w:t>依据</w:t>
            </w:r>
          </w:p>
        </w:tc>
      </w:tr>
      <w:tr>
        <w:tc>
          <w:tcPr>
            <w:tcW w:type="dxa" w:w="1250"/>
          </w:tcPr>
          <w:p>
            <w:pPr>
              <w:spacing w:after="0" w:before="0" w:line="240" w:lineRule="auto"/>
            </w:pPr>
            <w:r/>
            <w:r>
              <w:rPr>
                <w:rFonts w:ascii="Times New Roman" w:hAnsi="Times New Roman" w:eastAsia="宋体"/>
                <w:b w:val="0"/>
                <w:sz w:val="15"/>
              </w:rPr>
              <w:t>已交付字节含失败与短读</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能，①</w:t>
            </w:r>
          </w:p>
        </w:tc>
        <w:tc>
          <w:tcPr>
            <w:tcW w:type="dxa" w:w="2060"/>
          </w:tcPr>
          <w:p>
            <w:pPr>
              <w:spacing w:after="0" w:before="0" w:line="240" w:lineRule="auto"/>
            </w:pPr>
            <w:r/>
            <w:r>
              <w:rPr>
                <w:rFonts w:ascii="Times New Roman" w:hAnsi="Times New Roman" w:eastAsia="宋体"/>
                <w:b w:val="0"/>
                <w:sz w:val="15"/>
              </w:rPr>
              <w:t>① 要求与 distinct 预算线同量级，而预算线由层数 × 激活专家数 × 单专家字节独立算出</w:t>
            </w:r>
          </w:p>
        </w:tc>
      </w:tr>
      <w:tr>
        <w:tc>
          <w:tcPr>
            <w:tcW w:type="dxa" w:w="1250"/>
          </w:tcPr>
          <w:p>
            <w:pPr>
              <w:spacing w:after="0" w:before="0" w:line="240" w:lineRule="auto"/>
            </w:pPr>
            <w:r/>
            <w:r>
              <w:rPr>
                <w:rFonts w:ascii="Times New Roman" w:hAnsi="Times New Roman" w:eastAsia="宋体"/>
                <w:b w:val="0"/>
                <w:sz w:val="15"/>
              </w:rPr>
              <w:t>tier 级合计混合两种读取形态</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③ 要求分层读数与 distinct 下界比较，分组后差 20 倍即暴露</w:t>
            </w:r>
          </w:p>
        </w:tc>
      </w:tr>
      <w:tr>
        <w:tc>
          <w:tcPr>
            <w:tcW w:type="dxa" w:w="1250"/>
          </w:tcPr>
          <w:p>
            <w:pPr>
              <w:spacing w:after="0" w:before="0" w:line="240" w:lineRule="auto"/>
            </w:pPr>
            <w:r/>
            <w:r>
              <w:rPr>
                <w:rFonts w:ascii="Times New Roman" w:hAnsi="Times New Roman" w:eastAsia="宋体"/>
                <w:b w:val="0"/>
                <w:sz w:val="15"/>
              </w:rPr>
              <w:t>「顺序流与散乱流争抢设备」误归因</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分层字节账把「慢层读了多少字节」与「这些字节多贵」分开</w:t>
            </w:r>
          </w:p>
        </w:tc>
      </w:tr>
      <w:tr>
        <w:tc>
          <w:tcPr>
            <w:tcW w:type="dxa" w:w="1250"/>
          </w:tcPr>
          <w:p>
            <w:pPr>
              <w:spacing w:after="0" w:before="0" w:line="240" w:lineRule="auto"/>
            </w:pPr>
            <w:r/>
            <w:r>
              <w:rPr>
                <w:rFonts w:ascii="Times New Roman" w:hAnsi="Times New Roman" w:eastAsia="宋体"/>
                <w:b w:val="0"/>
                <w:sz w:val="15"/>
              </w:rPr>
              <w:t>阶段 B 命中满格而字节不降</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能，②</w:t>
            </w:r>
          </w:p>
        </w:tc>
        <w:tc>
          <w:tcPr>
            <w:tcW w:type="dxa" w:w="2060"/>
          </w:tcPr>
          <w:p>
            <w:pPr>
              <w:spacing w:after="0" w:before="0" w:line="240" w:lineRule="auto"/>
            </w:pPr>
            <w:r/>
            <w:r>
              <w:rPr>
                <w:rFonts w:ascii="Times New Roman" w:hAnsi="Times New Roman" w:eastAsia="宋体"/>
                <w:b w:val="0"/>
                <w:sz w:val="15"/>
              </w:rPr>
              <w:t>这正是②所写的失败特征</w:t>
            </w:r>
          </w:p>
        </w:tc>
      </w:tr>
      <w:tr>
        <w:tc>
          <w:tcPr>
            <w:tcW w:type="dxa" w:w="1250"/>
          </w:tcPr>
          <w:p>
            <w:pPr>
              <w:spacing w:after="0" w:before="0" w:line="240" w:lineRule="auto"/>
            </w:pPr>
            <w:r/>
            <w:r>
              <w:rPr>
                <w:rFonts w:ascii="Times New Roman" w:hAnsi="Times New Roman" w:eastAsia="宋体"/>
                <w:b w:val="0"/>
                <w:sz w:val="15"/>
              </w:rPr>
              <w:t>`stat_*` 纳秒累加存在数据竞争</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四步不读时间量</w:t>
            </w:r>
          </w:p>
        </w:tc>
      </w:tr>
      <w:tr>
        <w:tc>
          <w:tcPr>
            <w:tcW w:type="dxa" w:w="1250"/>
          </w:tcPr>
          <w:p>
            <w:pPr>
              <w:spacing w:after="0" w:before="0" w:line="240" w:lineRule="auto"/>
            </w:pPr>
            <w:r/>
            <w:r>
              <w:rPr>
                <w:rFonts w:ascii="Times New Roman" w:hAnsi="Times New Roman" w:eastAsia="宋体"/>
                <w:b w:val="0"/>
                <w:sz w:val="15"/>
              </w:rPr>
              <w:t>`stat_idle_s` 只记决定睡的瞬间</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r>
        <w:tc>
          <w:tcPr>
            <w:tcW w:type="dxa" w:w="1250"/>
          </w:tcPr>
          <w:p>
            <w:pPr>
              <w:spacing w:after="0" w:before="0" w:line="240" w:lineRule="auto"/>
            </w:pPr>
            <w:r/>
            <w:r>
              <w:rPr>
                <w:rFonts w:ascii="Times New Roman" w:hAnsi="Times New Roman" w:eastAsia="宋体"/>
                <w:b w:val="0"/>
                <w:sz w:val="15"/>
              </w:rPr>
              <w:t>`device MB/s` 以单流速率冒充设备上限</w:t>
            </w:r>
          </w:p>
        </w:tc>
        <w:tc>
          <w:tcPr>
            <w:tcW w:type="dxa" w:w="747"/>
          </w:tcPr>
          <w:p>
            <w:pPr>
              <w:spacing w:after="0" w:before="0" w:line="240" w:lineRule="auto"/>
            </w:pPr>
            <w:r/>
            <w:r>
              <w:rPr>
                <w:rFonts w:ascii="Times New Roman" w:hAnsi="Times New Roman" w:eastAsia="宋体"/>
                <w:b w:val="0"/>
                <w:sz w:val="15"/>
              </w:rPr>
              <w:t>速率</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速率不在①②③④的观测量内</w:t>
            </w:r>
          </w:p>
        </w:tc>
      </w:tr>
      <w:tr>
        <w:tc>
          <w:tcPr>
            <w:tcW w:type="dxa" w:w="1250"/>
          </w:tcPr>
          <w:p>
            <w:pPr>
              <w:spacing w:after="0" w:before="0" w:line="240" w:lineRule="auto"/>
            </w:pPr>
            <w:r/>
            <w:r>
              <w:rPr>
                <w:rFonts w:ascii="Times New Roman" w:hAnsi="Times New Roman" w:eastAsia="宋体"/>
                <w:b w:val="0"/>
                <w:sz w:val="15"/>
              </w:rPr>
              <w:t>`hit_wall` 归零</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bl>
    <w:p>
      <w:pPr>
        <w:spacing w:after="40" w:line="276" w:lineRule="auto"/>
        <w:ind w:firstLine="360"/>
      </w:pPr>
      <w:r>
        <w:rPr>
          <w:rFonts w:ascii="Times New Roman" w:hAnsi="Times New Roman" w:eastAsia="宋体"/>
          <w:b/>
          <w:sz w:val="18"/>
        </w:rPr>
        <w:t>六处计数器错误中，四步抓住两处，且两处都在字节平面；未抓住的四处全在时间或速率平面。</w:t>
      </w:r>
    </w:p>
    <w:p>
      <w:pPr>
        <w:spacing w:after="40" w:line="276" w:lineRule="auto"/>
        <w:ind w:firstLine="360"/>
      </w:pPr>
      <w:r>
        <w:rPr>
          <w:rFonts w:ascii="Times New Roman" w:hAnsi="Times New Roman" w:eastAsia="宋体"/>
          <w:b w:val="0"/>
          <w:sz w:val="18"/>
        </w:rPr>
        <w:t>这不是偶然。①②③④ 刻意只读字节，一个时间量都不读——而本轮的时间观测量跨度达 80.8%，一旦混进次序，判定本身就被污染。</w:t>
      </w:r>
      <w:r>
        <w:rPr>
          <w:rFonts w:ascii="Times New Roman" w:hAnsi="Times New Roman" w:eastAsia="宋体"/>
          <w:b/>
          <w:sz w:val="18"/>
        </w:rPr>
        <w:t>只读字节是这套次序的设计约束，不是疏漏。</w:t>
      </w:r>
    </w:p>
    <w:p>
      <w:pPr>
        <w:spacing w:after="40" w:line="276" w:lineRule="auto"/>
        <w:ind w:firstLine="360"/>
      </w:pPr>
      <w:r>
        <w:rPr>
          <w:rFonts w:ascii="Times New Roman" w:hAnsi="Times New Roman" w:eastAsia="宋体"/>
          <w:b w:val="0"/>
          <w:sz w:val="18"/>
        </w:rPr>
        <w:t>由此得到两条必须写明的结论。</w:t>
      </w:r>
      <w:r>
        <w:rPr>
          <w:rFonts w:ascii="Times New Roman" w:hAnsi="Times New Roman" w:eastAsia="宋体"/>
          <w:b/>
          <w:sz w:val="18"/>
        </w:rPr>
        <w:t>其一，四步与 §3.2 的交叉校验规程覆盖的错误类别不同，不能互相替代</w:t>
      </w:r>
      <w:r>
        <w:rPr>
          <w:rFonts w:ascii="Times New Roman" w:hAnsi="Times New Roman" w:eastAsia="宋体"/>
          <w:b w:val="0"/>
          <w:sz w:val="18"/>
        </w:rPr>
        <w:t>：四步覆盖字节平面的读多了、读错层、归因错；交叉校验覆盖任何能找到独立量作对照的派生量，包括时间与速率。</w:t>
      </w:r>
      <w:r>
        <w:rPr>
          <w:rFonts w:ascii="Times New Roman" w:hAnsi="Times New Roman" w:eastAsia="宋体"/>
          <w:b/>
          <w:sz w:val="18"/>
        </w:rPr>
        <w:t>其二，两者都不覆盖第三类</w:t>
      </w:r>
      <w:r>
        <w:rPr>
          <w:rFonts w:ascii="Times New Roman" w:hAnsi="Times New Roman" w:eastAsia="宋体"/>
          <w:b w:val="0"/>
          <w:sz w:val="18"/>
        </w:rPr>
        <w:t>——本轮出现过一处单位错（应为 MB 记成 GB），也出现过测量期间系统包自动升级与测量并发。前者只能靠交叉复核，后者只能靠测量前的门禁，</w:t>
      </w:r>
      <w:r>
        <w:rPr>
          <w:rFonts w:ascii="Times New Roman" w:hAnsi="Times New Roman" w:eastAsia="宋体"/>
          <w:b/>
          <w:sz w:val="18"/>
        </w:rPr>
        <w:t>次序与校验规程都不是它的解药</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本案例的头条发现是第②条自己抓到的：命中率满格而字节不降，是②写明的失败特征，不是事后总结出来的。转移到缓存介质带宽）。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本文从一次反常现象出发：按命中率将缓存优化至满格，端到端吞吐仍未达到应有水平。围绕该现象，本文给出可逐行回查的字节日志审计与一次真机测量：对存储受限主机上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作为对现象的阐释，本文将上述观察组织为经验规律"慢速层只读一次"：复用若落在数据能到达的最快层，每一更慢层的最小读取次数为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w:t>
      </w:r>
      <w:r>
        <w:rPr>
          <w:rFonts w:ascii="Consolas" w:hAnsi="Consolas"/>
          <w:color w:val="000080"/>
          <w:sz w:val="18"/>
        </w:rPr>
        <w:t>reports/gateab_ab/v58_mix/ratios.txt</w:t>
      </w:r>
      <w:r>
        <w:rPr>
          <w:rFonts w:ascii="Times New Roman" w:hAnsi="Times New Roman" w:eastAsia="宋体"/>
          <w:b w:val="0"/>
          <w:sz w:val="18"/>
        </w:rPr>
        <w:t>），机制已定位为算术与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4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Byte-Level Acceptance Method over a Trivial Lower Bound</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The lower bound this paper uses on slow-tier reads follows immediately from the definition and from two explicit assumptions, with no hidden lemma; it is stated so that the criterion built on it can be checked line by line rather than taken as a result, and nothing else in the method depends on that bound being interesting.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