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在受内存约束的主机上，对 2.8T 参数 Kimi K3 混合专家（MoE）模型做冷启动推理，逐词元从字节层面跟踪数据搬运。现象是缓存命中率满格（CACHE HIT 100%），吞吐却上不去：每词元仍从低速盘全量重读专家权重 25.83 GB，占端到端耗时 94%；把专家迁至高速盘后命中率照样满格，字节台账显示每词元搬运量仍是 25.83 GB，一个字节未省——命中只换了介质。根因在于命中率统计的是"介质"、字节台账统计的是"字节"，两者是两本账。由此凝成一条经验规律"慢速层只读一次"：复用落在数据能到达的最快层时，更慢层的最小读取次数为 1 次且可达；迁移后专家段耗时 −37%，方向一致。据此给出以 distinct 集核算的字节下界作为验收判据，取代命中率白板；并指出字节达标并非终点，尚须核对该访问形态下的可达聚合带宽，因为算术与读取交替会使部分设备时间空转。另以 KV 缓存回放作对照，同一判据对两类负载给出相反结论，说明其依据是 distinct 集与驻留容量的实际关系，而非针对专家权重的特设。各项数字只对该实验成立。**</w:t>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的操作分析[12]及 Zahorjan 等的平衡作业界分析[13]证明，系统吞吐由服务需求（每词元每设备必须读取的字节量除以该设备可达带宽）最大的瓶颈设备决定，Amdahl 定律[14]是其在单一串行段下的退化形式。这些工作回答“复用值不值得做”，未回答“复用的实际发生位置是否已落位”。本文的原则补上后者：给出“复用应落在最快层”这一前提的可回查标尺。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1”，因此必须以字节计数对照使用；该下界进一步作为分层存储开发的预算线与验收判据（第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d，都必须依次经路径上各层读入。该公设排除了“不经某层也能上行”的实现（旁路、直接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2）：违规检出——低速层读数远超下界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验证二（推论 1 的可检验含义）：低速层读数随落位层上移而下降、趋向该下界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条并不矛盾：两种策略的差异本应只在容量不足、必须逐出时才显现，而该条件下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公式对照：瓶颈界预测的输出速度与真机实测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须先分流计价，计价后仍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收敛，与设备是否还有余量无关。分母必须换成效定实测的设备能力。以引擎的真实访问形态（同文件、O_DIRECT、主干顺序流与专家散乱流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盘在算术期间没有请求可发</w:t>
      </w:r>
      <w:r>
        <w:rPr>
          <w:rFonts w:ascii="Times New Roman" w:hAnsi="Times New Roman" w:eastAsia="宋体"/>
          <w:b w:val="0"/>
          <w:sz w:val="18"/>
        </w:rPr>
        <w:t xml:space="preserve">：每层读毕 → 计算 → 才读下一层，16 个 worker 有 40–49% 的时间停在 </w:t>
      </w:r>
      <w:r>
        <w:rPr>
          <w:rFonts w:ascii="Consolas" w:hAnsi="Consolas"/>
          <w:color w:val="000080"/>
          <w:sz w:val="18"/>
        </w:rPr>
        <w:t>cond_wait</w:t>
      </w:r>
      <w:r>
        <w:rPr>
          <w:rFonts w:ascii="Times New Roman" w:hAnsi="Times New Roman" w:eastAsia="宋体"/>
          <w:b w:val="0"/>
          <w:sz w:val="18"/>
        </w:rPr>
        <w:t>，而队列只积压 3%——不是排队等盘，是请求到达得太晚。</w:t>
      </w:r>
      <w:r>
        <w:rPr>
          <w:rFonts w:ascii="Times New Roman" w:hAnsi="Times New Roman" w:eastAsia="宋体"/>
          <w:b/>
          <w:sz w:val="18"/>
        </w:rPr>
        <w:t>这是算术与 I/O 的串行化，与字节数无关。</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【方法学限度，须一并记录】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为观测量作配置间对比，须在同一时段内交错配对重复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不得引用跨时段的绝对速率作对比。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预算线：先算“健康时各低速层应搬多少字节”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补充第三条口径】字节达标不等于复用落位完成，须加测串行化。</w:t>
      </w:r>
      <w:r>
        <w:rPr>
          <w:rFonts w:ascii="Times New Roman" w:hAnsi="Times New Roman" w:eastAsia="宋体"/>
          <w:b w:val="0"/>
          <w:sz w:val="18"/>
        </w:rPr>
        <w:t xml:space="preserve"> §4.6 在本平台的实测给出：字节分流计价后仍有 1.30–1.58 倍差距，且该差距经引擎内计数器定位为</w:t>
      </w:r>
      <w:r>
        <w:rPr>
          <w:rFonts w:ascii="Times New Roman" w:hAnsi="Times New Roman" w:eastAsia="宋体"/>
          <w:b/>
          <w:sz w:val="18"/>
        </w:rPr>
        <w:t>算术与 I/O 串行化</w:t>
      </w:r>
      <w:r>
        <w:rPr>
          <w:rFonts w:ascii="Times New Roman" w:hAnsi="Times New Roman" w:eastAsia="宋体"/>
          <w:b w:val="0"/>
          <w:sz w:val="18"/>
        </w:rPr>
        <w:t xml:space="preserve">——16 个 worker 有 40–49% 的墙钟停在 </w:t>
      </w:r>
      <w:r>
        <w:rPr>
          <w:rFonts w:ascii="Consolas" w:hAnsi="Consolas"/>
          <w:color w:val="000080"/>
          <w:sz w:val="18"/>
        </w:rPr>
        <w:t>cond_wait</w:t>
      </w:r>
      <w:r>
        <w:rPr>
          <w:rFonts w:ascii="Times New Roman" w:hAnsi="Times New Roman" w:eastAsia="宋体"/>
          <w:b w:val="0"/>
          <w:sz w:val="18"/>
        </w:rPr>
        <w:t>，而队列仅积压 3%，即盘在计算期间无请求可发。因此验收判据由两条并列：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差距方向与存在性不变，但幅度已可定量，代价是必须承认它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尤其不得据此声称"端到端可进入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关于"改进测量方法"这一步能走多远，须说明其上限。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倍"之外不得再给任何倍数。</w:t>
      </w:r>
    </w:p>
    <w:p>
      <w:pPr>
        <w:spacing w:after="40" w:line="276" w:lineRule="auto"/>
        <w:ind w:firstLine="360"/>
      </w:pPr>
      <w:r>
        <w:rPr>
          <w:rFonts w:ascii="Times New Roman" w:hAnsi="Times New Roman" w:eastAsia="宋体"/>
          <w:b w:val="0"/>
          <w:sz w:val="18"/>
        </w:rPr>
        <w:t>教训有三：其一，以两条流的速率差反推机制，须先排除并发度这一混淆项；其二，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一次合格不构成可复现，可复现须跨轮次验证。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算法能否免读</w:t>
      </w:r>
      <w:r>
        <w:rPr>
          <w:rFonts w:ascii="Times New Roman" w:hAnsi="Times New Roman" w:eastAsia="宋体"/>
          <w:b w:val="0"/>
          <w:sz w:val="18"/>
        </w:rPr>
        <w:t>：该数据项是否必须被读取；</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能否缓存复用</w:t>
      </w:r>
      <w:r>
        <w:rPr>
          <w:rFonts w:ascii="Times New Roman" w:hAnsi="Times New Roman" w:eastAsia="宋体"/>
          <w:b w:val="0"/>
          <w:sz w:val="18"/>
        </w:rPr>
        <w:t>：读取结果能否在最快层 M_k 驻留并被复用（即原则的在场条件）；</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落层位置</w:t>
      </w:r>
      <w:r>
        <w:rPr>
          <w:rFonts w:ascii="Times New Roman" w:hAnsi="Times New Roman" w:eastAsia="宋体"/>
          <w:b w:val="0"/>
          <w:sz w:val="18"/>
        </w:rPr>
        <w:t>：若必须从低速层读取，权重是否至少置于参与路径中更快的层；</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落层前压缩</w:t>
      </w:r>
      <w:r>
        <w:rPr>
          <w:rFonts w:ascii="Times New Roman" w:hAnsi="Times New Roman" w:eastAsia="宋体"/>
          <w:b w:val="0"/>
          <w:sz w:val="18"/>
        </w:rPr>
        <w:t>：能否先压缩再落层，减少届时必须搬动的字节。</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的读法也须修正：实测÷公式在单流顺序档为 1.00（公式即定律），在多流或随机档升至 1.39-3.11，须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2026-09-28 分相位实测的出处与复现、观测口径。依《计算机科学》投稿须知第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Moving the experts to a faster tier cut expert-stage time by about 37%, consistent with the principle. A per-phase timeline measurement (2026-09-28)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作者简介与稿件信息（《计算机科学》投稿须知第 12 条：作者简介须注明是否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否。第一作者非中国计算机学会会员，稿件按非会员标准计版面费，不适用 8.5 折优惠。</w:t>
      </w:r>
    </w:p>
    <w:p>
      <w:pPr>
        <w:spacing w:after="60" w:before="120" w:line="240" w:lineRule="auto"/>
      </w:pPr>
      <w:r>
        <w:rPr>
          <w:rFonts w:ascii="Times New Roman" w:hAnsi="Times New Roman" w:eastAsia="黑体"/>
          <w:b w:val="0"/>
          <w:sz w:val="21"/>
        </w:rPr>
        <w:t>自校负责人（《计算机科学》投稿须知第 14 条：编辑部返回一校样 PDF 供自校，须在稿件末尾注明）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