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先说清读者能拿走什么、拿不走什么。能拿走的是三件可复用的东西，不是一条提速配方：一把以字节为口径的标尺（第 3、5 章），使"低速层读次数是否落位"成为可验收的判断；一份四步排查次序（5.3），每步标明读哪个计数器、什么算通过；一条与负载无关的仪表规程（5.6），因为判据本身以计数器为输入。拿不走的是速度收益。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：凡派生量必与一个独立的量交叉校验，并在报告中同屏打印；本轮六个曾产生错误结论的计数器字段全部由此发现，成因均属"探针的失败方式与真实故障同长，而探针不自检"。</w:t>
      </w:r>
      <w:r>
        <w:rPr>
          <w:rFonts w:ascii="Times New Roman" w:hAnsi="Times New Roman" w:eastAsia="宋体"/>
          <w:b/>
          <w:sz w:val="18"/>
        </w:rPr>
        <w:t>该规程不依赖本文的模型、介质或判据</w:t>
      </w:r>
      <w:r>
        <w:rPr>
          <w:rFonts w:ascii="Times New Roman" w:hAnsi="Times New Roman" w:eastAsia="宋体"/>
          <w:b w:val="0"/>
          <w:sz w:val="18"/>
        </w:rPr>
        <w:t>，适用于任何以派生量验收的 I/O 路径，是上述判据得以成立的前提而非附属。</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案例演示：按四条判据走一遍</w:t>
      </w:r>
    </w:p>
    <w:p>
      <w:pPr>
        <w:spacing w:after="40" w:line="276" w:lineRule="auto"/>
        <w:ind w:firstLine="360"/>
      </w:pPr>
      <w:r>
        <w:rPr>
          <w:rFonts w:ascii="Times New Roman" w:hAnsi="Times New Roman" w:eastAsia="宋体"/>
          <w:b w:val="0"/>
          <w:sz w:val="18"/>
        </w:rPr>
        <w:t>本节不证明原则成立，只演示怎么用它。判据本身在 5.3，读者可先跳到那里看次序，再回来看这一节的数据怎么落进那四步。</w:t>
      </w:r>
    </w:p>
    <w:p>
      <w:pPr>
        <w:spacing w:after="40" w:line="276" w:lineRule="auto"/>
        <w:ind w:firstLine="360"/>
      </w:pPr>
      <w:r>
        <w:rPr>
          <w:rFonts w:ascii="Times New Roman" w:hAnsi="Times New Roman" w:eastAsia="宋体"/>
          <w:b w:val="0"/>
          <w:sz w:val="18"/>
        </w:rPr>
        <w:t>先给这次的字节账（表 1）。引擎每词元从低速盘全量重读专家权重 25.83 GB，实测与理论载入逐字节吻合（92 层 × 16 专家 × 单专家 17.55 MB）。</w:t>
      </w:r>
    </w:p>
    <w:p>
      <w:pPr>
        <w:spacing w:before="80" w:after="20"/>
        <w:jc w:val="center"/>
      </w:pPr>
      <w:r>
        <w:rPr>
          <w:rFonts w:ascii="Times New Roman" w:hAnsi="Times New Roman" w:eastAsia="宋体"/>
          <w:b w:val="0"/>
          <w:sz w:val="15"/>
        </w:rPr>
        <w:t>表 1　专家段基准台账</w:t>
      </w:r>
    </w:p>
    <w:p>
      <w:pPr>
        <w:spacing w:before="80" w:after="20"/>
        <w:jc w:val="center"/>
      </w:pPr>
      <w:r>
        <w:rPr>
          <w:rFonts w:ascii="Times New Roman" w:hAnsi="Times New Roman" w:eastAsia="Times New Roman"/>
          <w:b w:val="0"/>
          <w:sz w:val="15"/>
        </w:rPr>
        <w:t>Table 1　Baseline ledger of the expert stage</w:t>
      </w:r>
    </w:p>
    <w:tbl>
      <w:tblPr>
        <w:tblStyle w:val="TableGrid"/>
        <w:tblW w:type="auto" w:w="0"/>
        <w:tblLook w:firstColumn="1" w:firstRow="1" w:lastColumn="0" w:lastRow="0" w:noHBand="0" w:noVBand="1" w:val="04A0"/>
        <w:tblLayout w:type="fixed"/>
      </w:tblPr>
      <w:tblGrid>
        <w:gridCol w:w="2498"/>
        <w:gridCol w:w="2377"/>
      </w:tblGrid>
      <w:tr>
        <w:tc>
          <w:tcPr>
            <w:tcW w:type="dxa" w:w="2498"/>
          </w:tcPr>
          <w:p>
            <w:pPr>
              <w:spacing w:after="0" w:before="0" w:line="240" w:lineRule="auto"/>
            </w:pPr>
            <w:r/>
            <w:r>
              <w:rPr>
                <w:rFonts w:ascii="Times New Roman" w:hAnsi="Times New Roman" w:eastAsia="黑体"/>
                <w:b/>
                <w:sz w:val="16"/>
              </w:rPr>
              <w:t>指标</w:t>
            </w:r>
          </w:p>
        </w:tc>
        <w:tc>
          <w:tcPr>
            <w:tcW w:type="dxa" w:w="2377"/>
          </w:tcPr>
          <w:p>
            <w:pPr>
              <w:spacing w:after="0" w:before="0" w:line="240" w:lineRule="auto"/>
            </w:pPr>
            <w:r/>
            <w:r>
              <w:rPr>
                <w:rFonts w:ascii="Times New Roman" w:hAnsi="Times New Roman" w:eastAsia="黑体"/>
                <w:b/>
                <w:sz w:val="16"/>
              </w:rPr>
              <w:t>数值</w:t>
            </w:r>
          </w:p>
        </w:tc>
      </w:tr>
      <w:tr>
        <w:tc>
          <w:tcPr>
            <w:tcW w:type="dxa" w:w="2498"/>
          </w:tcPr>
          <w:p>
            <w:pPr>
              <w:spacing w:after="0" w:before="0" w:line="240" w:lineRule="auto"/>
            </w:pPr>
            <w:r/>
            <w:r>
              <w:rPr>
                <w:rFonts w:ascii="Times New Roman" w:hAnsi="Times New Roman" w:eastAsia="宋体"/>
                <w:b w:val="0"/>
                <w:sz w:val="15"/>
              </w:rPr>
              <w:t>理论载入/词元</w:t>
            </w:r>
          </w:p>
        </w:tc>
        <w:tc>
          <w:tcPr>
            <w:tcW w:type="dxa" w:w="2377"/>
          </w:tcPr>
          <w:p>
            <w:pPr>
              <w:spacing w:after="0" w:before="0" w:line="240" w:lineRule="auto"/>
            </w:pPr>
            <w:r/>
            <w:r>
              <w:rPr>
                <w:rFonts w:ascii="Times New Roman" w:hAnsi="Times New Roman" w:eastAsia="宋体"/>
                <w:b w:val="0"/>
                <w:sz w:val="15"/>
              </w:rPr>
              <w:t>25.83 GB</w:t>
            </w:r>
          </w:p>
        </w:tc>
      </w:tr>
      <w:tr>
        <w:tc>
          <w:tcPr>
            <w:tcW w:type="dxa" w:w="2498"/>
          </w:tcPr>
          <w:p>
            <w:pPr>
              <w:spacing w:after="0" w:before="0" w:line="240" w:lineRule="auto"/>
            </w:pPr>
            <w:r/>
            <w:r>
              <w:rPr>
                <w:rFonts w:ascii="Times New Roman" w:hAnsi="Times New Roman" w:eastAsia="宋体"/>
                <w:b w:val="0"/>
                <w:sz w:val="15"/>
              </w:rPr>
              <w:t>实测 READ/词元</w:t>
            </w:r>
          </w:p>
        </w:tc>
        <w:tc>
          <w:tcPr>
            <w:tcW w:type="dxa" w:w="2377"/>
          </w:tcPr>
          <w:p>
            <w:pPr>
              <w:spacing w:after="0" w:before="0" w:line="240" w:lineRule="auto"/>
            </w:pPr>
            <w:r/>
            <w:r>
              <w:rPr>
                <w:rFonts w:ascii="Times New Roman" w:hAnsi="Times New Roman" w:eastAsia="宋体"/>
                <w:b w:val="0"/>
                <w:sz w:val="15"/>
              </w:rPr>
              <w:t>25.83 GB</w:t>
            </w:r>
          </w:p>
        </w:tc>
      </w:tr>
      <w:tr>
        <w:tc>
          <w:tcPr>
            <w:tcW w:type="dxa" w:w="2498"/>
          </w:tcPr>
          <w:p>
            <w:pPr>
              <w:spacing w:after="0" w:before="0" w:line="240" w:lineRule="auto"/>
            </w:pPr>
            <w:r/>
            <w:r>
              <w:rPr>
                <w:rFonts w:ascii="Times New Roman" w:hAnsi="Times New Roman" w:eastAsia="宋体"/>
                <w:b w:val="0"/>
                <w:sz w:val="15"/>
              </w:rPr>
              <w:t>专家段耗时</w:t>
            </w:r>
          </w:p>
        </w:tc>
        <w:tc>
          <w:tcPr>
            <w:tcW w:type="dxa" w:w="2377"/>
          </w:tcPr>
          <w:p>
            <w:pPr>
              <w:spacing w:after="0" w:before="0" w:line="240" w:lineRule="auto"/>
            </w:pPr>
            <w:r/>
            <w:r>
              <w:rPr>
                <w:rFonts w:ascii="Times New Roman" w:hAnsi="Times New Roman" w:eastAsia="宋体"/>
                <w:b w:val="0"/>
                <w:sz w:val="15"/>
              </w:rPr>
              <w:t>303.58 s/词元</w:t>
            </w:r>
          </w:p>
        </w:tc>
      </w:tr>
      <w:tr>
        <w:tc>
          <w:tcPr>
            <w:tcW w:type="dxa" w:w="2498"/>
          </w:tcPr>
          <w:p>
            <w:pPr>
              <w:spacing w:after="0" w:before="0" w:line="240" w:lineRule="auto"/>
            </w:pPr>
            <w:r/>
            <w:r>
              <w:rPr>
                <w:rFonts w:ascii="Times New Roman" w:hAnsi="Times New Roman" w:eastAsia="宋体"/>
                <w:b w:val="0"/>
                <w:sz w:val="15"/>
              </w:rPr>
              <w:t>占端到端</w:t>
            </w:r>
          </w:p>
        </w:tc>
        <w:tc>
          <w:tcPr>
            <w:tcW w:type="dxa" w:w="2377"/>
          </w:tcPr>
          <w:p>
            <w:pPr>
              <w:spacing w:after="0" w:before="0" w:line="240" w:lineRule="auto"/>
            </w:pPr>
            <w:r/>
            <w:r>
              <w:rPr>
                <w:rFonts w:ascii="Times New Roman" w:hAnsi="Times New Roman" w:eastAsia="宋体"/>
                <w:b w:val="0"/>
                <w:sz w:val="15"/>
              </w:rPr>
              <w:t>94%</w:t>
            </w:r>
          </w:p>
        </w:tc>
      </w:tr>
    </w:tbl>
    <w:p>
      <w:pPr>
        <w:spacing w:after="40" w:line="276" w:lineRule="auto"/>
        <w:ind w:firstLine="360"/>
      </w:pPr>
      <w:r>
        <w:rPr>
          <w:rFonts w:ascii="Times New Roman" w:hAnsi="Times New Roman" w:eastAsia="宋体"/>
          <w:b/>
          <w:sz w:val="18"/>
        </w:rPr>
        <w:t>第 1 步　算法能否免读。</w:t>
      </w:r>
      <w:r>
        <w:rPr>
          <w:rFonts w:ascii="Times New Roman" w:hAnsi="Times New Roman" w:eastAsia="宋体"/>
          <w:b w:val="0"/>
          <w:sz w:val="18"/>
        </w:rPr>
        <w:t xml:space="preserve"> 专家权重每次都要读，没有算法级免读空间。通过。</w:t>
      </w:r>
    </w:p>
    <w:p>
      <w:pPr>
        <w:spacing w:after="40" w:line="276" w:lineRule="auto"/>
        <w:ind w:firstLine="360"/>
      </w:pPr>
      <w:r>
        <w:rPr>
          <w:rFonts w:ascii="Times New Roman" w:hAnsi="Times New Roman" w:eastAsia="宋体"/>
          <w:b/>
          <w:sz w:val="18"/>
        </w:rPr>
        <w:t>第 2 步　能否缓存复用。</w:t>
      </w:r>
      <w:r>
        <w:rPr>
          <w:rFonts w:ascii="Times New Roman" w:hAnsi="Times New Roman" w:eastAsia="宋体"/>
          <w:b w:val="0"/>
          <w:sz w:val="18"/>
        </w:rPr>
        <w:t xml:space="preserve"> 把专家全部 distinct 集驻留到高速盘后，引擎自报 CACHE HIT 100%。但逐层 READ 字节没有下降：每词元仍是 25.83 GB，一个字节未省。</w:t>
      </w:r>
      <w:r>
        <w:rPr>
          <w:rFonts w:ascii="Times New Roman" w:hAnsi="Times New Roman" w:eastAsia="宋体"/>
          <w:b/>
          <w:sz w:val="18"/>
        </w:rPr>
        <w:t>命中只换了介质。</w:t>
      </w:r>
      <w:r>
        <w:rPr>
          <w:rFonts w:ascii="Times New Roman" w:hAnsi="Times New Roman" w:eastAsia="宋体"/>
          <w:b w:val="0"/>
          <w:sz w:val="18"/>
        </w:rPr>
        <w:t xml:space="preserve"> 这一步不通过。</w:t>
      </w:r>
    </w:p>
    <w:p>
      <w:pPr>
        <w:spacing w:after="40" w:line="276" w:lineRule="auto"/>
        <w:ind w:firstLine="360"/>
      </w:pPr>
      <w:r>
        <w:rPr>
          <w:rFonts w:ascii="Times New Roman" w:hAnsi="Times New Roman" w:eastAsia="宋体"/>
          <w:b/>
          <w:sz w:val="18"/>
        </w:rPr>
        <w:t>第 3 步　落层位置。</w:t>
      </w:r>
      <w:r>
        <w:rPr>
          <w:rFonts w:ascii="Times New Roman" w:hAnsi="Times New Roman" w:eastAsia="宋体"/>
          <w:b w:val="0"/>
          <w:sz w:val="18"/>
        </w:rPr>
        <w:t xml:space="preserve"> 推论 2 说低速层读数远超下界即"复用未落位"。这里需要粒度换算：下界 1 是"每会话每项恰读一次"，而实测是每词元全量重读，随会话长度线性增长，远超下界。这一步不通过。</w:t>
      </w:r>
    </w:p>
    <w:p>
      <w:pPr>
        <w:spacing w:after="40" w:line="276" w:lineRule="auto"/>
        <w:ind w:firstLine="360"/>
      </w:pPr>
      <w:r>
        <w:rPr>
          <w:rFonts w:ascii="Times New Roman" w:hAnsi="Times New Roman" w:eastAsia="宋体"/>
          <w:b/>
          <w:sz w:val="18"/>
        </w:rPr>
        <w:t>第 4 步　落层前压缩。</w:t>
      </w:r>
      <w:r>
        <w:rPr>
          <w:rFonts w:ascii="Times New Roman" w:hAnsi="Times New Roman" w:eastAsia="宋体"/>
          <w:b w:val="0"/>
          <w:sz w:val="18"/>
        </w:rPr>
        <w:t xml:space="preserve"> BF8 可把权重压到约四分之一，本文未用；它不改变前三步的判定，故不是本例的主要矛盾。</w:t>
      </w:r>
    </w:p>
    <w:p>
      <w:pPr>
        <w:spacing w:after="40" w:line="276" w:lineRule="auto"/>
        <w:ind w:firstLine="360"/>
      </w:pPr>
      <w:r>
        <w:rPr>
          <w:rFonts w:ascii="Times New Roman" w:hAnsi="Times New Roman" w:eastAsia="宋体"/>
          <w:b/>
          <w:sz w:val="18"/>
        </w:rPr>
        <w:t>四步行完，结论是：复用没有落在数据能到达的最快层，问题在资源配置，不在算法。</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图（bytes_paradox）</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最后一步的坑在这里。</w:t>
      </w:r>
      <w:r>
        <w:rPr>
          <w:rFonts w:ascii="Times New Roman" w:hAnsi="Times New Roman" w:eastAsia="宋体"/>
          <w:b w:val="0"/>
          <w:sz w:val="18"/>
        </w:rPr>
        <w:t xml:space="preserve"> 图 1 中，在总内存相同的两种分配下，读取专家字节更多的那一档（25.83 GB，命中率 0.0%）反而比读取更少的那一档（14.46 GB，命中率 44.02%）快 69%。</w:t>
      </w:r>
      <w:r>
        <w:rPr>
          <w:rFonts w:ascii="Times New Roman" w:hAnsi="Times New Roman" w:eastAsia="宋体"/>
          <w:b/>
          <w:sz w:val="18"/>
        </w:rPr>
        <w:t>若按命中率这一单一口径调优，会主动走向更慢的配置</w:t>
      </w:r>
      <w:r>
        <w:rPr>
          <w:rFonts w:ascii="Times New Roman" w:hAnsi="Times New Roman" w:eastAsia="宋体"/>
          <w:b w:val="0"/>
          <w:sz w:val="18"/>
        </w:rPr>
        <w:t>——命中率最高的那一档，在字节层面恰恰是最差的。</w:t>
      </w:r>
      <w:r>
        <w:rPr>
          <w:rFonts w:ascii="Times New Roman" w:hAnsi="Times New Roman" w:eastAsia="宋体"/>
          <w:b/>
          <w:sz w:val="18"/>
        </w:rPr>
        <w:t>这就是 5.2 要双口径对照的直接来源。</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4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（第三次口径补充，归因经第四次修正判定）字节达标不等于复用落位完成，加测串行化。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3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成因都是"探针的失败方式与真实故障同长，而探针不自检"。举两个例子：一是把两个语义不同的量相减，快照差混进了窗口期内其他线程的读，分子与分母于是不描述同一批读；二是把 600 MB 顺序请求与 17.5 MB 散乱请求取平均。六个当中没有一个是自己暴露的，全部是与另一个独立的量对账才显形的。</w:t>
      </w:r>
    </w:p>
    <w:p>
      <w:pPr>
        <w:spacing w:after="40" w:line="276" w:lineRule="auto"/>
        <w:ind w:firstLine="360"/>
      </w:pPr>
      <w:r>
        <w:rPr>
          <w:rFonts w:ascii="Times New Roman" w:hAnsi="Times New Roman" w:eastAsia="宋体"/>
          <w:b w:val="0"/>
          <w:sz w:val="18"/>
        </w:rPr>
        <w:t>由此得出一条与负载无关的规程，它是判据成立的前提：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val="0"/>
          <w:sz w:val="18"/>
        </w:rPr>
        <w:t xml:space="preserve">「同屏打印」不是排版偏好，而是发现机制。一次运行中 </w:t>
      </w:r>
      <w:r>
        <w:rPr>
          <w:rFonts w:ascii="Consolas" w:hAnsi="Consolas"/>
          <w:color w:val="000080"/>
          <w:sz w:val="18"/>
        </w:rPr>
        <w:t>hit_wall</w:t>
      </w:r>
      <w:r>
        <w:rPr>
          <w:rFonts w:ascii="Times New Roman" w:hAnsi="Times New Roman" w:eastAsia="宋体"/>
          <w:b w:val="0"/>
          <w:sz w:val="18"/>
        </w:rPr>
        <w:t xml:space="preserve"> 报 0.00 s，而同一份日志里紧挨着它的 </w:t>
      </w:r>
      <w:r>
        <w:rPr>
          <w:rFonts w:ascii="Consolas" w:hAnsi="Consolas"/>
          <w:color w:val="000080"/>
          <w:sz w:val="18"/>
        </w:rPr>
        <w:t>pread_seconds</w:t>
      </w:r>
      <w:r>
        <w:rPr>
          <w:rFonts w:ascii="Times New Roman" w:hAnsi="Times New Roman" w:eastAsia="宋体"/>
          <w:b w:val="0"/>
          <w:sz w:val="18"/>
        </w:rPr>
        <w:t xml:space="preserve"> 是 1742.60 s，两数一望即知有误。反过来，把量分散在不同章节或不同输出里，它们就不会被对照，也就不会被发现。本轮若有若干字段当初未与邻居同屏，很可能至今仍在使用。</w:t>
      </w:r>
    </w:p>
    <w:p>
      <w:pPr>
        <w:spacing w:after="40" w:line="276" w:lineRule="auto"/>
        <w:ind w:firstLine="360"/>
      </w:pPr>
      <w:r>
        <w:rPr>
          <w:rFonts w:ascii="Times New Roman" w:hAnsi="Times New Roman" w:eastAsia="宋体"/>
          <w:b w:val="0"/>
          <w:sz w:val="18"/>
        </w:rPr>
        <w:t>该规程不依赖本文的模型、介质或判据，任何以派生量验收的 I/O 路径都用得上，成本只是报告中多打印几个已有变量。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作为对现象的阐释，本文将上述观察组织为经验规律"慢速层只读一次"：复用若落在数据能到达的最快层，每一更慢层的最小读取次数为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4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