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缓存高命中与词元低输出：一个平凡下界的字节级验收方法</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慢速层读取次数的下界由定义与两条显式假设直接导出，不含隐藏引理；把它讲出来是为了让判据可以被逐行核对，而不是把它当作结果。方法的其余部分与该界是否平凡无关。某系统缓存命中率已满格（CACHE HIT 100%）而端到端吞吐上不去，此处以逐词元字节台账回答此类问题。现象是每词元仍从低速盘全量重读专家权重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本文给出三件可复用的东西：一把以字节为口径的标尺（第 3、5 章），使"低速层读次数是否落位"成为可验收的判断；一份四步排查次序（5.3），每步标明读哪个计数器、什么算通过；一条与负载无关的仪表规程（5.6），因为判据本身以计数器为输入。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一条与模型无关的仪表规程及其六个失效实例（§5.6）</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。该规程是前三项得以成立的前提，而非附属——判据依赖计数器，而计数器能否被信任只能靠校验，不能靠信任。</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局部性原理给出的是复用的动机：数据被访问多次，因此值得让它留在能取到的地方。它没有回答的是代价的边界——一个被复用 R 次的数据项，为了到达最快的那一层，必须先从更慢的层读进来多少次。次数的下界由参与路径直接决定，本文把这条守恒面写成可验收的形式，并说明其成立所依赖的假设、在何处失效、以及如何据以核对实测。。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：复用若发生在最快层，各低速层读取次数总和的最小值即“符合本文原则、刚好只读一次”；使该最小值达成的调度同时是低速层读取字节代价最小的调度。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的可检验含义是：更慢层的读数应随着“复用实际落位层”的上移而向下界（一次生成调用之内，每个 distinct 项刚好只读一次）单向趋近。本案例提供了两个可观测的落位档，加上一个由推论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GB）回落，高速盘档全程均值 6.7 GB、后 16 词元尾段仅约 1.7 GB（=27 GB/16 词元，出处见随稿附件 A.1），向"一次生成调用内每个 distinct 项刚好只读一次"收敛；复用的承担场所从更慢层迁移到更近的层。这正是推论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4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§5.6，本节数处归因修正正是走完这两步的结果。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3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前面各节用字节判据做了判定。本文要说明的是：那些判定能够成立，前提是计数器本身没有说谎——而这个前提不能靠信任，只能靠校验。</w:t>
      </w:r>
    </w:p>
    <w:p>
      <w:pPr>
        <w:spacing w:after="40" w:before="60" w:line="240" w:lineRule="auto"/>
      </w:pPr>
      <w:r>
        <w:rPr>
          <w:rFonts w:ascii="Times New Roman" w:hAnsi="Times New Roman" w:eastAsia="楷体"/>
          <w:b w:val="0"/>
          <w:sz w:val="18"/>
        </w:rPr>
        <w:t>5.6.1  六个错得一模一样</w:t>
      </w:r>
    </w:p>
    <w:p>
      <w:pPr>
        <w:spacing w:after="40" w:line="276" w:lineRule="auto"/>
        <w:ind w:firstLine="360"/>
      </w:pPr>
      <w:r>
        <w:rPr>
          <w:rFonts w:ascii="Times New Roman" w:hAnsi="Times New Roman" w:eastAsia="宋体"/>
          <w:b w:val="0"/>
          <w:sz w:val="18"/>
        </w:rPr>
        <w:t>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164"/>
        <w:gridCol w:w="1195"/>
        <w:gridCol w:w="1258"/>
        <w:gridCol w:w="1258"/>
      </w:tblGrid>
      <w:tr>
        <w:tc>
          <w:tcPr>
            <w:tcW w:type="dxa" w:w="1164"/>
          </w:tcPr>
          <w:p>
            <w:pPr>
              <w:spacing w:after="0" w:before="0" w:line="240" w:lineRule="auto"/>
            </w:pPr>
            <w:r/>
            <w:r>
              <w:rPr>
                <w:rFonts w:ascii="Times New Roman" w:hAnsi="Times New Roman" w:eastAsia="黑体"/>
                <w:b/>
                <w:sz w:val="16"/>
              </w:rPr>
              <w:t>字段</w:t>
            </w:r>
          </w:p>
        </w:tc>
        <w:tc>
          <w:tcPr>
            <w:tcW w:type="dxa" w:w="1195"/>
          </w:tcPr>
          <w:p>
            <w:pPr>
              <w:spacing w:after="0" w:before="0" w:line="240" w:lineRule="auto"/>
            </w:pPr>
            <w:r/>
            <w:r>
              <w:rPr>
                <w:rFonts w:ascii="Times New Roman" w:hAnsi="Times New Roman" w:eastAsia="黑体"/>
                <w:b/>
                <w:sz w:val="16"/>
              </w:rPr>
              <w:t>它报出来的</w:t>
            </w:r>
          </w:p>
        </w:tc>
        <w:tc>
          <w:tcPr>
            <w:tcW w:type="dxa" w:w="1258"/>
          </w:tcPr>
          <w:p>
            <w:pPr>
              <w:spacing w:after="0" w:before="0" w:line="240" w:lineRule="auto"/>
            </w:pPr>
            <w:r/>
            <w:r>
              <w:rPr>
                <w:rFonts w:ascii="Times New Roman" w:hAnsi="Times New Roman" w:eastAsia="黑体"/>
                <w:b/>
                <w:sz w:val="16"/>
              </w:rPr>
              <w:t>独立量报的</w:t>
            </w:r>
          </w:p>
        </w:tc>
        <w:tc>
          <w:tcPr>
            <w:tcW w:type="dxa" w:w="1258"/>
          </w:tcPr>
          <w:p>
            <w:pPr>
              <w:spacing w:after="0" w:before="0" w:line="240" w:lineRule="auto"/>
            </w:pPr>
            <w:r/>
            <w:r>
              <w:rPr>
                <w:rFonts w:ascii="Times New Roman" w:hAnsi="Times New Roman" w:eastAsia="黑体"/>
                <w:b/>
                <w:sz w:val="16"/>
              </w:rPr>
              <w:t>差</w:t>
            </w:r>
          </w:p>
        </w:tc>
      </w:tr>
      <w:tr>
        <w:tc>
          <w:tcPr>
            <w:tcW w:type="dxa" w:w="1164"/>
          </w:tcPr>
          <w:p>
            <w:pPr>
              <w:spacing w:after="0" w:before="0" w:line="240" w:lineRule="auto"/>
            </w:pPr>
            <w:r/>
            <w:r>
              <w:rPr>
                <w:rFonts w:ascii="Times New Roman" w:hAnsi="Times New Roman" w:eastAsia="宋体"/>
                <w:b w:val="0"/>
                <w:sz w:val="15"/>
              </w:rPr>
              <w:t>`stat_*` 系列</w:t>
            </w:r>
          </w:p>
        </w:tc>
        <w:tc>
          <w:tcPr>
            <w:tcW w:type="dxa" w:w="1195"/>
          </w:tcPr>
          <w:p>
            <w:pPr>
              <w:spacing w:after="0" w:before="0" w:line="240" w:lineRule="auto"/>
            </w:pPr>
            <w:r/>
            <w:r>
              <w:rPr>
                <w:rFonts w:ascii="Times New Roman" w:hAnsi="Times New Roman" w:eastAsia="宋体"/>
                <w:b w:val="0"/>
                <w:sz w:val="15"/>
              </w:rPr>
              <w:t>纳秒累加</w:t>
            </w:r>
          </w:p>
        </w:tc>
        <w:tc>
          <w:tcPr>
            <w:tcW w:type="dxa" w:w="1258"/>
          </w:tcPr>
          <w:p>
            <w:pPr>
              <w:spacing w:after="0" w:before="0" w:line="240" w:lineRule="auto"/>
            </w:pPr>
            <w:r/>
            <w:r>
              <w:rPr>
                <w:rFonts w:ascii="Times New Roman" w:hAnsi="Times New Roman" w:eastAsia="宋体"/>
                <w:b w:val="0"/>
                <w:sz w:val="15"/>
              </w:rPr>
              <w:t>与 worker 墙钟不守恒</w:t>
            </w:r>
          </w:p>
        </w:tc>
        <w:tc>
          <w:tcPr>
            <w:tcW w:type="dxa" w:w="1258"/>
          </w:tcPr>
          <w:p>
            <w:pPr>
              <w:spacing w:after="0" w:before="0" w:line="240" w:lineRule="auto"/>
            </w:pPr>
            <w:r/>
            <w:r>
              <w:rPr>
                <w:rFonts w:ascii="Times New Roman" w:hAnsi="Times New Roman" w:eastAsia="宋体"/>
                <w:b w:val="0"/>
                <w:sz w:val="15"/>
              </w:rPr>
              <w:t>数据竞争</w:t>
            </w:r>
          </w:p>
        </w:tc>
      </w:tr>
      <w:tr>
        <w:tc>
          <w:tcPr>
            <w:tcW w:type="dxa" w:w="1164"/>
          </w:tcPr>
          <w:p>
            <w:pPr>
              <w:spacing w:after="0" w:before="0" w:line="240" w:lineRule="auto"/>
            </w:pPr>
            <w:r/>
            <w:r>
              <w:rPr>
                <w:rFonts w:ascii="Times New Roman" w:hAnsi="Times New Roman" w:eastAsia="宋体"/>
                <w:b w:val="0"/>
                <w:sz w:val="15"/>
              </w:rPr>
              <w:t>`stat_idle_s`</w:t>
            </w:r>
          </w:p>
        </w:tc>
        <w:tc>
          <w:tcPr>
            <w:tcW w:type="dxa" w:w="1195"/>
          </w:tcPr>
          <w:p>
            <w:pPr>
              <w:spacing w:after="0" w:before="0" w:line="240" w:lineRule="auto"/>
            </w:pPr>
            <w:r/>
            <w:r>
              <w:rPr>
                <w:rFonts w:ascii="Times New Roman" w:hAnsi="Times New Roman" w:eastAsia="宋体"/>
                <w:b w:val="0"/>
                <w:sz w:val="15"/>
              </w:rPr>
              <w:t>只记"决定睡"的瞬间</w:t>
            </w:r>
          </w:p>
        </w:tc>
        <w:tc>
          <w:tcPr>
            <w:tcW w:type="dxa" w:w="1258"/>
          </w:tcPr>
          <w:p>
            <w:pPr>
              <w:spacing w:after="0" w:before="0" w:line="240" w:lineRule="auto"/>
            </w:pPr>
            <w:r/>
            <w:r>
              <w:rPr>
                <w:rFonts w:ascii="Times New Roman" w:hAnsi="Times New Roman" w:eastAsia="宋体"/>
                <w:b w:val="0"/>
                <w:sz w:val="15"/>
              </w:rPr>
              <w:t>worker 时间不守恒</w:t>
            </w:r>
          </w:p>
        </w:tc>
        <w:tc>
          <w:tcPr>
            <w:tcW w:type="dxa" w:w="1258"/>
          </w:tcPr>
          <w:p>
            <w:pPr>
              <w:spacing w:after="0" w:before="0" w:line="240" w:lineRule="auto"/>
            </w:pPr>
            <w:r/>
            <w:r>
              <w:rPr>
                <w:rFonts w:ascii="Times New Roman" w:hAnsi="Times New Roman" w:eastAsia="宋体"/>
                <w:b w:val="0"/>
                <w:sz w:val="15"/>
              </w:rPr>
              <w:t>语义不是时长</w:t>
            </w:r>
          </w:p>
        </w:tc>
      </w:tr>
      <w:tr>
        <w:tc>
          <w:tcPr>
            <w:tcW w:type="dxa" w:w="1164"/>
          </w:tcPr>
          <w:p>
            <w:pPr>
              <w:spacing w:after="0" w:before="0" w:line="240" w:lineRule="auto"/>
            </w:pPr>
            <w:r/>
            <w:r>
              <w:rPr>
                <w:rFonts w:ascii="Times New Roman" w:hAnsi="Times New Roman" w:eastAsia="宋体"/>
                <w:b w:val="0"/>
                <w:sz w:val="15"/>
              </w:rPr>
              <w:t>已交付字节</w:t>
            </w:r>
          </w:p>
        </w:tc>
        <w:tc>
          <w:tcPr>
            <w:tcW w:type="dxa" w:w="1195"/>
          </w:tcPr>
          <w:p>
            <w:pPr>
              <w:spacing w:after="0" w:before="0" w:line="240" w:lineRule="auto"/>
            </w:pPr>
            <w:r/>
            <w:r>
              <w:rPr>
                <w:rFonts w:ascii="Times New Roman" w:hAnsi="Times New Roman" w:eastAsia="宋体"/>
                <w:b w:val="0"/>
                <w:sz w:val="15"/>
              </w:rPr>
              <w:t>含失败与短读</w:t>
            </w:r>
          </w:p>
        </w:tc>
        <w:tc>
          <w:tcPr>
            <w:tcW w:type="dxa" w:w="1258"/>
          </w:tcPr>
          <w:p>
            <w:pPr>
              <w:spacing w:after="0" w:before="0" w:line="240" w:lineRule="auto"/>
            </w:pPr>
            <w:r/>
            <w:r>
              <w:rPr>
                <w:rFonts w:ascii="Times New Roman" w:hAnsi="Times New Roman" w:eastAsia="宋体"/>
                <w:b w:val="0"/>
                <w:sz w:val="15"/>
              </w:rPr>
              <w:t>与理论载入量不符</w:t>
            </w:r>
          </w:p>
        </w:tc>
        <w:tc>
          <w:tcPr>
            <w:tcW w:type="dxa" w:w="1258"/>
          </w:tcPr>
          <w:p>
            <w:pPr>
              <w:spacing w:after="0" w:before="0" w:line="240" w:lineRule="auto"/>
            </w:pPr>
            <w:r/>
            <w:r>
              <w:rPr>
                <w:rFonts w:ascii="Times New Roman" w:hAnsi="Times New Roman" w:eastAsia="宋体"/>
                <w:b w:val="0"/>
                <w:sz w:val="15"/>
              </w:rPr>
              <w:t>失败被计入</w:t>
            </w:r>
          </w:p>
        </w:tc>
      </w:tr>
      <w:tr>
        <w:tc>
          <w:tcPr>
            <w:tcW w:type="dxa" w:w="1164"/>
          </w:tcPr>
          <w:p>
            <w:pPr>
              <w:spacing w:after="0" w:before="0" w:line="240" w:lineRule="auto"/>
            </w:pPr>
            <w:r/>
            <w:r>
              <w:rPr>
                <w:rFonts w:ascii="Times New Roman" w:hAnsi="Times New Roman" w:eastAsia="宋体"/>
                <w:b w:val="0"/>
                <w:sz w:val="15"/>
              </w:rPr>
              <w:t>`device XXX MB/s`</w:t>
            </w:r>
          </w:p>
        </w:tc>
        <w:tc>
          <w:tcPr>
            <w:tcW w:type="dxa" w:w="1195"/>
          </w:tcPr>
          <w:p>
            <w:pPr>
              <w:spacing w:after="0" w:before="0" w:line="240" w:lineRule="auto"/>
            </w:pPr>
            <w:r/>
            <w:r>
              <w:rPr>
                <w:rFonts w:ascii="Times New Roman" w:hAnsi="Times New Roman" w:eastAsia="宋体"/>
                <w:b w:val="0"/>
                <w:sz w:val="15"/>
              </w:rPr>
              <w:t>每流速率</w:t>
            </w:r>
          </w:p>
        </w:tc>
        <w:tc>
          <w:tcPr>
            <w:tcW w:type="dxa" w:w="1258"/>
          </w:tcPr>
          <w:p>
            <w:pPr>
              <w:spacing w:after="0" w:before="0" w:line="240" w:lineRule="auto"/>
            </w:pPr>
            <w:r/>
            <w:r>
              <w:rPr>
                <w:rFonts w:ascii="Times New Roman" w:hAnsi="Times New Roman" w:eastAsia="宋体"/>
                <w:b w:val="0"/>
                <w:sz w:val="15"/>
              </w:rPr>
              <w:t>低于单流值</w:t>
            </w:r>
          </w:p>
        </w:tc>
        <w:tc>
          <w:tcPr>
            <w:tcW w:type="dxa" w:w="1258"/>
          </w:tcPr>
          <w:p>
            <w:pPr>
              <w:spacing w:after="0" w:before="0" w:line="240" w:lineRule="auto"/>
            </w:pPr>
            <w:r/>
            <w:r>
              <w:rPr>
                <w:rFonts w:ascii="Times New Roman" w:hAnsi="Times New Roman" w:eastAsia="宋体"/>
                <w:b w:val="0"/>
                <w:sz w:val="15"/>
              </w:rPr>
              <w:t>冒充设备上限</w:t>
            </w:r>
          </w:p>
        </w:tc>
      </w:tr>
      <w:tr>
        <w:tc>
          <w:tcPr>
            <w:tcW w:type="dxa" w:w="1164"/>
          </w:tcPr>
          <w:p>
            <w:pPr>
              <w:spacing w:after="0" w:before="0" w:line="240" w:lineRule="auto"/>
            </w:pPr>
            <w:r/>
            <w:r>
              <w:rPr>
                <w:rFonts w:ascii="Times New Roman" w:hAnsi="Times New Roman" w:eastAsia="宋体"/>
                <w:b w:val="0"/>
                <w:sz w:val="15"/>
              </w:rPr>
              <w:t>tier 级合计</w:t>
            </w:r>
          </w:p>
        </w:tc>
        <w:tc>
          <w:tcPr>
            <w:tcW w:type="dxa" w:w="1195"/>
          </w:tcPr>
          <w:p>
            <w:pPr>
              <w:spacing w:after="0" w:before="0" w:line="240" w:lineRule="auto"/>
            </w:pPr>
            <w:r/>
            <w:r>
              <w:rPr>
                <w:rFonts w:ascii="Times New Roman" w:hAnsi="Times New Roman" w:eastAsia="宋体"/>
                <w:b w:val="0"/>
                <w:sz w:val="15"/>
              </w:rPr>
              <w:t>单值</w:t>
            </w:r>
          </w:p>
        </w:tc>
        <w:tc>
          <w:tcPr>
            <w:tcW w:type="dxa" w:w="1258"/>
          </w:tcPr>
          <w:p>
            <w:pPr>
              <w:spacing w:after="0" w:before="0" w:line="240" w:lineRule="auto"/>
            </w:pPr>
            <w:r/>
            <w:r>
              <w:rPr>
                <w:rFonts w:ascii="Times New Roman" w:hAnsi="Times New Roman" w:eastAsia="宋体"/>
                <w:b w:val="0"/>
                <w:sz w:val="15"/>
              </w:rPr>
              <w:t>分组后差 20 倍</w:t>
            </w:r>
          </w:p>
        </w:tc>
        <w:tc>
          <w:tcPr>
            <w:tcW w:type="dxa" w:w="1258"/>
          </w:tcPr>
          <w:p>
            <w:pPr>
              <w:spacing w:after="0" w:before="0" w:line="240" w:lineRule="auto"/>
            </w:pPr>
            <w:r/>
            <w:r>
              <w:rPr>
                <w:rFonts w:ascii="Times New Roman" w:hAnsi="Times New Roman" w:eastAsia="宋体"/>
                <w:b w:val="0"/>
                <w:sz w:val="15"/>
              </w:rPr>
              <w:t>混合了两种形态</w:t>
            </w:r>
          </w:p>
        </w:tc>
      </w:tr>
      <w:tr>
        <w:tc>
          <w:tcPr>
            <w:tcW w:type="dxa" w:w="1164"/>
          </w:tcPr>
          <w:p>
            <w:pPr>
              <w:spacing w:after="0" w:before="0" w:line="240" w:lineRule="auto"/>
            </w:pPr>
            <w:r/>
            <w:r>
              <w:rPr>
                <w:rFonts w:ascii="Times New Roman" w:hAnsi="Times New Roman" w:eastAsia="宋体"/>
                <w:b w:val="0"/>
                <w:sz w:val="15"/>
              </w:rPr>
              <w:t>`hit_wall`</w:t>
            </w:r>
          </w:p>
        </w:tc>
        <w:tc>
          <w:tcPr>
            <w:tcW w:type="dxa" w:w="1195"/>
          </w:tcPr>
          <w:p>
            <w:pPr>
              <w:spacing w:after="0" w:before="0" w:line="240" w:lineRule="auto"/>
            </w:pPr>
            <w:r/>
            <w:r>
              <w:rPr>
                <w:rFonts w:ascii="Times New Roman" w:hAnsi="Times New Roman" w:eastAsia="宋体"/>
                <w:b w:val="0"/>
                <w:sz w:val="15"/>
              </w:rPr>
              <w:t>0.00 s</w:t>
            </w:r>
          </w:p>
        </w:tc>
        <w:tc>
          <w:tcPr>
            <w:tcW w:type="dxa" w:w="1258"/>
          </w:tcPr>
          <w:p>
            <w:pPr>
              <w:spacing w:after="0" w:before="0" w:line="240" w:lineRule="auto"/>
            </w:pPr>
            <w:r/>
            <w:r>
              <w:rPr>
                <w:rFonts w:ascii="Times New Roman" w:hAnsi="Times New Roman" w:eastAsia="宋体"/>
                <w:b w:val="0"/>
                <w:sz w:val="15"/>
              </w:rPr>
              <w:t>`pread` 1742.60 s</w:t>
            </w:r>
          </w:p>
        </w:tc>
        <w:tc>
          <w:tcPr>
            <w:tcW w:type="dxa" w:w="1258"/>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before="60" w:line="240" w:lineRule="auto"/>
      </w:pPr>
      <w:r>
        <w:rPr>
          <w:rFonts w:ascii="Times New Roman" w:hAnsi="Times New Roman" w:eastAsia="楷体"/>
          <w:b w:val="0"/>
          <w:sz w:val="18"/>
        </w:rPr>
        <w:t>5.6.2  最后一条的机制</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个线程各自累加自己的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p>
    <w:p>
      <w:pPr>
        <w:spacing w:after="40" w:line="276" w:lineRule="auto"/>
        <w:ind w:firstLine="360"/>
      </w:pPr>
      <w:r>
        <w:rPr>
          <w:rFonts w:ascii="Times New Roman" w:hAnsi="Times New Roman" w:eastAsia="宋体"/>
          <w:b w:val="0"/>
          <w:sz w:val="18"/>
        </w:rPr>
        <w:t>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before="60" w:line="240" w:lineRule="auto"/>
      </w:pPr>
      <w:r>
        <w:rPr>
          <w:rFonts w:ascii="Times New Roman" w:hAnsi="Times New Roman" w:eastAsia="楷体"/>
          <w:b w:val="0"/>
          <w:sz w:val="18"/>
        </w:rPr>
        <w:t>5.6.3  由此得到的规程</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tbl>
      <w:tblPr>
        <w:tblStyle w:val="TableGrid"/>
        <w:tblW w:type="auto" w:w="0"/>
        <w:tblLook w:firstColumn="1" w:firstRow="1" w:lastColumn="0" w:lastRow="0" w:noHBand="0" w:noVBand="1" w:val="04A0"/>
        <w:tblLayout w:type="fixed"/>
      </w:tblPr>
      <w:tblGrid>
        <w:gridCol w:w="1341"/>
        <w:gridCol w:w="3535"/>
      </w:tblGrid>
      <w:tr>
        <w:tc>
          <w:tcPr>
            <w:tcW w:type="dxa" w:w="1341"/>
          </w:tcPr>
          <w:p>
            <w:pPr>
              <w:spacing w:after="0" w:before="0" w:line="240" w:lineRule="auto"/>
            </w:pPr>
            <w:r/>
            <w:r>
              <w:rPr>
                <w:rFonts w:ascii="Times New Roman" w:hAnsi="Times New Roman" w:eastAsia="黑体"/>
                <w:b/>
                <w:sz w:val="16"/>
              </w:rPr>
              <w:t>派生量</w:t>
            </w:r>
          </w:p>
        </w:tc>
        <w:tc>
          <w:tcPr>
            <w:tcW w:type="dxa" w:w="3535"/>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w:t>
      </w:r>
    </w:p>
    <w:p>
      <w:pPr>
        <w:spacing w:after="40" w:line="276" w:lineRule="auto"/>
        <w:ind w:firstLine="360"/>
      </w:pPr>
      <w:r>
        <w:rPr>
          <w:rFonts w:ascii="Times New Roman" w:hAnsi="Times New Roman" w:eastAsia="宋体"/>
          <w:b w:val="0"/>
          <w:sz w:val="18"/>
        </w:rPr>
        <w:t>这条规程的代价只是报告里多打印几个已有变量。它与模型、介质、判据都无关，任何以派生量作验收的 I/O 路径都适用。</w:t>
      </w:r>
    </w:p>
    <w:p>
      <w:pPr>
        <w:spacing w:after="40" w:before="60" w:line="240" w:lineRule="auto"/>
      </w:pPr>
      <w:r>
        <w:rPr>
          <w:rFonts w:ascii="Times New Roman" w:hAnsi="Times New Roman" w:eastAsia="楷体"/>
          <w:b w:val="0"/>
          <w:sz w:val="18"/>
        </w:rPr>
        <w:t>5.6.4  它同时限定了本文结论的适用范围</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归零这件事发生在本文结论形成之后，</w:t>
      </w:r>
      <w:r>
        <w:rPr>
          <w:rFonts w:ascii="Consolas" w:hAnsi="Consolas"/>
          <w:color w:val="000080"/>
          <w:sz w:val="18"/>
        </w:rPr>
        <w:t>pred</w:t>
      </w:r>
      <w:r>
        <w:rPr>
          <w:rFonts w:ascii="Times New Roman" w:hAnsi="Times New Roman" w:eastAsia="宋体"/>
          <w:b w:val="0"/>
          <w:sz w:val="18"/>
        </w:rPr>
        <w:t xml:space="preserve"> 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本文各节的数字之所以可以逐行回查，是因为每个派生量旁边都印着它的校验对象——读者可以自行判断某个结论是数据的性质还是仪表的性质。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作为对现象的阐释，本文将上述观察组织为经验规律"慢速层只读一次"：复用若落在数据能到达的最快层，每一更慢层的最小读取次数为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4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