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先说清读者能拿走什么、拿不走什么。能拿走的是三件可复用的东西，不是一条提速配方：一把以字节为口径的标尺（第 3、5 章），使"低速层读次数是否落位"成为可验收的判断；一份四步排查次序（5.3），每步标明读哪个计数器、什么算通过；一条与负载无关的仪表规程（5.6），因为判据本身以计数器为输入。拿不走的是速度收益。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103607"/>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103607"/>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L1 策略</w:t>
            </w:r>
          </w:p>
        </w:tc>
        <w:tc>
          <w:tcPr>
            <w:tcW w:type="dxa" w:w="2523"/>
          </w:tcPr>
          <w:p>
            <w:pPr>
              <w:spacing w:after="0"/>
            </w:pPr>
            <w:r/>
            <w:r>
              <w:rPr>
                <w:rFonts w:ascii="Times New Roman" w:hAnsi="Times New Roman" w:eastAsia="黑体"/>
                <w:b/>
                <w:sz w:val="16"/>
              </w:rPr>
              <w:t>cache/GB</w:t>
            </w:r>
          </w:p>
        </w:tc>
        <w:tc>
          <w:tcPr>
            <w:tcW w:type="dxa" w:w="2523"/>
          </w:tcPr>
          <w:p>
            <w:pPr>
              <w:spacing w:after="0"/>
            </w:pPr>
            <w:r/>
            <w:r>
              <w:rPr>
                <w:rFonts w:ascii="Times New Roman" w:hAnsi="Times New Roman" w:eastAsia="黑体"/>
                <w:b/>
                <w:sz w:val="16"/>
              </w:rPr>
              <w:t>三轮实测（GB/词元）</w:t>
            </w:r>
          </w:p>
        </w:tc>
        <w:tc>
          <w:tcPr>
            <w:tcW w:type="dxa" w:w="2523"/>
          </w:tcPr>
          <w:p>
            <w:pPr>
              <w:spacing w:after="0"/>
            </w:pPr>
            <w:r/>
            <w:r>
              <w:rPr>
                <w:rFonts w:ascii="Times New Roman" w:hAnsi="Times New Roman" w:eastAsia="黑体"/>
                <w:b/>
                <w:sz w:val="16"/>
              </w:rPr>
              <w:t>中位</w:t>
            </w:r>
          </w:p>
        </w:tc>
      </w:tr>
      <w:tr>
        <w:tc>
          <w:tcPr>
            <w:tcW w:type="dxa" w:w="2523"/>
          </w:tcPr>
          <w:p>
            <w:pPr>
              <w:spacing w:after="0"/>
            </w:pPr>
            <w:r/>
            <w:r>
              <w:rPr>
                <w:rFonts w:ascii="Times New Roman" w:hAnsi="Times New Roman" w:eastAsia="宋体"/>
                <w:b w:val="0"/>
                <w:sz w:val="16"/>
              </w:rPr>
              <w:t>LRU</w:t>
            </w:r>
          </w:p>
        </w:tc>
        <w:tc>
          <w:tcPr>
            <w:tcW w:type="dxa" w:w="2523"/>
          </w:tcPr>
          <w:p>
            <w:pPr>
              <w:spacing w:after="0"/>
            </w:pPr>
            <w:r/>
            <w:r>
              <w:rPr>
                <w:rFonts w:ascii="Times New Roman" w:hAnsi="Times New Roman" w:eastAsia="宋体"/>
                <w:b w:val="0"/>
                <w:sz w:val="16"/>
              </w:rPr>
              <w:t>8</w:t>
            </w:r>
          </w:p>
        </w:tc>
        <w:tc>
          <w:tcPr>
            <w:tcW w:type="dxa" w:w="2523"/>
          </w:tcPr>
          <w:p>
            <w:pPr>
              <w:spacing w:after="0"/>
            </w:pPr>
            <w:r/>
            <w:r>
              <w:rPr>
                <w:rFonts w:ascii="Times New Roman" w:hAnsi="Times New Roman" w:eastAsia="宋体"/>
                <w:b w:val="0"/>
                <w:sz w:val="16"/>
              </w:rPr>
              <w:t>25.83 / 25.83 / 25.83</w:t>
            </w:r>
          </w:p>
        </w:tc>
        <w:tc>
          <w:tcPr>
            <w:tcW w:type="dxa" w:w="2523"/>
          </w:tcPr>
          <w:p>
            <w:pPr>
              <w:spacing w:after="0"/>
            </w:pPr>
            <w:r/>
            <w:r>
              <w:rPr>
                <w:rFonts w:ascii="Times New Roman" w:hAnsi="Times New Roman" w:eastAsia="宋体"/>
                <w:b w:val="0"/>
                <w:sz w:val="16"/>
              </w:rPr>
              <w:t>25.83</w:t>
            </w:r>
          </w:p>
        </w:tc>
      </w:tr>
      <w:tr>
        <w:tc>
          <w:tcPr>
            <w:tcW w:type="dxa" w:w="2523"/>
          </w:tcPr>
          <w:p>
            <w:pPr>
              <w:spacing w:after="0"/>
            </w:pPr>
            <w:r/>
            <w:r>
              <w:rPr>
                <w:rFonts w:ascii="Times New Roman" w:hAnsi="Times New Roman" w:eastAsia="宋体"/>
                <w:b w:val="0"/>
                <w:sz w:val="16"/>
              </w:rPr>
              <w:t>heat</w:t>
            </w:r>
          </w:p>
        </w:tc>
        <w:tc>
          <w:tcPr>
            <w:tcW w:type="dxa" w:w="2523"/>
          </w:tcPr>
          <w:p>
            <w:pPr>
              <w:spacing w:after="0"/>
            </w:pPr>
            <w:r/>
            <w:r>
              <w:rPr>
                <w:rFonts w:ascii="Times New Roman" w:hAnsi="Times New Roman" w:eastAsia="宋体"/>
                <w:b w:val="0"/>
                <w:sz w:val="16"/>
              </w:rPr>
              <w:t>8</w:t>
            </w:r>
          </w:p>
        </w:tc>
        <w:tc>
          <w:tcPr>
            <w:tcW w:type="dxa" w:w="2523"/>
          </w:tcPr>
          <w:p>
            <w:pPr>
              <w:spacing w:after="0"/>
            </w:pPr>
            <w:r/>
            <w:r>
              <w:rPr>
                <w:rFonts w:ascii="Times New Roman" w:hAnsi="Times New Roman" w:eastAsia="宋体"/>
                <w:b w:val="0"/>
                <w:sz w:val="16"/>
              </w:rPr>
              <w:t>25.50 / 25.50 / 25.50</w:t>
            </w:r>
          </w:p>
        </w:tc>
        <w:tc>
          <w:tcPr>
            <w:tcW w:type="dxa" w:w="2523"/>
          </w:tcPr>
          <w:p>
            <w:pPr>
              <w:spacing w:after="0"/>
            </w:pPr>
            <w:r/>
            <w:r>
              <w:rPr>
                <w:rFonts w:ascii="Times New Roman" w:hAnsi="Times New Roman" w:eastAsia="宋体"/>
                <w:b w:val="0"/>
                <w:sz w:val="16"/>
              </w:rPr>
              <w:t>25.50</w:t>
            </w:r>
          </w:p>
        </w:tc>
      </w:tr>
      <w:tr>
        <w:tc>
          <w:tcPr>
            <w:tcW w:type="dxa" w:w="2523"/>
          </w:tcPr>
          <w:p>
            <w:pPr>
              <w:spacing w:after="0"/>
            </w:pPr>
            <w:r/>
            <w:r>
              <w:rPr>
                <w:rFonts w:ascii="Times New Roman" w:hAnsi="Times New Roman" w:eastAsia="宋体"/>
                <w:b w:val="0"/>
                <w:sz w:val="16"/>
              </w:rPr>
              <w:t>LRU</w:t>
            </w:r>
          </w:p>
        </w:tc>
        <w:tc>
          <w:tcPr>
            <w:tcW w:type="dxa" w:w="2523"/>
          </w:tcPr>
          <w:p>
            <w:pPr>
              <w:spacing w:after="0"/>
            </w:pPr>
            <w:r/>
            <w:r>
              <w:rPr>
                <w:rFonts w:ascii="Times New Roman" w:hAnsi="Times New Roman" w:eastAsia="宋体"/>
                <w:b w:val="0"/>
                <w:sz w:val="16"/>
              </w:rPr>
              <w:t>15</w:t>
            </w:r>
          </w:p>
        </w:tc>
        <w:tc>
          <w:tcPr>
            <w:tcW w:type="dxa" w:w="2523"/>
          </w:tcPr>
          <w:p>
            <w:pPr>
              <w:spacing w:after="0"/>
            </w:pPr>
            <w:r/>
            <w:r>
              <w:rPr>
                <w:rFonts w:ascii="Times New Roman" w:hAnsi="Times New Roman" w:eastAsia="宋体"/>
                <w:b w:val="0"/>
                <w:sz w:val="16"/>
              </w:rPr>
              <w:t>25.83 / 25.83 / 25.83</w:t>
            </w:r>
          </w:p>
        </w:tc>
        <w:tc>
          <w:tcPr>
            <w:tcW w:type="dxa" w:w="2523"/>
          </w:tcPr>
          <w:p>
            <w:pPr>
              <w:spacing w:after="0"/>
            </w:pPr>
            <w:r/>
            <w:r>
              <w:rPr>
                <w:rFonts w:ascii="Times New Roman" w:hAnsi="Times New Roman" w:eastAsia="宋体"/>
                <w:b w:val="0"/>
                <w:sz w:val="16"/>
              </w:rPr>
              <w:t>25.83</w:t>
            </w:r>
          </w:p>
        </w:tc>
      </w:tr>
      <w:tr>
        <w:tc>
          <w:tcPr>
            <w:tcW w:type="dxa" w:w="2523"/>
          </w:tcPr>
          <w:p>
            <w:pPr>
              <w:spacing w:after="0"/>
            </w:pPr>
            <w:r/>
            <w:r>
              <w:rPr>
                <w:rFonts w:ascii="Times New Roman" w:hAnsi="Times New Roman" w:eastAsia="宋体"/>
                <w:b w:val="0"/>
                <w:sz w:val="16"/>
              </w:rPr>
              <w:t>heat</w:t>
            </w:r>
          </w:p>
        </w:tc>
        <w:tc>
          <w:tcPr>
            <w:tcW w:type="dxa" w:w="2523"/>
          </w:tcPr>
          <w:p>
            <w:pPr>
              <w:spacing w:after="0"/>
            </w:pPr>
            <w:r/>
            <w:r>
              <w:rPr>
                <w:rFonts w:ascii="Times New Roman" w:hAnsi="Times New Roman" w:eastAsia="宋体"/>
                <w:b w:val="0"/>
                <w:sz w:val="16"/>
              </w:rPr>
              <w:t>15</w:t>
            </w:r>
          </w:p>
        </w:tc>
        <w:tc>
          <w:tcPr>
            <w:tcW w:type="dxa" w:w="2523"/>
          </w:tcPr>
          <w:p>
            <w:pPr>
              <w:spacing w:after="0"/>
            </w:pPr>
            <w:r/>
            <w:r>
              <w:rPr>
                <w:rFonts w:ascii="Times New Roman" w:hAnsi="Times New Roman" w:eastAsia="宋体"/>
                <w:b w:val="0"/>
                <w:sz w:val="16"/>
              </w:rPr>
              <w:t>25.50 / 25.50 / 25.50</w:t>
            </w:r>
          </w:p>
        </w:tc>
        <w:tc>
          <w:tcPr>
            <w:tcW w:type="dxa" w:w="2523"/>
          </w:tcPr>
          <w:p>
            <w:pPr>
              <w:spacing w:after="0"/>
            </w:pPr>
            <w:r/>
            <w:r>
              <w:rPr>
                <w:rFonts w:ascii="Times New Roman" w:hAnsi="Times New Roman" w:eastAsia="宋体"/>
                <w:b w:val="0"/>
                <w:sz w:val="16"/>
              </w:rPr>
              <w:t>25.50</w:t>
            </w:r>
          </w:p>
        </w:tc>
      </w:tr>
    </w:tbl>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当日最优配置（首轮扫描）</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分相位实测（第二次，主干常驻档，n=3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w:t>
      </w:r>
      <w:r>
        <w:rPr>
          <w:rFonts w:ascii="Consolas" w:hAnsi="Consolas"/>
          <w:color w:val="000080"/>
          <w:sz w:val="18"/>
        </w:rPr>
        <w:t>16 ×（1 − 睡眠 40–49%）= 8.2–9.6</w:t>
      </w:r>
      <w:r>
        <w:rPr>
          <w:rFonts w:ascii="Times New Roman" w:hAnsi="Times New Roman" w:eastAsia="宋体"/>
          <w:b w:val="0"/>
          <w:sz w:val="18"/>
        </w:rPr>
        <w:t>，与实测 8.9–10.0× 同源。本机为 8 物理核 / 16 逻辑处理器，8 核 × 1.1–1.25 倍 SMT 增益亦落在同一区间，worker 数超过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受限，三条依据：饱和时运行队列等待应不小于在核时间（比值 ≳ 1），实测全部 ≤ 0.111；在核总量 1007.4 s ÷ 墙钟 314 s = 3.2 核 / 8 核，即 40% 占用；队列等待 52.7 s 占可用核时（314 × 8 s）的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（第三次口径补充，归因经第四次修正判定）字节达标不等于复用落位完成，加测串行化。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 xml:space="preserve">差距的方向与存在性不受测量口径影响，幅度则随口径变化：由上述三对配对测得 1.30–1.58 倍。以 buffered 读与错误单元尺寸得到的速率（1007 / 1058 / 1358 / 2926 MB/s）不满足与引擎同口径——其单元大小取 17600000，而引擎实际 </w:t>
      </w:r>
      <w:r>
        <w:rPr>
          <w:rFonts w:ascii="Consolas" w:hAnsi="Consolas"/>
          <w:color w:val="000080"/>
          <w:sz w:val="18"/>
        </w:rPr>
        <w:t>l2.slot_bytes</w:t>
      </w:r>
      <w:r>
        <w:rPr>
          <w:rFonts w:ascii="Times New Roman" w:hAnsi="Times New Roman" w:eastAsia="宋体"/>
          <w:b w:val="0"/>
          <w:sz w:val="18"/>
        </w:rPr>
        <w:t xml:space="preserve"> 为 17547264（引擎启动行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流），说明差距不是设备并发能力不足。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该规程不依赖本文的模型、介质或判据，任何以派生量验收的 I/O 路径都用得上，成本只是报告中多打印几个已有变量。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GB/词元），方向与该规律一致。首次逐相位实测（表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的读法也修正：实测÷公式在单流顺序档为 1.00（公式即定律），在多流或随机档升至 1.39-3.11，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