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本文给出三件可复用的东西：一把以字节为口径的标尺（第 3、5 章），使"低速层读次数是否落位"成为可验收的判断；一份四步排查次序（5.3），每步标明读哪个计数器、什么算通过；一条与负载无关的仪表规程（5.6），因为判据本身以计数器为输入。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该规程与本文的模型无关，是上述判据得以成立的前提。</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局部性原理给出的是复用的动机：数据被访问多次，因此值得让它留在能取到的地方。它没有回答的是代价的边界——一个被复用 R 次的数据项，为了到达最快的那一层，必须先从更慢的层读进来多少次。次数的下界由参与路径直接决定，本文把这条守恒面写成可验收的形式，并说明其成立所依赖的假设、在何处失效、以及如何据以核对实测。。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每会话 M_i 的最小读数</w:t>
      </w:r>
    </w:p>
    <w:p>
      <w:pPr>
        <w:spacing w:after="0"/>
        <w:ind w:left="170"/>
      </w:pPr>
      <w:r>
        <w:rPr>
          <w:rFonts w:ascii="Consolas" w:hAnsi="Consolas"/>
          <w:sz w:val="14"/>
        </w:rPr>
        <w:t>E_i = B_actual,i / B_i                     超读倍数，1 即已达下界</w:t>
      </w:r>
    </w:p>
    <w:p>
      <w:pPr>
        <w:spacing w:after="40" w:line="276" w:lineRule="auto"/>
        <w:ind w:firstLine="360"/>
      </w:pPr>
      <w:r>
        <w:rPr>
          <w:rFonts w:ascii="Times New Roman" w:hAnsi="Times New Roman" w:eastAsia="宋体"/>
          <w:b w:val="0"/>
          <w:sz w:val="18"/>
        </w:rPr>
        <w:t>其中 B_i 的构造即"每项恰读一次"。本文案例中专家 distinct 集约 176 GB/会话；阶段 A 基线每词元 25.83 GB，故 N 词元会话的 B_1 ≈ 25.83 × N GB，远超 B_1 =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（第三次口径补充，归因经第四次修正判定）字节达标不等于复用落位完成，加测串行化。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E_1。本例下界为每会话 distinct 集恰读一次（约 176 GB）；阶段 A 每词元全量重读 25.83 GB，N 词元会话的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该规程与模型无关，成本只是报告中多打印几个已有变量。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