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缓存命中率调至满格（CACHE HIT 100%），端到端吞吐仍达不到应有水平——这一现象出现在 Kimi K3（2.8T MoE）于存储受限主机上的冷启动推理中。按字节台账而非按命中率汇报，得到的是另一幅图景：每词元从低速盘全量重读专家权重 25.83 GB，占专家段端到端耗时的 94%；把专家权重迁至高速盘后，命中率仍是满格，每词元搬运量仍是 25.83 GB，一个字节未省。</w:t>
      </w:r>
      <w:r>
        <w:rPr>
          <w:rFonts w:ascii="Times New Roman" w:hAnsi="Times New Roman" w:eastAsia="宋体"/>
          <w:b/>
          <w:sz w:val="18"/>
        </w:rPr>
        <w:t>命中只换了介质，没有免掉字节。</w:t>
      </w:r>
      <w:r>
        <w:rPr>
          <w:rFonts w:ascii="Times New Roman" w:hAnsi="Times New Roman" w:eastAsia="宋体"/>
          <w:b w:val="0"/>
          <w:sz w:val="18"/>
        </w:rPr>
        <w:t>命中率统计的是介质命中与否，字节台账统计的是搬了多少字节——两者不是同一本账。</w:t>
      </w:r>
      <w:r>
        <w:rPr>
          <w:rFonts w:ascii="Times New Roman" w:hAnsi="Times New Roman" w:eastAsia="宋体"/>
          <w:b/>
          <w:sz w:val="18"/>
        </w:rPr>
        <w:t>据此给出以字节为口径的验收判据</w:t>
      </w:r>
      <w:r>
        <w:rPr>
          <w:rFonts w:ascii="Times New Roman" w:hAnsi="Times New Roman" w:eastAsia="宋体"/>
          <w:b w:val="0"/>
          <w:sz w:val="18"/>
        </w:rPr>
        <w:t>：按 distinct 集核算每层驻留预算，以低速层读数是否回落至下界判定复用是否落位，取代白板命中率；配套四条排查次序，每步标明读哪个计数器、什么算通过。判据以计数器为输入，而计数器会骗人，故另给一条与负载无关的规程：凡派生量必须与一个独立的量交叉校验，并在报告中与被校量同屏打印。本轮六个曾产生错误结论的计数器字段全部由此发现，失效方式互不相同，共同点是误差与真实故障同量级，因而不会自我报警。全部数字取自单一平台、单一冷启动时序。</w:t>
      </w:r>
      <w:r>
        <w:rPr>
          <w:rFonts w:ascii="Times New Roman" w:hAnsi="Times New Roman" w:eastAsia="宋体"/>
          <w:b/>
          <w:sz w:val="18"/>
        </w:rPr>
        <w:t>结论随字节台账成立，不随速度账成立</w:t>
      </w:r>
      <w:r>
        <w:rPr>
          <w:rFonts w:ascii="Times New Roman" w:hAnsi="Times New Roman" w:eastAsia="宋体"/>
          <w:b w:val="0"/>
          <w:sz w:val="18"/>
        </w:rPr>
        <w:t>：同一配置连续 30 次运行的字节量完全相同，输出速度跨度却达 80.8%。**</w:t>
      </w:r>
    </w:p>
    <w:p>
      <w:pPr>
        <w:spacing w:after="40" w:before="0" w:line="240" w:lineRule="auto"/>
      </w:pPr>
      <w:r>
        <w:rPr>
          <w:rFonts w:ascii="Times New Roman" w:hAnsi="Times New Roman" w:eastAsia="黑体"/>
          <w:b w:val="0"/>
          <w:sz w:val="18"/>
        </w:rPr>
        <w:t>关键词：** 存储层次；混合专家模型；缓存复用；字节下界；命中率与字节级台账分离；存储带宽受限推理**中图分类号：**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Cache hit rate at maximum (CACHE HIT 100%) while end-to-end throughput stays below its expected level — this is what Kimi K3 (2.8T MoE) does at cold start on a memory-constrained host. Accounting in bytes rather than in hit rate gives a different picture: 25.83 GB of expert weights are re-read in full from the slow disk per token, which is 94% of that stage's end-to-end time, and moving the experts to a fast disk leaves the hit rate at maximum and the byte count at 25.83 GB per token, not one byte saved. A hit changes the tier the bytes come from; it does not remove them. Hit rate counts whether the media were hit, a byte ledger counts how many bytes moved, and those are two different books. **From that follows an acceptance criterion stated in bytes**: budget each tier by its distinct set, judge whether reuse has landed by whether the slow-tier read falls to its bound, and drop the hit-rate dashboard. Four diagnostic steps come with it, each naming which counter to read and what counts as passing. The criterion takes counters as input, and counters lie, so a second rule follows, independent of the workload: every derived quantity must be cross-checked against an independent quantity and printed beside it. Six counter fields that produced wrong conclusions in this run were all found that way; their failures are unrelated to one another and share one property, that the error is the same size as the real fault and therefore never raises an alarm. All figures come from one platform and one cold-start sequence. **The conclusion holds on the byte account and not on the speed account**: across thirty identical runs the byte count is identical while the output speed spans 80.8%, which is why a throughput threshold of the order of ten percent cannot be used to accept or reject a change in this setting. Where the four steps all pass and a gap remains, the gap is not in the reuse layer, and the search moves to achievable aggregate bandwidth.</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Moonshot 开源的 Kimi K3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按这一前提优化缓存时出现了一个反常现象：在本平台（第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后续工作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白板命中率。标尺是慢速层只读一次原则（§3.1）：由定义与两条显式假设直接导出，不含隐藏引理，因而无需先核对文献即可使用，判据一旦成立，就固定了可以被逐行核对的原点。</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标尺所依据的原则值得先说清。设数据项 d 被复用 R≥1 次，其实际复用位置是 d 能到达的最快层 M_k（介质按访问代价排序的记号见 §3.1）。则对任意更慢速层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原则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原则讲“复用的底线”。</w:t>
      </w:r>
    </w:p>
    <w:p>
      <w:pPr>
        <w:spacing w:after="40" w:line="276" w:lineRule="auto"/>
        <w:ind w:firstLine="360"/>
      </w:pPr>
      <w:r>
        <w:rPr>
          <w:rFonts w:ascii="Times New Roman" w:hAnsi="Times New Roman" w:eastAsia="宋体"/>
          <w:b/>
          <w:sz w:val="18"/>
        </w:rPr>
        <w:t>判据能否成立，取决于两件与这条原则无关的事：计出来的数是否可信（§3.2），以及字节级台账与时间账为什么不能混用（第 4.6 节）。</w:t>
      </w:r>
      <w:r>
        <w:rPr>
          <w:rFonts w:ascii="Times New Roman" w:hAnsi="Times New Roman" w:eastAsia="宋体"/>
          <w:b w:val="0"/>
          <w:sz w:val="18"/>
        </w:rPr>
        <w:t xml:space="preserve"> 这两处都不是原则能回答的，本文的主要工作也在它们上面。</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集核算每层驻留预算，以“低速层读数回落至下界”作为复用是否落位的验收判据（取代白板命中率），并给出四步排查次序，每步标明读哪个计数器、什么算通过。判据不依赖模型、介质与工作负载。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Kimi K3（2.8T MoE）推理的冷启动，每词元从低速盘全量重读专家权重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慢速层只读一次原则及其证据（§3.1、§4）</w:t>
      </w:r>
      <w:r>
        <w:rPr>
          <w:rFonts w:ascii="Times New Roman" w:hAnsi="Times New Roman" w:eastAsia="宋体"/>
          <w:b w:val="0"/>
          <w:sz w:val="18"/>
        </w:rPr>
        <w:t>。设数据项 d 被复用 R 次、复用落在其能到达的最快层，则每一更慢速层的最小读取次数为 1，且该下界可达、达到它的调度同时使低速层读取字节代价最小。</w:t>
      </w:r>
      <w:r>
        <w:rPr>
          <w:rFonts w:ascii="Times New Roman" w:hAnsi="Times New Roman" w:eastAsia="宋体"/>
          <w:b/>
          <w:sz w:val="18"/>
        </w:rPr>
        <w:t>该原则由两条显式假设导出，不含隐藏引理，因而无需先核对文献即可使用</w:t>
      </w:r>
      <w:r>
        <w:rPr>
          <w:rFonts w:ascii="Times New Roman" w:hAnsi="Times New Roman" w:eastAsia="宋体"/>
          <w:b w:val="0"/>
          <w:sz w:val="18"/>
        </w:rPr>
        <w:t>：判据的验收标准由此可以被逐行回查，而回查是本篇其余工作的前提。</w:t>
      </w:r>
      <w:r>
        <w:rPr>
          <w:rFonts w:ascii="Times New Roman" w:hAnsi="Times New Roman" w:eastAsia="宋体"/>
          <w:b/>
          <w:sz w:val="18"/>
        </w:rPr>
        <w:t>第 4 章给出它的两类证据——字节层面的偏离（低速盘每词元全量重读 25.83 GB）与字节之外的第二个理由（慢速层同时收取字节代价与串行化代价，把数据上移到最快层可同时消除两者）。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慢速层只读一次原则：下界与可验证性</w:t>
      </w:r>
    </w:p>
    <w:p>
      <w:pPr>
        <w:spacing w:after="40" w:line="276" w:lineRule="auto"/>
        <w:ind w:firstLine="360"/>
      </w:pPr>
      <w:r>
        <w:rPr>
          <w:rFonts w:ascii="Times New Roman" w:hAnsi="Times New Roman" w:eastAsia="宋体"/>
          <w:b w:val="0"/>
          <w:sz w:val="18"/>
        </w:rPr>
        <w:t>全文的判据由两部分组成：一条原则，以及一个能让这条原则被逐行核对的测量规程。原则本身很短，第 4 章的全部结论都挂在它上面；真正需要展开的是后半部分——因为判据是否成立，最终取决于计出来的数是否可信。</w:t>
      </w:r>
    </w:p>
    <w:p>
      <w:pPr>
        <w:spacing w:after="40" w:before="80" w:line="240" w:lineRule="auto"/>
      </w:pPr>
      <w:r>
        <w:rPr>
          <w:rFonts w:ascii="Times New Roman" w:hAnsi="Times New Roman" w:eastAsia="黑体"/>
          <w:b w:val="0"/>
          <w:sz w:val="18"/>
        </w:rPr>
        <w:t>3.1  原则：慢速层只读一次</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sz w:val="18"/>
        </w:rPr>
        <w:t>原则</w:t>
      </w:r>
      <w:r>
        <w:rPr>
          <w:rFonts w:ascii="Times New Roman" w:hAnsi="Times New Roman" w:eastAsia="宋体"/>
          <w:b w:val="0"/>
          <w:sz w:val="18"/>
        </w:rPr>
        <w:t xml:space="preserve">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该原则的推导依赖两条显式假设：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由该原则直接得到两条推论。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1　六个曾产生错误结论的计数器字段</w:t>
      </w:r>
    </w:p>
    <w:p>
      <w:pPr>
        <w:spacing w:before="80" w:after="20"/>
        <w:jc w:val="center"/>
      </w:pPr>
      <w:r>
        <w:rPr>
          <w:rFonts w:ascii="Times New Roman" w:hAnsi="Times New Roman" w:eastAsia="Times New Roman"/>
          <w:b w:val="0"/>
          <w:sz w:val="15"/>
        </w:rPr>
        <w:t>Table 1　Six counter fields that produced wrong conclusions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50"/>
        <w:gridCol w:w="1242"/>
        <w:gridCol w:w="1242"/>
        <w:gridCol w:w="1242"/>
      </w:tblGrid>
      <w:tr>
        <w:tc>
          <w:tcPr>
            <w:tcW w:type="dxa" w:w="1150"/>
            <w:shd w:val="clear" w:fill="F2F2F2"/>
          </w:tcPr>
          <w:p>
            <w:pPr>
              <w:spacing w:after="0" w:before="0" w:line="240" w:lineRule="auto"/>
            </w:pPr>
            <w:r/>
            <w:r>
              <w:rPr>
                <w:rFonts w:ascii="Times New Roman" w:hAnsi="Times New Roman" w:eastAsia="黑体"/>
                <w:b/>
                <w:sz w:val="16"/>
              </w:rPr>
              <w:t>字段</w:t>
            </w:r>
          </w:p>
        </w:tc>
        <w:tc>
          <w:tcPr>
            <w:tcW w:type="dxa" w:w="1242"/>
            <w:shd w:val="clear" w:fill="F2F2F2"/>
          </w:tcPr>
          <w:p>
            <w:pPr>
              <w:spacing w:after="0" w:before="0" w:line="240" w:lineRule="auto"/>
            </w:pPr>
            <w:r/>
            <w:r>
              <w:rPr>
                <w:rFonts w:ascii="Times New Roman" w:hAnsi="Times New Roman" w:eastAsia="黑体"/>
                <w:b/>
                <w:sz w:val="16"/>
              </w:rPr>
              <w:t>它报出来的</w:t>
            </w:r>
          </w:p>
        </w:tc>
        <w:tc>
          <w:tcPr>
            <w:tcW w:type="dxa" w:w="1242"/>
            <w:shd w:val="clear" w:fill="F2F2F2"/>
          </w:tcPr>
          <w:p>
            <w:pPr>
              <w:spacing w:after="0" w:before="0" w:line="240" w:lineRule="auto"/>
            </w:pPr>
            <w:r/>
            <w:r>
              <w:rPr>
                <w:rFonts w:ascii="Times New Roman" w:hAnsi="Times New Roman" w:eastAsia="黑体"/>
                <w:b/>
                <w:sz w:val="16"/>
              </w:rPr>
              <w:t>独立量报的</w:t>
            </w:r>
          </w:p>
        </w:tc>
        <w:tc>
          <w:tcPr>
            <w:tcW w:type="dxa" w:w="1242"/>
            <w:shd w:val="clear" w:fill="F2F2F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before="80" w:after="20"/>
        <w:jc w:val="center"/>
      </w:pPr>
      <w:r>
        <w:rPr>
          <w:rFonts w:ascii="Times New Roman" w:hAnsi="Times New Roman" w:eastAsia="宋体"/>
          <w:b w:val="0"/>
          <w:sz w:val="15"/>
        </w:rPr>
        <w:t>表 2　派生量与其交叉校验对象</w:t>
      </w:r>
    </w:p>
    <w:p>
      <w:pPr>
        <w:spacing w:before="80" w:after="20"/>
        <w:jc w:val="center"/>
      </w:pPr>
      <w:r>
        <w:rPr>
          <w:rFonts w:ascii="Times New Roman" w:hAnsi="Times New Roman" w:eastAsia="Times New Roman"/>
          <w:b w:val="0"/>
          <w:sz w:val="15"/>
        </w:rPr>
        <w:t>Table 2　Derived quantities and their cross-check counterparts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341"/>
        <w:gridCol w:w="3535"/>
      </w:tblGrid>
      <w:tr>
        <w:tc>
          <w:tcPr>
            <w:tcW w:type="dxa" w:w="1341"/>
            <w:shd w:val="clear" w:fill="F2F2F2"/>
          </w:tcPr>
          <w:p>
            <w:pPr>
              <w:spacing w:after="0" w:before="0" w:line="240" w:lineRule="auto"/>
            </w:pPr>
            <w:r/>
            <w:r>
              <w:rPr>
                <w:rFonts w:ascii="Times New Roman" w:hAnsi="Times New Roman" w:eastAsia="黑体"/>
                <w:b/>
                <w:sz w:val="16"/>
              </w:rPr>
              <w:t>派生量</w:t>
            </w:r>
          </w:p>
        </w:tc>
        <w:tc>
          <w:tcPr>
            <w:tcW w:type="dxa" w:w="3535"/>
            <w:shd w:val="clear" w:fill="F2F2F2"/>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Moonshot 开源的 Kimi K3 混合专家模型[1]（2.8T 参数），在一台仅配系统内存（无片内/近存加速、需流式读权重）的存储受限主机上冷启动推理（引擎[9]）。存储层次的级联为：低速盘（源盘，近满）→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3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3　专家段基准台账（冷启动基线）</w:t>
      </w:r>
    </w:p>
    <w:p>
      <w:pPr>
        <w:spacing w:before="80" w:after="20"/>
        <w:jc w:val="center"/>
      </w:pPr>
      <w:r>
        <w:rPr>
          <w:rFonts w:ascii="Times New Roman" w:hAnsi="Times New Roman" w:eastAsia="Times New Roman"/>
          <w:b w:val="0"/>
          <w:sz w:val="15"/>
        </w:rPr>
        <w:t>Table 3　Baseline ledger of the expert stage (cold-start baseline)</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2247"/>
        <w:gridCol w:w="2629"/>
      </w:tblGrid>
      <w:tr>
        <w:tc>
          <w:tcPr>
            <w:tcW w:type="dxa" w:w="2247"/>
            <w:shd w:val="clear" w:fill="F2F2F2"/>
          </w:tcPr>
          <w:p>
            <w:pPr>
              <w:spacing w:after="0" w:before="0" w:line="240" w:lineRule="auto"/>
            </w:pPr>
            <w:r/>
            <w:r>
              <w:rPr>
                <w:rFonts w:ascii="Times New Roman" w:hAnsi="Times New Roman" w:eastAsia="黑体"/>
                <w:b/>
                <w:sz w:val="16"/>
              </w:rPr>
              <w:t>指标</w:t>
            </w:r>
          </w:p>
        </w:tc>
        <w:tc>
          <w:tcPr>
            <w:tcW w:type="dxa" w:w="2629"/>
            <w:shd w:val="clear" w:fill="F2F2F2"/>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的可检验含义是：更慢速层的读数应随着“复用实际落位层”的上移而向下界（一次生成调用之内，每个 distinct 项刚好只读一次）单向趋近。本案例提供了两个可观测的落位档，加上一个由推论 1 指向、未直接观测的目标档（表 4）。</w:t>
      </w:r>
    </w:p>
    <w:p>
      <w:pPr>
        <w:spacing w:before="80" w:after="20"/>
        <w:jc w:val="center"/>
      </w:pPr>
      <w:r>
        <w:rPr>
          <w:rFonts w:ascii="Times New Roman" w:hAnsi="Times New Roman" w:eastAsia="宋体"/>
          <w:b w:val="0"/>
          <w:sz w:val="15"/>
        </w:rPr>
        <w:t>表 4　落位层上移时各层字节读数（每词元）</w:t>
      </w:r>
    </w:p>
    <w:p>
      <w:pPr>
        <w:spacing w:before="80" w:after="20"/>
        <w:jc w:val="center"/>
      </w:pPr>
      <w:r>
        <w:rPr>
          <w:rFonts w:ascii="Times New Roman" w:hAnsi="Times New Roman" w:eastAsia="Times New Roman"/>
          <w:b w:val="0"/>
          <w:sz w:val="15"/>
        </w:rPr>
        <w:t>Table 4　Per-token byte reads of each tier as the reuse landing tier moves up</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46"/>
        <w:gridCol w:w="1378"/>
        <w:gridCol w:w="1204"/>
        <w:gridCol w:w="1146"/>
      </w:tblGrid>
      <w:tr>
        <w:tc>
          <w:tcPr>
            <w:tcW w:type="dxa" w:w="1146"/>
            <w:shd w:val="clear" w:fill="F2F2F2"/>
          </w:tcPr>
          <w:p>
            <w:pPr>
              <w:spacing w:after="0" w:before="0" w:line="240" w:lineRule="auto"/>
            </w:pPr>
            <w:r/>
            <w:r>
              <w:rPr>
                <w:rFonts w:ascii="Times New Roman" w:hAnsi="Times New Roman" w:eastAsia="黑体"/>
                <w:b/>
                <w:sz w:val="16"/>
              </w:rPr>
              <w:t>落位层</w:t>
            </w:r>
          </w:p>
        </w:tc>
        <w:tc>
          <w:tcPr>
            <w:tcW w:type="dxa" w:w="1378"/>
            <w:shd w:val="clear" w:fill="F2F2F2"/>
          </w:tcPr>
          <w:p>
            <w:pPr>
              <w:spacing w:after="0" w:before="0" w:line="240" w:lineRule="auto"/>
            </w:pPr>
            <w:r/>
            <w:r>
              <w:rPr>
                <w:rFonts w:ascii="Times New Roman" w:hAnsi="Times New Roman" w:eastAsia="黑体"/>
                <w:b/>
                <w:sz w:val="16"/>
              </w:rPr>
              <w:t>低速盘</w:t>
            </w:r>
          </w:p>
        </w:tc>
        <w:tc>
          <w:tcPr>
            <w:tcW w:type="dxa" w:w="1204"/>
            <w:shd w:val="clear" w:fill="F2F2F2"/>
          </w:tcPr>
          <w:p>
            <w:pPr>
              <w:spacing w:after="0" w:before="0" w:line="240" w:lineRule="auto"/>
            </w:pPr>
            <w:r/>
            <w:r>
              <w:rPr>
                <w:rFonts w:ascii="Times New Roman" w:hAnsi="Times New Roman" w:eastAsia="黑体"/>
                <w:b/>
                <w:sz w:val="16"/>
              </w:rPr>
              <w:t>高速盘</w:t>
            </w:r>
          </w:p>
        </w:tc>
        <w:tc>
          <w:tcPr>
            <w:tcW w:type="dxa" w:w="1146"/>
            <w:shd w:val="clear" w:fill="F2F2F2"/>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各档的字节总量相同（表 4），变的是字节从哪一层被读。随落位层上移，低速层读数单调回落，向一次生成调用内每个 distinct 项刚好只读一次收敛；复用的承担场所从更慢速层迁移到更近的层。</w:t>
      </w:r>
      <w:r>
        <w:rPr>
          <w:rFonts w:ascii="Times New Roman" w:hAnsi="Times New Roman" w:eastAsia="宋体"/>
          <w:b/>
          <w:sz w:val="18"/>
        </w:rPr>
        <w:t>回落不是靠少搬字节，而是靠换一层搬</w:t>
      </w:r>
      <w:r>
        <w:rPr>
          <w:rFonts w:ascii="Times New Roman" w:hAnsi="Times New Roman" w:eastAsia="宋体"/>
          <w:b w:val="0"/>
          <w:sz w:val="18"/>
        </w:rPr>
        <w:t>——这正是推论 1 下界的可观测形状，也是层次结构唯一能做的事。</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4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5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5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31"/>
        <w:gridCol w:w="809"/>
        <w:gridCol w:w="787"/>
        <w:gridCol w:w="809"/>
        <w:gridCol w:w="853"/>
        <w:gridCol w:w="787"/>
      </w:tblGrid>
      <w:tr>
        <w:tc>
          <w:tcPr>
            <w:tcW w:type="dxa" w:w="831"/>
            <w:shd w:val="clear" w:fill="F2F2F2"/>
          </w:tcPr>
          <w:p>
            <w:pPr>
              <w:spacing w:after="0" w:before="0" w:line="240" w:lineRule="auto"/>
            </w:pPr>
            <w:r/>
            <w:r>
              <w:rPr>
                <w:rFonts w:ascii="Times New Roman" w:hAnsi="Times New Roman" w:eastAsia="黑体"/>
                <w:b/>
                <w:sz w:val="16"/>
              </w:rPr>
              <w:t>读取流</w:t>
            </w:r>
          </w:p>
        </w:tc>
        <w:tc>
          <w:tcPr>
            <w:tcW w:type="dxa" w:w="809"/>
            <w:shd w:val="clear" w:fill="F2F2F2"/>
          </w:tcPr>
          <w:p>
            <w:pPr>
              <w:spacing w:after="0" w:before="0" w:line="240" w:lineRule="auto"/>
            </w:pPr>
            <w:r/>
            <w:r>
              <w:rPr>
                <w:rFonts w:ascii="Times New Roman" w:hAnsi="Times New Roman" w:eastAsia="黑体"/>
                <w:b/>
                <w:sz w:val="16"/>
              </w:rPr>
              <w:t>字节/词元</w:t>
            </w:r>
          </w:p>
        </w:tc>
        <w:tc>
          <w:tcPr>
            <w:tcW w:type="dxa" w:w="787"/>
            <w:shd w:val="clear" w:fill="F2F2F2"/>
          </w:tcPr>
          <w:p>
            <w:pPr>
              <w:spacing w:after="0" w:before="0" w:line="240" w:lineRule="auto"/>
            </w:pPr>
            <w:r/>
            <w:r>
              <w:rPr>
                <w:rFonts w:ascii="Times New Roman" w:hAnsi="Times New Roman" w:eastAsia="黑体"/>
                <w:b/>
                <w:sz w:val="16"/>
              </w:rPr>
              <w:t>速率</w:t>
            </w:r>
          </w:p>
        </w:tc>
        <w:tc>
          <w:tcPr>
            <w:tcW w:type="dxa" w:w="809"/>
            <w:shd w:val="clear" w:fill="F2F2F2"/>
          </w:tcPr>
          <w:p>
            <w:pPr>
              <w:spacing w:after="0" w:before="0" w:line="240" w:lineRule="auto"/>
            </w:pPr>
            <w:r/>
            <w:r>
              <w:rPr>
                <w:rFonts w:ascii="Times New Roman" w:hAnsi="Times New Roman" w:eastAsia="黑体"/>
                <w:b/>
                <w:sz w:val="16"/>
              </w:rPr>
              <w:t>访问序</w:t>
            </w:r>
          </w:p>
        </w:tc>
        <w:tc>
          <w:tcPr>
            <w:tcW w:type="dxa" w:w="853"/>
            <w:shd w:val="clear" w:fill="F2F2F2"/>
          </w:tcPr>
          <w:p>
            <w:pPr>
              <w:spacing w:after="0" w:before="0" w:line="240" w:lineRule="auto"/>
            </w:pPr>
            <w:r/>
            <w:r>
              <w:rPr>
                <w:rFonts w:ascii="Times New Roman" w:hAnsi="Times New Roman" w:eastAsia="黑体"/>
                <w:b/>
                <w:sz w:val="16"/>
              </w:rPr>
              <w:t>暴露</w:t>
            </w:r>
          </w:p>
        </w:tc>
        <w:tc>
          <w:tcPr>
            <w:tcW w:type="dxa" w:w="787"/>
            <w:shd w:val="clear" w:fill="F2F2F2"/>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注：首次逐相位实测的三项之和为 68.4 s，超过该次端到端 66.1 s，故该次百分比不可用；本表时间线与引擎自报逐词元墙钟吻合 99.8–99.9%，且主存驻留档下的专家读段 355 MB/s 与后续独立测量的 379 MB/s 相符，二者出处见随稿附件 A.1。</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时间线。首次逐相位实测的百分比不可用：其一，该次运行未在解码循环中标记词元号，逐词元时间线的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0，"扣除首词元冷启动后的稳态"无从测起；其二，把重叠的时长相加当作暴露时间，导致三项之和超过表列端到端时2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把复用从低速盘挪到高速盘后，专家段耗时约降 37%（阶段 A 与阶段 B，同口径单次对照；两档数值见表 3 与表 7）。收益未达按跨遍复用的字节量推演的上界（约 90%），因为复用仍落在高速盘而非高速内存。表 4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次运行的字节量完全相同，墙钟跨度达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以分配档位为横轴画出低速层读数的回落，与表 4 同源。**要读的是那条单调下降的曲线，而不是任一单点**：方向与幅度共同构成推论 1 的可检验含义，单点则随口径而变（见表 4 注）。末档（DRAM）为推论指向而未观测的目标档，图中以空缺标出，不作实测声称。图中同时可见本文反复强调的一点：总字节量在各档并不下降（专家权重一列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w:t>
      </w:r>
      <w:r>
        <w:rPr>
          <w:rFonts w:ascii="Times New Roman" w:hAnsi="Times New Roman" w:eastAsia="宋体"/>
          <w:b w:val="0"/>
          <w:sz w:val="18"/>
        </w:rPr>
        <w:t xml:space="preserve"> 左图的交付字节在 30 次运行中是一条平线，无一例外；右图同这 30 次的输出速度则散布开去，其中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4“目标档”明确标注为未观测项，不作实测声称。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GB/词元）揭示搬运事实。其中输出速度是主观测，命中率与字节级台账是其成因分解。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6　替换策略在字节口径下的复测（GB/词元）</w:t>
      </w:r>
    </w:p>
    <w:p>
      <w:pPr>
        <w:spacing w:before="80" w:after="20"/>
        <w:jc w:val="center"/>
      </w:pPr>
      <w:r>
        <w:rPr>
          <w:rFonts w:ascii="Times New Roman" w:hAnsi="Times New Roman" w:eastAsia="Times New Roman"/>
          <w:b w:val="0"/>
          <w:sz w:val="15"/>
        </w:rPr>
        <w:t>Table 6　Replacement policy re-measured on the byte account (GB/token)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78"/>
        <w:gridCol w:w="1120"/>
        <w:gridCol w:w="1357"/>
        <w:gridCol w:w="1120"/>
      </w:tblGrid>
      <w:tr>
        <w:tc>
          <w:tcPr>
            <w:tcW w:type="dxa" w:w="1278"/>
            <w:shd w:val="clear" w:fill="F2F2F2"/>
          </w:tcPr>
          <w:p>
            <w:pPr>
              <w:spacing w:after="0" w:before="0" w:line="240" w:lineRule="auto"/>
            </w:pPr>
            <w:r/>
            <w:r>
              <w:rPr>
                <w:rFonts w:ascii="Times New Roman" w:hAnsi="Times New Roman" w:eastAsia="黑体"/>
                <w:b/>
                <w:sz w:val="16"/>
              </w:rPr>
              <w:t>L1 策略</w:t>
            </w:r>
          </w:p>
        </w:tc>
        <w:tc>
          <w:tcPr>
            <w:tcW w:type="dxa" w:w="1120"/>
            <w:shd w:val="clear" w:fill="F2F2F2"/>
          </w:tcPr>
          <w:p>
            <w:pPr>
              <w:spacing w:after="0" w:before="0" w:line="240" w:lineRule="auto"/>
            </w:pPr>
            <w:r/>
            <w:r>
              <w:rPr>
                <w:rFonts w:ascii="Times New Roman" w:hAnsi="Times New Roman" w:eastAsia="黑体"/>
                <w:b/>
                <w:sz w:val="16"/>
              </w:rPr>
              <w:t>cache</w:t>
            </w:r>
          </w:p>
        </w:tc>
        <w:tc>
          <w:tcPr>
            <w:tcW w:type="dxa" w:w="1357"/>
            <w:shd w:val="clear" w:fill="F2F2F2"/>
          </w:tcPr>
          <w:p>
            <w:pPr>
              <w:spacing w:after="0" w:before="0" w:line="240" w:lineRule="auto"/>
            </w:pPr>
            <w:r/>
            <w:r>
              <w:rPr>
                <w:rFonts w:ascii="Times New Roman" w:hAnsi="Times New Roman" w:eastAsia="黑体"/>
                <w:b/>
                <w:sz w:val="16"/>
              </w:rPr>
              <w:t>三轮实测</w:t>
            </w:r>
          </w:p>
        </w:tc>
        <w:tc>
          <w:tcPr>
            <w:tcW w:type="dxa" w:w="1120"/>
            <w:shd w:val="clear" w:fill="F2F2F2"/>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7　公式算出的用时下限 vs 真机实际用时（s/词元）</w:t>
      </w:r>
    </w:p>
    <w:p>
      <w:pPr>
        <w:spacing w:before="80" w:after="20"/>
        <w:jc w:val="center"/>
      </w:pPr>
      <w:r>
        <w:rPr>
          <w:rFonts w:ascii="Times New Roman" w:hAnsi="Times New Roman" w:eastAsia="Times New Roman"/>
          <w:b w:val="0"/>
          <w:sz w:val="15"/>
        </w:rPr>
        <w:t>Table 7　Bottleneck-bound prediction vs. measured output speed (s/token)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43"/>
        <w:gridCol w:w="820"/>
        <w:gridCol w:w="797"/>
        <w:gridCol w:w="797"/>
        <w:gridCol w:w="797"/>
        <w:gridCol w:w="820"/>
      </w:tblGrid>
      <w:tr>
        <w:tc>
          <w:tcPr>
            <w:tcW w:type="dxa" w:w="843"/>
            <w:shd w:val="clear" w:fill="F2F2F2"/>
          </w:tcPr>
          <w:p>
            <w:pPr>
              <w:spacing w:after="0" w:before="0" w:line="240" w:lineRule="auto"/>
            </w:pPr>
            <w:r/>
            <w:r>
              <w:rPr>
                <w:rFonts w:ascii="Times New Roman" w:hAnsi="Times New Roman" w:eastAsia="黑体"/>
                <w:b/>
                <w:sz w:val="16"/>
              </w:rPr>
              <w:t>落位档</w:t>
            </w:r>
          </w:p>
        </w:tc>
        <w:tc>
          <w:tcPr>
            <w:tcW w:type="dxa" w:w="820"/>
            <w:shd w:val="clear" w:fill="F2F2F2"/>
          </w:tcPr>
          <w:p>
            <w:pPr>
              <w:spacing w:after="0" w:before="0" w:line="240" w:lineRule="auto"/>
            </w:pPr>
            <w:r/>
            <w:r>
              <w:rPr>
                <w:rFonts w:ascii="Times New Roman" w:hAnsi="Times New Roman" w:eastAsia="黑体"/>
                <w:b/>
                <w:sz w:val="16"/>
              </w:rPr>
              <w:t>字节/词元</w:t>
            </w:r>
          </w:p>
        </w:tc>
        <w:tc>
          <w:tcPr>
            <w:tcW w:type="dxa" w:w="797"/>
            <w:shd w:val="clear" w:fill="F2F2F2"/>
          </w:tcPr>
          <w:p>
            <w:pPr>
              <w:spacing w:after="0" w:before="0" w:line="240" w:lineRule="auto"/>
            </w:pPr>
            <w:r/>
            <w:r>
              <w:rPr>
                <w:rFonts w:ascii="Times New Roman" w:hAnsi="Times New Roman" w:eastAsia="黑体"/>
                <w:b/>
                <w:sz w:val="16"/>
              </w:rPr>
              <w:t>带宽</w:t>
            </w:r>
          </w:p>
        </w:tc>
        <w:tc>
          <w:tcPr>
            <w:tcW w:type="dxa" w:w="797"/>
            <w:shd w:val="clear" w:fill="F2F2F2"/>
          </w:tcPr>
          <w:p>
            <w:pPr>
              <w:spacing w:after="0" w:before="0" w:line="240" w:lineRule="auto"/>
            </w:pPr>
            <w:r/>
            <w:r>
              <w:rPr>
                <w:rFonts w:ascii="Times New Roman" w:hAnsi="Times New Roman" w:eastAsia="黑体"/>
                <w:b/>
                <w:sz w:val="16"/>
              </w:rPr>
              <w:t>公式下限</w:t>
            </w:r>
          </w:p>
        </w:tc>
        <w:tc>
          <w:tcPr>
            <w:tcW w:type="dxa" w:w="797"/>
            <w:shd w:val="clear" w:fill="F2F2F2"/>
          </w:tcPr>
          <w:p>
            <w:pPr>
              <w:spacing w:after="0" w:before="0" w:line="240" w:lineRule="auto"/>
            </w:pPr>
            <w:r/>
            <w:r>
              <w:rPr>
                <w:rFonts w:ascii="Times New Roman" w:hAnsi="Times New Roman" w:eastAsia="黑体"/>
                <w:b/>
                <w:sz w:val="16"/>
              </w:rPr>
              <w:t>实测</w:t>
            </w:r>
          </w:p>
        </w:tc>
        <w:tc>
          <w:tcPr>
            <w:tcW w:type="dxa" w:w="820"/>
            <w:shd w:val="clear" w:fill="F2F2F2"/>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3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7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其机制在引擎内直接测得（随稿附件 A.4.2，10 轮、跨两版代码，每词元请求数与字节数逐位一致）：</w:t>
      </w:r>
    </w:p>
    <w:p>
      <w:pPr>
        <w:spacing w:after="40" w:line="276" w:lineRule="auto"/>
        <w:ind w:firstLine="360"/>
      </w:pPr>
      <w:r>
        <w:rPr>
          <w:rFonts w:ascii="Times New Roman" w:hAnsi="Times New Roman" w:eastAsia="宋体"/>
          <w:b/>
          <w:sz w:val="18"/>
        </w:rPr>
        <w:t>表 7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（随稿附件 A.4.3），判定按绝对量重做。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仅核算字节会低估慢速层的代价：慢速层同时收取字节代价与串行化代价，而把数据上移到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可确定的是它不是字节造成的、也不是设备在该形态上做不到的；不可确定的是跨层流水能收回多少。该问题在本平台的测量重复性下无法判定（见本节方法学限度段与随稿附件第 3 章），故不作量化声称。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而非时间核算，不受此限度影响。上列十轮稳定量见随稿附件 A.4.2。</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7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白板命中率不可单独作为验收（4.2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5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5，n=3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（随稿附件 A.4.2）。</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对交错配对测得（随稿附件 A.4.2）：</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落位层</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p>
      <w:pPr>
        <w:spacing w:before="80" w:after="20"/>
        <w:jc w:val="center"/>
      </w:pPr>
      <w:r>
        <w:rPr>
          <w:rFonts w:ascii="Times New Roman" w:hAnsi="Times New Roman" w:eastAsia="宋体"/>
          <w:b w:val="0"/>
          <w:sz w:val="15"/>
        </w:rPr>
        <w:t>表 8　本轮八处错误的四步排查回放</w:t>
      </w:r>
    </w:p>
    <w:p>
      <w:pPr>
        <w:spacing w:before="80" w:after="20"/>
        <w:jc w:val="center"/>
      </w:pPr>
      <w:r>
        <w:rPr>
          <w:rFonts w:ascii="Times New Roman" w:hAnsi="Times New Roman" w:eastAsia="Times New Roman"/>
          <w:b w:val="0"/>
          <w:sz w:val="15"/>
        </w:rPr>
        <w:t>Table 8　Replay of this run's eight errors against the four-step order</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50"/>
        <w:gridCol w:w="747"/>
        <w:gridCol w:w="819"/>
        <w:gridCol w:w="2060"/>
      </w:tblGrid>
      <w:tr>
        <w:tc>
          <w:tcPr>
            <w:tcW w:type="dxa" w:w="1250"/>
            <w:shd w:val="clear" w:fill="F2F2F2"/>
          </w:tcPr>
          <w:p>
            <w:pPr>
              <w:spacing w:after="0" w:before="0" w:line="240" w:lineRule="auto"/>
            </w:pPr>
            <w:r/>
            <w:r>
              <w:rPr>
                <w:rFonts w:ascii="Times New Roman" w:hAnsi="Times New Roman" w:eastAsia="黑体"/>
                <w:b/>
                <w:sz w:val="16"/>
              </w:rPr>
              <w:t>实际发生的错误</w:t>
            </w:r>
          </w:p>
        </w:tc>
        <w:tc>
          <w:tcPr>
            <w:tcW w:type="dxa" w:w="747"/>
            <w:shd w:val="clear" w:fill="F2F2F2"/>
          </w:tcPr>
          <w:p>
            <w:pPr>
              <w:spacing w:after="0" w:before="0" w:line="240" w:lineRule="auto"/>
            </w:pPr>
            <w:r/>
            <w:r>
              <w:rPr>
                <w:rFonts w:ascii="Times New Roman" w:hAnsi="Times New Roman" w:eastAsia="黑体"/>
                <w:b/>
                <w:sz w:val="16"/>
              </w:rPr>
              <w:t>观测平面</w:t>
            </w:r>
          </w:p>
        </w:tc>
        <w:tc>
          <w:tcPr>
            <w:tcW w:type="dxa" w:w="819"/>
            <w:shd w:val="clear" w:fill="F2F2F2"/>
          </w:tcPr>
          <w:p>
            <w:pPr>
              <w:spacing w:after="0" w:before="0" w:line="240" w:lineRule="auto"/>
            </w:pPr>
            <w:r/>
            <w:r>
              <w:rPr>
                <w:rFonts w:ascii="Times New Roman" w:hAnsi="Times New Roman" w:eastAsia="黑体"/>
                <w:b/>
                <w:sz w:val="16"/>
              </w:rPr>
              <w:t>四步能否抓住</w:t>
            </w:r>
          </w:p>
        </w:tc>
        <w:tc>
          <w:tcPr>
            <w:tcW w:type="dxa" w:w="2060"/>
            <w:shd w:val="clear" w:fill="F2F2F2"/>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分层字节级台账把「慢速层读了多少字节」与「这些字节多贵」分开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4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sz w:val="18"/>
        </w:rPr>
        <w:t>结论是：在存储受限主机上，MoE 专家权重的复用没有落在它能到达的最快层，而命中率看不出这件事；按命中率验收这类改动不成立，验收线必须是逐层字节读数回落至其 distinct 集下界，并须另配一条关于可达聚合带宽的口径，因为代价与字节量不同向。</w:t>
      </w:r>
    </w:p>
    <w:p>
      <w:pPr>
        <w:spacing w:after="40" w:line="276" w:lineRule="auto"/>
        <w:ind w:firstLine="360"/>
      </w:pPr>
      <w:r>
        <w:rPr>
          <w:rFonts w:ascii="Times New Roman" w:hAnsi="Times New Roman" w:eastAsia="宋体"/>
          <w:b w:val="0"/>
          <w:sz w:val="18"/>
        </w:rPr>
        <w:t>这一结论由以下三步得出。本文从一次反常现象出发：按命中率将缓存优化至满格，端到端吞吐仍未达到应有水平。围绕该现象，本文给出可逐行回查的字节日志审计与一次真机测量：对存储受限主机上 Kimi K3（2.8T MoE）推理冷启动的实测表明，每词元从低速盘全量重读专家权重 25.83 GB。命中只是换介质，并不能免字节。围绕这一定量现象，本文给出双口径（白板命中率与字节计数对照）审计方法，并把低速层读数下界落为工程判据：以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本文原则"慢速层只读一次"（§3.1）在另一类负载上同样适用：复用若落在数据能到达的最快层，每一更慢速层的最小读取次数为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字节达标并非终点。首次逐相位实测补出了判据原先缺的一个因子：代价还要看可达聚合带宽。该次运行的结果与直觉相反：搬运量最大的那一流反而近乎免费，搬运量最小的那一流几乎占满了整轮的墙（表 7）。</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倍（三对交错配对，随稿附件 A.4.2），机制已定位为算术与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7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对分层存储系统的开发与评测者，本文建议以字节级读数下界作为设计的验收线，并行观测白板命中率与字节计数。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冷启动，2026-08），随稿附件 A.1 [Author-built machine byte-stream ledger, k3 x86 cold start, 2026-08, attachment A.1].</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at maximum (CACHE HIT 100%) while end-to-end throughput stays below its expected level — this is what Kimi K3 (2.8T MoE) does at cold start on a memory-constrained host. Accounting in bytes rather than in hit rate gives a different picture: 25.83 GB of expert weights are re-read in full from the slow disk per token, which is 94% of that stage's end-to-end time, and moving the experts to a fast disk leaves the hit rate at maximum and the byte count at 25.83 GB per token, not one byte saved. A hit changes the tier the bytes come from; it does not remove them. Hit rate counts whether the media were hit, a byte ledger counts how many bytes moved, and those are two different books. </w:t>
      </w:r>
      <w:r>
        <w:rPr>
          <w:rFonts w:ascii="Times New Roman" w:hAnsi="Times New Roman" w:eastAsia="宋体"/>
          <w:b/>
          <w:sz w:val="18"/>
        </w:rPr>
        <w:t>From that follows an acceptance criterion stated in bytes</w:t>
      </w:r>
      <w:r>
        <w:rPr>
          <w:rFonts w:ascii="Times New Roman" w:hAnsi="Times New Roman" w:eastAsia="宋体"/>
          <w:b w:val="0"/>
          <w:sz w:val="18"/>
        </w:rPr>
        <w:t xml:space="preserve">: budget each tier by its distinct set, judge whether reuse has landed by whether the slow-tier read falls to its bound, and drop the hit-rate dashboard. Four diagnostic steps come with it, each naming which counter to read and what counts as passing. The criterion takes counters as input, and counters lie, so a second rule follows, independent of the workload: every derived quantity must be cross-checked against an independent quantity and printed beside it. Six counter fields that produced wrong conclusions in this run were all found that way; their failures are unrelated to one another and share one property, that the error is the same size as the real fault and therefore never raises an alarm. All figures come from one platform and one cold-start sequence. </w:t>
      </w:r>
      <w:r>
        <w:rPr>
          <w:rFonts w:ascii="Times New Roman" w:hAnsi="Times New Roman" w:eastAsia="宋体"/>
          <w:b/>
          <w:sz w:val="18"/>
        </w:rPr>
        <w:t>The conclusion holds on the byte account and not on the speed account</w:t>
      </w:r>
      <w:r>
        <w:rPr>
          <w:rFonts w:ascii="Times New Roman" w:hAnsi="Times New Roman" w:eastAsia="宋体"/>
          <w:b w:val="0"/>
          <w:sz w:val="18"/>
        </w:rPr>
        <w:t>: across thirty identical runs the byte count is identical while the output speed spans 80.8%, which is why a throughput threshold of the order of ten percent cannot be used to accept or reject a change in this setting. Where the four steps all pass and a gap remains, the gap is not in the reuse layer, and the search moves to achievable aggregate bandwidth.</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