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本文给出三件可复用的东西：一把以字节为口径的标尺（第 3、5 章），使"低速层读次数是否落位"成为可验收的判断；一份四步排查次序（5.3），每步标明读哪个计数器、什么算通过；一条与负载无关的仪表规程（5.6），因为判据本身以计数器为输入。速度收益不在其中——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健康系统的低速层读取次数总和的最小值是“每层刚好只读一次”；任何显著超过该下界的低速层读取，都指向“复用未落在应落的最快层”，而不是算法需要免读。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。输出速度是字节与调度共同作用于端到端的综合结果。同一配置连续 30 次运行的字节量完全相同，输出速度却散布在 65.21–117.87 s/词元，跨度 80.8%，其中 17 次落在规程第 14.1 节的 10% 判定带内（图 3）。</w:t>
      </w:r>
      <w:r>
        <w:rPr>
          <w:rFonts w:ascii="Times New Roman" w:hAnsi="Times New Roman" w:eastAsia="宋体"/>
          <w:b/>
          <w:sz w:val="18"/>
        </w:rPr>
        <w:t>不足以支撑小于约 10% 的判定；</w:t>
      </w:r>
      <w:r>
        <w:rPr>
          <w:rFonts w:ascii="Times New Roman" w:hAnsi="Times New Roman" w:eastAsia="宋体"/>
          <w:b w:val="0"/>
          <w:sz w:val="18"/>
        </w:rPr>
        <w:t>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该规程与本文的模型无关，是上述判据得以成立的前提。</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局部性原理给出的是复用的动机：数据被访问多次，因此值得让它留在能取到的地方。它没有回答的是代价的边界——一个被复用 R 次的数据项，为了到达最快的那一层，必须先从更慢的层读进来多少次。次数的下界由参与路径直接决定，本文把这条守恒面写成可验收的形式，并说明其成立所依赖的假设、在何处失效、以及如何据以核对实测。。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：复用若发生在最快层，各低速层读取次数总和的最小值即“符合本文原则、刚好只读一次”；使该最小值达成的调度同时是低速层读取字节代价最小的调度。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Layout w:type="fixed"/>
      </w:tblPr>
      <w:tblGrid>
        <w:gridCol w:w="2247"/>
        <w:gridCol w:w="2629"/>
      </w:tblGrid>
      <w:tr>
        <w:tc>
          <w:tcPr>
            <w:tcW w:type="dxa" w:w="2247"/>
          </w:tcPr>
          <w:p>
            <w:pPr>
              <w:spacing w:after="0" w:before="0" w:line="240" w:lineRule="auto"/>
            </w:pPr>
            <w:r/>
            <w:r>
              <w:rPr>
                <w:rFonts w:ascii="Times New Roman" w:hAnsi="Times New Roman" w:eastAsia="黑体"/>
                <w:b/>
                <w:sz w:val="16"/>
              </w:rPr>
              <w:t>指标</w:t>
            </w:r>
          </w:p>
        </w:tc>
        <w:tc>
          <w:tcPr>
            <w:tcW w:type="dxa" w:w="2629"/>
          </w:tcPr>
          <w:p>
            <w:pPr>
              <w:spacing w:after="0" w:before="0" w:line="240" w:lineRule="auto"/>
            </w:pPr>
            <w:r/>
            <w:r>
              <w:rPr>
                <w:rFonts w:ascii="Times New Roman" w:hAnsi="Times New Roman" w:eastAsia="黑体"/>
                <w:b/>
                <w:sz w:val="16"/>
              </w:rPr>
              <w:t>数值</w:t>
            </w:r>
          </w:p>
        </w:tc>
      </w:tr>
      <w:tr>
        <w:tc>
          <w:tcPr>
            <w:tcW w:type="dxa" w:w="2247"/>
          </w:tcPr>
          <w:p>
            <w:pPr>
              <w:spacing w:after="0" w:before="0" w:line="240" w:lineRule="auto"/>
            </w:pPr>
            <w:r/>
            <w:r>
              <w:rPr>
                <w:rFonts w:ascii="Times New Roman" w:hAnsi="Times New Roman" w:eastAsia="宋体"/>
                <w:b w:val="0"/>
                <w:sz w:val="15"/>
              </w:rPr>
              <w:t>每词元专家理论载入</w:t>
            </w:r>
          </w:p>
        </w:tc>
        <w:tc>
          <w:tcPr>
            <w:tcW w:type="dxa" w:w="2629"/>
          </w:tcPr>
          <w:p>
            <w:pPr>
              <w:spacing w:after="0" w:before="0" w:line="240" w:lineRule="auto"/>
            </w:pPr>
            <w:r/>
            <w:r>
              <w:rPr>
                <w:rFonts w:ascii="Times New Roman" w:hAnsi="Times New Roman" w:eastAsia="宋体"/>
                <w:b w:val="0"/>
                <w:sz w:val="15"/>
              </w:rPr>
              <w:t>92×16×17.55 MB = 25.83 GB</w:t>
            </w:r>
          </w:p>
        </w:tc>
      </w:tr>
      <w:tr>
        <w:tc>
          <w:tcPr>
            <w:tcW w:type="dxa" w:w="2247"/>
          </w:tcPr>
          <w:p>
            <w:pPr>
              <w:spacing w:after="0" w:before="0" w:line="240" w:lineRule="auto"/>
            </w:pPr>
            <w:r/>
            <w:r>
              <w:rPr>
                <w:rFonts w:ascii="Times New Roman" w:hAnsi="Times New Roman" w:eastAsia="宋体"/>
                <w:b w:val="0"/>
                <w:sz w:val="15"/>
              </w:rPr>
              <w:t>实测专家段 READ/词元</w:t>
            </w:r>
          </w:p>
        </w:tc>
        <w:tc>
          <w:tcPr>
            <w:tcW w:type="dxa" w:w="2629"/>
          </w:tcPr>
          <w:p>
            <w:pPr>
              <w:spacing w:after="0" w:before="0" w:line="240" w:lineRule="auto"/>
            </w:pPr>
            <w:r/>
            <w:r>
              <w:rPr>
                <w:rFonts w:ascii="Times New Roman" w:hAnsi="Times New Roman" w:eastAsia="宋体"/>
                <w:b w:val="0"/>
                <w:sz w:val="15"/>
              </w:rPr>
              <w:t>25.83 GB</w:t>
            </w:r>
          </w:p>
        </w:tc>
      </w:tr>
      <w:tr>
        <w:tc>
          <w:tcPr>
            <w:tcW w:type="dxa" w:w="2247"/>
          </w:tcPr>
          <w:p>
            <w:pPr>
              <w:spacing w:after="0" w:before="0" w:line="240" w:lineRule="auto"/>
            </w:pPr>
            <w:r/>
            <w:r>
              <w:rPr>
                <w:rFonts w:ascii="Times New Roman" w:hAnsi="Times New Roman" w:eastAsia="宋体"/>
                <w:b w:val="0"/>
                <w:sz w:val="15"/>
              </w:rPr>
              <w:t>专家段耗时</w:t>
            </w:r>
          </w:p>
        </w:tc>
        <w:tc>
          <w:tcPr>
            <w:tcW w:type="dxa" w:w="2629"/>
          </w:tcPr>
          <w:p>
            <w:pPr>
              <w:spacing w:after="0" w:before="0" w:line="240" w:lineRule="auto"/>
            </w:pPr>
            <w:r/>
            <w:r>
              <w:rPr>
                <w:rFonts w:ascii="Times New Roman" w:hAnsi="Times New Roman" w:eastAsia="宋体"/>
                <w:b w:val="0"/>
                <w:sz w:val="15"/>
              </w:rPr>
              <w:t>303.58 s/词元</w:t>
            </w:r>
          </w:p>
        </w:tc>
      </w:tr>
      <w:tr>
        <w:tc>
          <w:tcPr>
            <w:tcW w:type="dxa" w:w="2247"/>
          </w:tcPr>
          <w:p>
            <w:pPr>
              <w:spacing w:after="0" w:before="0" w:line="240" w:lineRule="auto"/>
            </w:pPr>
            <w:r/>
            <w:r>
              <w:rPr>
                <w:rFonts w:ascii="Times New Roman" w:hAnsi="Times New Roman" w:eastAsia="宋体"/>
                <w:b w:val="0"/>
                <w:sz w:val="15"/>
              </w:rPr>
              <w:t>端到端耗时</w:t>
            </w:r>
          </w:p>
        </w:tc>
        <w:tc>
          <w:tcPr>
            <w:tcW w:type="dxa" w:w="2629"/>
          </w:tcPr>
          <w:p>
            <w:pPr>
              <w:spacing w:after="0" w:before="0" w:line="240" w:lineRule="auto"/>
            </w:pPr>
            <w:r/>
            <w:r>
              <w:rPr>
                <w:rFonts w:ascii="Times New Roman" w:hAnsi="Times New Roman" w:eastAsia="宋体"/>
                <w:b w:val="0"/>
                <w:sz w:val="15"/>
              </w:rPr>
              <w:t>324.36 s/词元</w:t>
            </w:r>
          </w:p>
        </w:tc>
      </w:tr>
      <w:tr>
        <w:tc>
          <w:tcPr>
            <w:tcW w:type="dxa" w:w="2247"/>
          </w:tcPr>
          <w:p>
            <w:pPr>
              <w:spacing w:after="0" w:before="0" w:line="240" w:lineRule="auto"/>
            </w:pPr>
            <w:r/>
            <w:r>
              <w:rPr>
                <w:rFonts w:ascii="Times New Roman" w:hAnsi="Times New Roman" w:eastAsia="宋体"/>
                <w:b w:val="0"/>
                <w:sz w:val="15"/>
              </w:rPr>
              <w:t>端到端占比</w:t>
            </w:r>
          </w:p>
        </w:tc>
        <w:tc>
          <w:tcPr>
            <w:tcW w:type="dxa" w:w="2629"/>
          </w:tcPr>
          <w:p>
            <w:pPr>
              <w:spacing w:after="0" w:before="0" w:line="240" w:lineRule="auto"/>
            </w:pPr>
            <w:r/>
            <w:r>
              <w:rPr>
                <w:rFonts w:ascii="Times New Roman" w:hAnsi="Times New Roman" w:eastAsia="宋体"/>
                <w:b w:val="0"/>
                <w:sz w:val="15"/>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是“一次生成调用之内，每个 distinct 项刚好只读一次”（见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的可检验含义是：更慢层的读数应随着“复用实际落位层”的上移而向下界（一次生成调用之内，每个 distinct 项刚好只读一次）单向趋近。本案例提供了两个可观测的落位档，加上一个由推论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Layout w:type="fixed"/>
      </w:tblPr>
      <w:tblGrid>
        <w:gridCol w:w="1146"/>
        <w:gridCol w:w="1378"/>
        <w:gridCol w:w="1204"/>
        <w:gridCol w:w="1146"/>
      </w:tblGrid>
      <w:tr>
        <w:tc>
          <w:tcPr>
            <w:tcW w:type="dxa" w:w="1146"/>
          </w:tcPr>
          <w:p>
            <w:pPr>
              <w:spacing w:after="0" w:before="0" w:line="240" w:lineRule="auto"/>
            </w:pPr>
            <w:r/>
            <w:r>
              <w:rPr>
                <w:rFonts w:ascii="Times New Roman" w:hAnsi="Times New Roman" w:eastAsia="黑体"/>
                <w:b/>
                <w:sz w:val="16"/>
              </w:rPr>
              <w:t>落位层</w:t>
            </w:r>
          </w:p>
        </w:tc>
        <w:tc>
          <w:tcPr>
            <w:tcW w:type="dxa" w:w="1378"/>
          </w:tcPr>
          <w:p>
            <w:pPr>
              <w:spacing w:after="0" w:before="0" w:line="240" w:lineRule="auto"/>
            </w:pPr>
            <w:r/>
            <w:r>
              <w:rPr>
                <w:rFonts w:ascii="Times New Roman" w:hAnsi="Times New Roman" w:eastAsia="黑体"/>
                <w:b/>
                <w:sz w:val="16"/>
              </w:rPr>
              <w:t>低速盘</w:t>
            </w:r>
          </w:p>
        </w:tc>
        <w:tc>
          <w:tcPr>
            <w:tcW w:type="dxa" w:w="1204"/>
          </w:tcPr>
          <w:p>
            <w:pPr>
              <w:spacing w:after="0" w:before="0" w:line="240" w:lineRule="auto"/>
            </w:pPr>
            <w:r/>
            <w:r>
              <w:rPr>
                <w:rFonts w:ascii="Times New Roman" w:hAnsi="Times New Roman" w:eastAsia="黑体"/>
                <w:b/>
                <w:sz w:val="16"/>
              </w:rPr>
              <w:t>高速盘</w:t>
            </w:r>
          </w:p>
        </w:tc>
        <w:tc>
          <w:tcPr>
            <w:tcW w:type="dxa" w:w="1146"/>
          </w:tcPr>
          <w:p>
            <w:pPr>
              <w:spacing w:after="0" w:before="0" w:line="240" w:lineRule="auto"/>
            </w:pPr>
            <w:r/>
            <w:r>
              <w:rPr>
                <w:rFonts w:ascii="Times New Roman" w:hAnsi="Times New Roman" w:eastAsia="黑体"/>
                <w:b/>
                <w:sz w:val="16"/>
              </w:rPr>
              <w:t>内存</w:t>
            </w:r>
          </w:p>
        </w:tc>
      </w:tr>
      <w:tr>
        <w:tc>
          <w:tcPr>
            <w:tcW w:type="dxa" w:w="1146"/>
          </w:tcPr>
          <w:p>
            <w:pPr>
              <w:spacing w:after="0" w:before="0" w:line="240" w:lineRule="auto"/>
            </w:pPr>
            <w:r/>
            <w:r>
              <w:rPr>
                <w:rFonts w:ascii="Times New Roman" w:hAnsi="Times New Roman" w:eastAsia="宋体"/>
                <w:b w:val="0"/>
                <w:sz w:val="15"/>
              </w:rPr>
              <w:t>A 低速盘</w:t>
            </w:r>
          </w:p>
        </w:tc>
        <w:tc>
          <w:tcPr>
            <w:tcW w:type="dxa" w:w="1378"/>
          </w:tcPr>
          <w:p>
            <w:pPr>
              <w:spacing w:after="0" w:before="0" w:line="240" w:lineRule="auto"/>
            </w:pPr>
            <w:r/>
            <w:r>
              <w:rPr>
                <w:rFonts w:ascii="Times New Roman" w:hAnsi="Times New Roman" w:eastAsia="宋体"/>
                <w:b w:val="0"/>
                <w:sz w:val="15"/>
              </w:rPr>
              <w:t>25.83 GB</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B 高速盘</w:t>
            </w:r>
          </w:p>
        </w:tc>
        <w:tc>
          <w:tcPr>
            <w:tcW w:type="dxa" w:w="1378"/>
          </w:tcPr>
          <w:p>
            <w:pPr>
              <w:spacing w:after="0" w:before="0" w:line="240" w:lineRule="auto"/>
            </w:pPr>
            <w:r/>
            <w:r>
              <w:rPr>
                <w:rFonts w:ascii="Times New Roman" w:hAnsi="Times New Roman" w:eastAsia="宋体"/>
                <w:b w:val="0"/>
                <w:sz w:val="15"/>
              </w:rPr>
              <w:t>6.7 / 1.7 GB</w:t>
            </w:r>
          </w:p>
        </w:tc>
        <w:tc>
          <w:tcPr>
            <w:tcW w:type="dxa" w:w="1204"/>
          </w:tcPr>
          <w:p>
            <w:pPr>
              <w:spacing w:after="0" w:before="0" w:line="240" w:lineRule="auto"/>
            </w:pPr>
            <w:r/>
            <w:r>
              <w:rPr>
                <w:rFonts w:ascii="Times New Roman" w:hAnsi="Times New Roman" w:eastAsia="宋体"/>
                <w:b w:val="0"/>
                <w:sz w:val="15"/>
              </w:rPr>
              <w:t>≈19.1 GB</w:t>
            </w:r>
          </w:p>
        </w:tc>
        <w:tc>
          <w:tcPr>
            <w:tcW w:type="dxa" w:w="1146"/>
          </w:tcPr>
          <w:p>
            <w:pPr>
              <w:spacing w:after="0" w:before="0" w:line="240" w:lineRule="auto"/>
            </w:pPr>
            <w:r/>
            <w:r>
              <w:rPr>
                <w:rFonts w:ascii="Times New Roman" w:hAnsi="Times New Roman" w:eastAsia="宋体"/>
                <w:b w:val="0"/>
                <w:sz w:val="15"/>
              </w:rPr>
              <w:t>0</w:t>
            </w:r>
          </w:p>
        </w:tc>
      </w:tr>
      <w:tr>
        <w:tc>
          <w:tcPr>
            <w:tcW w:type="dxa" w:w="1146"/>
          </w:tcPr>
          <w:p>
            <w:pPr>
              <w:spacing w:after="0" w:before="0" w:line="240" w:lineRule="auto"/>
            </w:pPr>
            <w:r/>
            <w:r>
              <w:rPr>
                <w:rFonts w:ascii="Times New Roman" w:hAnsi="Times New Roman" w:eastAsia="宋体"/>
                <w:b w:val="0"/>
                <w:sz w:val="15"/>
              </w:rPr>
              <w:t>C 内存</w:t>
            </w:r>
          </w:p>
        </w:tc>
        <w:tc>
          <w:tcPr>
            <w:tcW w:type="dxa" w:w="1378"/>
          </w:tcPr>
          <w:p>
            <w:pPr>
              <w:spacing w:after="0" w:before="0" w:line="240" w:lineRule="auto"/>
            </w:pPr>
            <w:r/>
            <w:r>
              <w:rPr>
                <w:rFonts w:ascii="Times New Roman" w:hAnsi="Times New Roman" w:eastAsia="宋体"/>
                <w:b w:val="0"/>
                <w:sz w:val="15"/>
              </w:rPr>
              <w:t>≈0</w:t>
            </w:r>
          </w:p>
        </w:tc>
        <w:tc>
          <w:tcPr>
            <w:tcW w:type="dxa" w:w="1204"/>
          </w:tcPr>
          <w:p>
            <w:pPr>
              <w:spacing w:after="0" w:before="0" w:line="240" w:lineRule="auto"/>
            </w:pPr>
            <w:r/>
            <w:r>
              <w:rPr>
                <w:rFonts w:ascii="Times New Roman" w:hAnsi="Times New Roman" w:eastAsia="宋体"/>
                <w:b w:val="0"/>
                <w:sz w:val="15"/>
              </w:rPr>
              <w:t>≈0</w:t>
            </w:r>
          </w:p>
        </w:tc>
        <w:tc>
          <w:tcPr>
            <w:tcW w:type="dxa" w:w="1146"/>
          </w:tcPr>
          <w:p>
            <w:pPr>
              <w:spacing w:after="0" w:before="0" w:line="240" w:lineRule="auto"/>
            </w:pPr>
            <w:r/>
            <w:r>
              <w:rPr>
                <w:rFonts w:ascii="Times New Roman" w:hAnsi="Times New Roman" w:eastAsia="宋体"/>
                <w:b w:val="0"/>
                <w:sz w:val="15"/>
              </w:rPr>
              <w:t>25.83 GB</w:t>
            </w:r>
          </w:p>
        </w:tc>
      </w:tr>
    </w:tbl>
    <w:p>
      <w:pPr>
        <w:spacing w:after="40" w:line="276" w:lineRule="auto"/>
        <w:ind w:firstLine="360"/>
      </w:pPr>
      <w:r>
        <w:rPr>
          <w:rFonts w:ascii="Times New Roman" w:hAnsi="Times New Roman" w:eastAsia="宋体"/>
          <w:b w:val="0"/>
          <w:sz w:val="18"/>
        </w:rPr>
        <w:t>注：三列为各层每词元读数。B 行低速盘的 6.7 为 32 词元全程均值（含冷启动与写回），1.7 为后 16 词元尾段读数，两者口径不同。C 行为推论 1 指向的目标档，本文未观测。出处见随稿附件 A.1。</w:t>
      </w:r>
    </w:p>
    <w:p>
      <w:pPr>
        <w:spacing w:after="40" w:line="276" w:lineRule="auto"/>
        <w:ind w:firstLine="360"/>
      </w:pPr>
      <w:r>
        <w:rPr>
          <w:rFonts w:ascii="Times New Roman" w:hAnsi="Times New Roman" w:eastAsia="宋体"/>
          <w:b w:val="0"/>
          <w:sz w:val="18"/>
        </w:rPr>
        <w:t>注：高速盘档低速盘读数的两种口径见下表注，出处见随稿附件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GB）回落，高速盘档全程均值 6.7 GB、后 16 词元尾段仅约 1.7 GB（=27 GB/16 词元，出处见随稿附件 A.1），向"一次生成调用内每个 distinct 项刚好只读一次"收敛；复用的承担场所从更慢层迁移到更近的层。这正是推论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Layout w:type="fixed"/>
      </w:tblPr>
      <w:tblGrid>
        <w:gridCol w:w="831"/>
        <w:gridCol w:w="809"/>
        <w:gridCol w:w="787"/>
        <w:gridCol w:w="809"/>
        <w:gridCol w:w="853"/>
        <w:gridCol w:w="787"/>
      </w:tblGrid>
      <w:tr>
        <w:tc>
          <w:tcPr>
            <w:tcW w:type="dxa" w:w="831"/>
          </w:tcPr>
          <w:p>
            <w:pPr>
              <w:spacing w:after="0" w:before="0" w:line="240" w:lineRule="auto"/>
            </w:pPr>
            <w:r/>
            <w:r>
              <w:rPr>
                <w:rFonts w:ascii="Times New Roman" w:hAnsi="Times New Roman" w:eastAsia="黑体"/>
                <w:b/>
                <w:sz w:val="16"/>
              </w:rPr>
              <w:t>读取流</w:t>
            </w:r>
          </w:p>
        </w:tc>
        <w:tc>
          <w:tcPr>
            <w:tcW w:type="dxa" w:w="809"/>
          </w:tcPr>
          <w:p>
            <w:pPr>
              <w:spacing w:after="0" w:before="0" w:line="240" w:lineRule="auto"/>
            </w:pPr>
            <w:r/>
            <w:r>
              <w:rPr>
                <w:rFonts w:ascii="Times New Roman" w:hAnsi="Times New Roman" w:eastAsia="黑体"/>
                <w:b/>
                <w:sz w:val="16"/>
              </w:rPr>
              <w:t>字节/词元</w:t>
            </w:r>
          </w:p>
        </w:tc>
        <w:tc>
          <w:tcPr>
            <w:tcW w:type="dxa" w:w="787"/>
          </w:tcPr>
          <w:p>
            <w:pPr>
              <w:spacing w:after="0" w:before="0" w:line="240" w:lineRule="auto"/>
            </w:pPr>
            <w:r/>
            <w:r>
              <w:rPr>
                <w:rFonts w:ascii="Times New Roman" w:hAnsi="Times New Roman" w:eastAsia="黑体"/>
                <w:b/>
                <w:sz w:val="16"/>
              </w:rPr>
              <w:t>速率</w:t>
            </w:r>
          </w:p>
        </w:tc>
        <w:tc>
          <w:tcPr>
            <w:tcW w:type="dxa" w:w="809"/>
          </w:tcPr>
          <w:p>
            <w:pPr>
              <w:spacing w:after="0" w:before="0" w:line="240" w:lineRule="auto"/>
            </w:pPr>
            <w:r/>
            <w:r>
              <w:rPr>
                <w:rFonts w:ascii="Times New Roman" w:hAnsi="Times New Roman" w:eastAsia="黑体"/>
                <w:b/>
                <w:sz w:val="16"/>
              </w:rPr>
              <w:t>访问序</w:t>
            </w:r>
          </w:p>
        </w:tc>
        <w:tc>
          <w:tcPr>
            <w:tcW w:type="dxa" w:w="853"/>
          </w:tcPr>
          <w:p>
            <w:pPr>
              <w:spacing w:after="0" w:before="0" w:line="240" w:lineRule="auto"/>
            </w:pPr>
            <w:r/>
            <w:r>
              <w:rPr>
                <w:rFonts w:ascii="Times New Roman" w:hAnsi="Times New Roman" w:eastAsia="黑体"/>
                <w:b/>
                <w:sz w:val="16"/>
              </w:rPr>
              <w:t>暴露</w:t>
            </w:r>
          </w:p>
        </w:tc>
        <w:tc>
          <w:tcPr>
            <w:tcW w:type="dxa" w:w="787"/>
          </w:tcPr>
          <w:p>
            <w:pPr>
              <w:spacing w:after="0" w:before="0" w:line="240" w:lineRule="auto"/>
            </w:pPr>
            <w:r/>
            <w:r>
              <w:rPr>
                <w:rFonts w:ascii="Times New Roman" w:hAnsi="Times New Roman" w:eastAsia="黑体"/>
                <w:b/>
                <w:sz w:val="16"/>
              </w:rPr>
              <w:t>占端到端</w:t>
            </w:r>
          </w:p>
        </w:tc>
      </w:tr>
      <w:tr>
        <w:tc>
          <w:tcPr>
            <w:tcW w:type="dxa" w:w="831"/>
          </w:tcPr>
          <w:p>
            <w:pPr>
              <w:spacing w:after="0" w:before="0" w:line="240" w:lineRule="auto"/>
            </w:pPr>
            <w:r/>
            <w:r>
              <w:rPr>
                <w:rFonts w:ascii="Times New Roman" w:hAnsi="Times New Roman" w:eastAsia="宋体"/>
                <w:b w:val="0"/>
                <w:sz w:val="15"/>
              </w:rPr>
              <w:t>专家权重</w:t>
            </w:r>
          </w:p>
        </w:tc>
        <w:tc>
          <w:tcPr>
            <w:tcW w:type="dxa" w:w="809"/>
          </w:tcPr>
          <w:p>
            <w:pPr>
              <w:spacing w:after="0" w:before="0" w:line="240" w:lineRule="auto"/>
            </w:pPr>
            <w:r/>
            <w:r>
              <w:rPr>
                <w:rFonts w:ascii="Times New Roman" w:hAnsi="Times New Roman" w:eastAsia="宋体"/>
                <w:b w:val="0"/>
                <w:sz w:val="15"/>
              </w:rPr>
              <w:t>22.5 GB</w:t>
            </w:r>
          </w:p>
        </w:tc>
        <w:tc>
          <w:tcPr>
            <w:tcW w:type="dxa" w:w="787"/>
          </w:tcPr>
          <w:p>
            <w:pPr>
              <w:spacing w:after="0" w:before="0" w:line="240" w:lineRule="auto"/>
            </w:pPr>
            <w:r/>
            <w:r>
              <w:rPr>
                <w:rFonts w:ascii="Times New Roman" w:hAnsi="Times New Roman" w:eastAsia="宋体"/>
                <w:b w:val="0"/>
                <w:sz w:val="15"/>
              </w:rPr>
              <w:t>379 MB/s</w:t>
            </w:r>
          </w:p>
        </w:tc>
        <w:tc>
          <w:tcPr>
            <w:tcW w:type="dxa" w:w="809"/>
          </w:tcPr>
          <w:p>
            <w:pPr>
              <w:spacing w:after="0" w:before="0" w:line="240" w:lineRule="auto"/>
            </w:pPr>
            <w:r/>
            <w:r>
              <w:rPr>
                <w:rFonts w:ascii="Times New Roman" w:hAnsi="Times New Roman" w:eastAsia="宋体"/>
                <w:b w:val="0"/>
                <w:sz w:val="15"/>
              </w:rPr>
              <w:t>16 路并发</w:t>
            </w:r>
          </w:p>
        </w:tc>
        <w:tc>
          <w:tcPr>
            <w:tcW w:type="dxa" w:w="853"/>
          </w:tcPr>
          <w:p>
            <w:pPr>
              <w:spacing w:after="0" w:before="0" w:line="240" w:lineRule="auto"/>
            </w:pPr>
            <w:r/>
            <w:r>
              <w:rPr>
                <w:rFonts w:ascii="Times New Roman" w:hAnsi="Times New Roman" w:eastAsia="宋体"/>
                <w:b w:val="0"/>
                <w:sz w:val="15"/>
              </w:rPr>
              <w:t>59.39 s</w:t>
            </w:r>
          </w:p>
        </w:tc>
        <w:tc>
          <w:tcPr>
            <w:tcW w:type="dxa" w:w="787"/>
          </w:tcPr>
          <w:p>
            <w:pPr>
              <w:spacing w:after="0" w:before="0" w:line="240" w:lineRule="auto"/>
            </w:pPr>
            <w:r/>
            <w:r>
              <w:rPr>
                <w:rFonts w:ascii="Times New Roman" w:hAnsi="Times New Roman" w:eastAsia="宋体"/>
                <w:b w:val="0"/>
                <w:sz w:val="15"/>
              </w:rPr>
              <w:t>79.6%</w:t>
            </w:r>
          </w:p>
        </w:tc>
      </w:tr>
      <w:tr>
        <w:tc>
          <w:tcPr>
            <w:tcW w:type="dxa" w:w="831"/>
          </w:tcPr>
          <w:p>
            <w:pPr>
              <w:spacing w:after="0" w:before="0" w:line="240" w:lineRule="auto"/>
            </w:pPr>
            <w:r/>
            <w:r>
              <w:rPr>
                <w:rFonts w:ascii="Times New Roman" w:hAnsi="Times New Roman" w:eastAsia="宋体"/>
                <w:b w:val="0"/>
                <w:sz w:val="15"/>
              </w:rPr>
              <w:t>纯算术</w:t>
            </w:r>
          </w:p>
        </w:tc>
        <w:tc>
          <w:tcPr>
            <w:tcW w:type="dxa" w:w="809"/>
          </w:tcPr>
          <w:p>
            <w:pPr>
              <w:spacing w:after="0" w:before="0" w:line="240" w:lineRule="auto"/>
            </w:pPr>
            <w:r/>
            <w:r>
              <w:rPr>
                <w:rFonts w:ascii="Times New Roman" w:hAnsi="Times New Roman" w:eastAsia="宋体"/>
                <w:b w:val="0"/>
                <w:sz w:val="15"/>
              </w:rPr>
              <w:t>—</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14.85 s</w:t>
            </w:r>
          </w:p>
        </w:tc>
        <w:tc>
          <w:tcPr>
            <w:tcW w:type="dxa" w:w="787"/>
          </w:tcPr>
          <w:p>
            <w:pPr>
              <w:spacing w:after="0" w:before="0" w:line="240" w:lineRule="auto"/>
            </w:pPr>
            <w:r/>
            <w:r>
              <w:rPr>
                <w:rFonts w:ascii="Times New Roman" w:hAnsi="Times New Roman" w:eastAsia="宋体"/>
                <w:b w:val="0"/>
                <w:sz w:val="15"/>
              </w:rPr>
              <w:t>19.9%</w:t>
            </w:r>
          </w:p>
        </w:tc>
      </w:tr>
      <w:tr>
        <w:tc>
          <w:tcPr>
            <w:tcW w:type="dxa" w:w="831"/>
          </w:tcPr>
          <w:p>
            <w:pPr>
              <w:spacing w:after="0" w:before="0" w:line="240" w:lineRule="auto"/>
            </w:pPr>
            <w:r/>
            <w:r>
              <w:rPr>
                <w:rFonts w:ascii="Times New Roman" w:hAnsi="Times New Roman" w:eastAsia="宋体"/>
                <w:b w:val="0"/>
                <w:sz w:val="15"/>
              </w:rPr>
              <w:t>主干权重</w:t>
            </w:r>
          </w:p>
        </w:tc>
        <w:tc>
          <w:tcPr>
            <w:tcW w:type="dxa" w:w="809"/>
          </w:tcPr>
          <w:p>
            <w:pPr>
              <w:spacing w:after="0" w:before="0" w:line="240" w:lineRule="auto"/>
            </w:pPr>
            <w:r/>
            <w:r>
              <w:rPr>
                <w:rFonts w:ascii="Times New Roman" w:hAnsi="Times New Roman" w:eastAsia="宋体"/>
                <w:b w:val="0"/>
                <w:sz w:val="15"/>
              </w:rPr>
              <w:t>41.8 GB</w:t>
            </w:r>
          </w:p>
        </w:tc>
        <w:tc>
          <w:tcPr>
            <w:tcW w:type="dxa" w:w="787"/>
          </w:tcPr>
          <w:p>
            <w:pPr>
              <w:spacing w:after="0" w:before="0" w:line="240" w:lineRule="auto"/>
            </w:pPr>
            <w:r/>
            <w:r>
              <w:rPr>
                <w:rFonts w:ascii="Times New Roman" w:hAnsi="Times New Roman" w:eastAsia="宋体"/>
                <w:b w:val="0"/>
                <w:sz w:val="15"/>
              </w:rPr>
              <w:t>890 MB/s</w:t>
            </w:r>
          </w:p>
        </w:tc>
        <w:tc>
          <w:tcPr>
            <w:tcW w:type="dxa" w:w="809"/>
          </w:tcPr>
          <w:p>
            <w:pPr>
              <w:spacing w:after="0" w:before="0" w:line="240" w:lineRule="auto"/>
            </w:pPr>
            <w:r/>
            <w:r>
              <w:rPr>
                <w:rFonts w:ascii="Times New Roman" w:hAnsi="Times New Roman" w:eastAsia="宋体"/>
                <w:b w:val="0"/>
                <w:sz w:val="15"/>
              </w:rPr>
              <w:t>顺序</w:t>
            </w:r>
          </w:p>
        </w:tc>
        <w:tc>
          <w:tcPr>
            <w:tcW w:type="dxa" w:w="853"/>
          </w:tcPr>
          <w:p>
            <w:pPr>
              <w:spacing w:after="0" w:before="0" w:line="240" w:lineRule="auto"/>
            </w:pPr>
            <w:r/>
            <w:r>
              <w:rPr>
                <w:rFonts w:ascii="Times New Roman" w:hAnsi="Times New Roman" w:eastAsia="宋体"/>
                <w:b w:val="0"/>
                <w:sz w:val="15"/>
              </w:rPr>
              <w:t>0.38 s</w:t>
            </w:r>
          </w:p>
        </w:tc>
        <w:tc>
          <w:tcPr>
            <w:tcW w:type="dxa" w:w="787"/>
          </w:tcPr>
          <w:p>
            <w:pPr>
              <w:spacing w:after="0" w:before="0" w:line="240" w:lineRule="auto"/>
            </w:pPr>
            <w:r/>
            <w:r>
              <w:rPr>
                <w:rFonts w:ascii="Times New Roman" w:hAnsi="Times New Roman" w:eastAsia="宋体"/>
                <w:b w:val="0"/>
                <w:sz w:val="15"/>
              </w:rPr>
              <w:t>0.5%</w:t>
            </w:r>
          </w:p>
        </w:tc>
      </w:tr>
      <w:tr>
        <w:tc>
          <w:tcPr>
            <w:tcW w:type="dxa" w:w="831"/>
          </w:tcPr>
          <w:p>
            <w:pPr>
              <w:spacing w:after="0" w:before="0" w:line="240" w:lineRule="auto"/>
            </w:pPr>
            <w:r/>
            <w:r>
              <w:rPr>
                <w:rFonts w:ascii="Times New Roman" w:hAnsi="Times New Roman" w:eastAsia="宋体"/>
                <w:b w:val="0"/>
                <w:sz w:val="15"/>
              </w:rPr>
              <w:t>**端到端**</w:t>
            </w:r>
          </w:p>
        </w:tc>
        <w:tc>
          <w:tcPr>
            <w:tcW w:type="dxa" w:w="809"/>
          </w:tcPr>
          <w:p>
            <w:pPr>
              <w:spacing w:after="0" w:before="0" w:line="240" w:lineRule="auto"/>
            </w:pPr>
            <w:r/>
            <w:r>
              <w:rPr>
                <w:rFonts w:ascii="Times New Roman" w:hAnsi="Times New Roman" w:eastAsia="宋体"/>
                <w:b w:val="0"/>
                <w:sz w:val="15"/>
              </w:rPr>
              <w:t>64.3 GB</w:t>
            </w:r>
          </w:p>
        </w:tc>
        <w:tc>
          <w:tcPr>
            <w:tcW w:type="dxa" w:w="787"/>
          </w:tcPr>
          <w:p>
            <w:pPr>
              <w:spacing w:after="0" w:before="0" w:line="240" w:lineRule="auto"/>
            </w:pPr>
            <w:r/>
            <w:r>
              <w:rPr>
                <w:rFonts w:ascii="Times New Roman" w:hAnsi="Times New Roman" w:eastAsia="宋体"/>
                <w:b w:val="0"/>
                <w:sz w:val="15"/>
              </w:rPr>
              <w:t>—</w:t>
            </w:r>
          </w:p>
        </w:tc>
        <w:tc>
          <w:tcPr>
            <w:tcW w:type="dxa" w:w="809"/>
          </w:tcPr>
          <w:p>
            <w:pPr>
              <w:spacing w:after="0" w:before="0" w:line="240" w:lineRule="auto"/>
            </w:pPr>
            <w:r/>
            <w:r>
              <w:rPr>
                <w:rFonts w:ascii="Times New Roman" w:hAnsi="Times New Roman" w:eastAsia="宋体"/>
                <w:b w:val="0"/>
                <w:sz w:val="15"/>
              </w:rPr>
              <w:t>—</w:t>
            </w:r>
          </w:p>
        </w:tc>
        <w:tc>
          <w:tcPr>
            <w:tcW w:type="dxa" w:w="853"/>
          </w:tcPr>
          <w:p>
            <w:pPr>
              <w:spacing w:after="0" w:before="0" w:line="240" w:lineRule="auto"/>
            </w:pPr>
            <w:r/>
            <w:r>
              <w:rPr>
                <w:rFonts w:ascii="Times New Roman" w:hAnsi="Times New Roman" w:eastAsia="宋体"/>
                <w:b w:val="0"/>
                <w:sz w:val="15"/>
              </w:rPr>
              <w:t>**74.57 s**</w:t>
            </w:r>
          </w:p>
        </w:tc>
        <w:tc>
          <w:tcPr>
            <w:tcW w:type="dxa" w:w="787"/>
          </w:tcPr>
          <w:p>
            <w:pPr>
              <w:spacing w:after="0" w:before="0" w:line="240" w:lineRule="auto"/>
            </w:pPr>
            <w:r/>
            <w:r>
              <w:rPr>
                <w:rFonts w:ascii="Times New Roman" w:hAnsi="Times New Roman" w:eastAsia="宋体"/>
                <w:b w:val="0"/>
                <w:sz w:val="15"/>
              </w:rPr>
              <w:t>100%</w:t>
            </w:r>
          </w:p>
        </w:tc>
      </w:tr>
    </w:tbl>
    <w:p>
      <w:pPr>
        <w:spacing w:after="40" w:line="276" w:lineRule="auto"/>
        <w:ind w:firstLine="360"/>
      </w:pPr>
      <w:r>
        <w:rPr>
          <w:rFonts w:ascii="Times New Roman" w:hAnsi="Times New Roman" w:eastAsia="宋体"/>
          <w:b w:val="0"/>
          <w:sz w:val="18"/>
        </w:rPr>
        <w:t>注：纯算术不含专家读。访问序列，专家流为 16 路并发、层内取 16 个专家，主干流为层内连续的顺序读并带环形预取。暴露列为该相位暴露在墙上的时间，单位 s/词元。</w:t>
      </w:r>
    </w:p>
    <w:p>
      <w:pPr>
        <w:spacing w:after="40" w:line="276" w:lineRule="auto"/>
        <w:ind w:firstLine="360"/>
      </w:pPr>
      <w:r>
        <w:rPr>
          <w:rFonts w:ascii="Times New Roman" w:hAnsi="Times New Roman" w:eastAsia="宋体"/>
          <w:b w:val="0"/>
          <w:sz w:val="18"/>
        </w:rPr>
        <w:t>注：时间为三轮运行的中位数，各轮均于低负载下启动。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——三者在本档相互重叠，相加会把专家读的 100% 重复计入算术区间。故本表按互斥口径给出，三轮残差均为 0.0000，与引擎自报逐词元墙钟吻合 99.8–99.9%。速率取字节除以该相位并集时间，专家一项为 16 路并发的聚合值。主干一项离散达 355%，只能表述为"不足墙的 1%、早已被掩盖"，不作精确值引用。</w:t>
      </w:r>
      <w:r>
        <w:rPr>
          <w:rFonts w:ascii="Times New Roman" w:hAnsi="Times New Roman" w:eastAsia="宋体"/>
          <w:b/>
          <w:sz w:val="18"/>
        </w:rPr>
        <w:t>三轮原始数字与离群点说明见随稿附件 A.1。</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：同一配置连续 30 次运行的字节量完全相同，墙钟散布在 65.21–117.87 s/词元，跨度 80.8%（图 3）。故该数字是方向一致的单次对照，不作为可引用的一次运行效果量。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030104"/>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030104"/>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判据要求按字节核算，因而可以断言"字节一个没少"；而输出速度是字节与调度共同作用于端到端的综合结果，同一字节量下其 30 次重复的跨度达 80.8%（图 3），不足以支撑小于约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Layout w:type="fixed"/>
      </w:tblPr>
      <w:tblGrid>
        <w:gridCol w:w="1278"/>
        <w:gridCol w:w="1120"/>
        <w:gridCol w:w="1357"/>
        <w:gridCol w:w="1120"/>
      </w:tblGrid>
      <w:tr>
        <w:tc>
          <w:tcPr>
            <w:tcW w:type="dxa" w:w="1278"/>
          </w:tcPr>
          <w:p>
            <w:pPr>
              <w:spacing w:after="0" w:before="0" w:line="240" w:lineRule="auto"/>
            </w:pPr>
            <w:r/>
            <w:r>
              <w:rPr>
                <w:rFonts w:ascii="Times New Roman" w:hAnsi="Times New Roman" w:eastAsia="黑体"/>
                <w:b/>
                <w:sz w:val="16"/>
              </w:rPr>
              <w:t>L1 策略</w:t>
            </w:r>
          </w:p>
        </w:tc>
        <w:tc>
          <w:tcPr>
            <w:tcW w:type="dxa" w:w="1120"/>
          </w:tcPr>
          <w:p>
            <w:pPr>
              <w:spacing w:after="0" w:before="0" w:line="240" w:lineRule="auto"/>
            </w:pPr>
            <w:r/>
            <w:r>
              <w:rPr>
                <w:rFonts w:ascii="Times New Roman" w:hAnsi="Times New Roman" w:eastAsia="黑体"/>
                <w:b/>
                <w:sz w:val="16"/>
              </w:rPr>
              <w:t>cache</w:t>
            </w:r>
          </w:p>
        </w:tc>
        <w:tc>
          <w:tcPr>
            <w:tcW w:type="dxa" w:w="1357"/>
          </w:tcPr>
          <w:p>
            <w:pPr>
              <w:spacing w:after="0" w:before="0" w:line="240" w:lineRule="auto"/>
            </w:pPr>
            <w:r/>
            <w:r>
              <w:rPr>
                <w:rFonts w:ascii="Times New Roman" w:hAnsi="Times New Roman" w:eastAsia="黑体"/>
                <w:b/>
                <w:sz w:val="16"/>
              </w:rPr>
              <w:t>三轮实测</w:t>
            </w:r>
          </w:p>
        </w:tc>
        <w:tc>
          <w:tcPr>
            <w:tcW w:type="dxa" w:w="1120"/>
          </w:tcPr>
          <w:p>
            <w:pPr>
              <w:spacing w:after="0" w:before="0" w:line="240" w:lineRule="auto"/>
            </w:pPr>
            <w:r/>
            <w:r>
              <w:rPr>
                <w:rFonts w:ascii="Times New Roman" w:hAnsi="Times New Roman" w:eastAsia="黑体"/>
                <w:b/>
                <w:sz w:val="16"/>
              </w:rPr>
              <w:t>中位</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8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r>
        <w:tc>
          <w:tcPr>
            <w:tcW w:type="dxa" w:w="1278"/>
          </w:tcPr>
          <w:p>
            <w:pPr>
              <w:spacing w:after="0" w:before="0" w:line="240" w:lineRule="auto"/>
            </w:pPr>
            <w:r/>
            <w:r>
              <w:rPr>
                <w:rFonts w:ascii="Times New Roman" w:hAnsi="Times New Roman" w:eastAsia="宋体"/>
                <w:b w:val="0"/>
                <w:sz w:val="15"/>
              </w:rPr>
              <w:t>LRU</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25.83 ×3</w:t>
            </w:r>
          </w:p>
        </w:tc>
        <w:tc>
          <w:tcPr>
            <w:tcW w:type="dxa" w:w="1120"/>
          </w:tcPr>
          <w:p>
            <w:pPr>
              <w:spacing w:after="0" w:before="0" w:line="240" w:lineRule="auto"/>
            </w:pPr>
            <w:r/>
            <w:r>
              <w:rPr>
                <w:rFonts w:ascii="Times New Roman" w:hAnsi="Times New Roman" w:eastAsia="宋体"/>
                <w:b w:val="0"/>
                <w:sz w:val="15"/>
              </w:rPr>
              <w:t>25.83</w:t>
            </w:r>
          </w:p>
        </w:tc>
      </w:tr>
      <w:tr>
        <w:tc>
          <w:tcPr>
            <w:tcW w:type="dxa" w:w="1278"/>
          </w:tcPr>
          <w:p>
            <w:pPr>
              <w:spacing w:after="0" w:before="0" w:line="240" w:lineRule="auto"/>
            </w:pPr>
            <w:r/>
            <w:r>
              <w:rPr>
                <w:rFonts w:ascii="Times New Roman" w:hAnsi="Times New Roman" w:eastAsia="宋体"/>
                <w:b w:val="0"/>
                <w:sz w:val="15"/>
              </w:rPr>
              <w:t>heat</w:t>
            </w:r>
          </w:p>
        </w:tc>
        <w:tc>
          <w:tcPr>
            <w:tcW w:type="dxa" w:w="1120"/>
          </w:tcPr>
          <w:p>
            <w:pPr>
              <w:spacing w:after="0" w:before="0" w:line="240" w:lineRule="auto"/>
            </w:pPr>
            <w:r/>
            <w:r>
              <w:rPr>
                <w:rFonts w:ascii="Times New Roman" w:hAnsi="Times New Roman" w:eastAsia="宋体"/>
                <w:b w:val="0"/>
                <w:sz w:val="15"/>
              </w:rPr>
              <w:t>15 GB</w:t>
            </w:r>
          </w:p>
        </w:tc>
        <w:tc>
          <w:tcPr>
            <w:tcW w:type="dxa" w:w="1357"/>
          </w:tcPr>
          <w:p>
            <w:pPr>
              <w:spacing w:after="0" w:before="0" w:line="240" w:lineRule="auto"/>
            </w:pPr>
            <w:r/>
            <w:r>
              <w:rPr>
                <w:rFonts w:ascii="Times New Roman" w:hAnsi="Times New Roman" w:eastAsia="宋体"/>
                <w:b w:val="0"/>
                <w:sz w:val="15"/>
              </w:rPr>
              <w:t>25.50 ×3</w:t>
            </w:r>
          </w:p>
        </w:tc>
        <w:tc>
          <w:tcPr>
            <w:tcW w:type="dxa" w:w="1120"/>
          </w:tcPr>
          <w:p>
            <w:pPr>
              <w:spacing w:after="0" w:before="0" w:line="240" w:lineRule="auto"/>
            </w:pPr>
            <w:r/>
            <w:r>
              <w:rPr>
                <w:rFonts w:ascii="Times New Roman" w:hAnsi="Times New Roman" w:eastAsia="宋体"/>
                <w:b w:val="0"/>
                <w:sz w:val="15"/>
              </w:rPr>
              <w:t>25.50</w:t>
            </w:r>
          </w:p>
        </w:tc>
      </w:tr>
    </w:tbl>
    <w:p>
      <w:pPr>
        <w:spacing w:after="40" w:line="276" w:lineRule="auto"/>
        <w:ind w:firstLine="360"/>
      </w:pPr>
      <w:r>
        <w:rPr>
          <w:rFonts w:ascii="Times New Roman" w:hAnsi="Times New Roman" w:eastAsia="宋体"/>
          <w:b w:val="0"/>
          <w:sz w:val="18"/>
        </w:rPr>
        <w:t>注：cache 为 L1 缓存档位；实测与中位单位为 GB/词元，三轮三轮逐位一致。</w:t>
      </w:r>
    </w:p>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Layout w:type="fixed"/>
      </w:tblPr>
      <w:tblGrid>
        <w:gridCol w:w="843"/>
        <w:gridCol w:w="820"/>
        <w:gridCol w:w="797"/>
        <w:gridCol w:w="797"/>
        <w:gridCol w:w="797"/>
        <w:gridCol w:w="820"/>
      </w:tblGrid>
      <w:tr>
        <w:tc>
          <w:tcPr>
            <w:tcW w:type="dxa" w:w="843"/>
          </w:tcPr>
          <w:p>
            <w:pPr>
              <w:spacing w:after="0" w:before="0" w:line="240" w:lineRule="auto"/>
            </w:pPr>
            <w:r/>
            <w:r>
              <w:rPr>
                <w:rFonts w:ascii="Times New Roman" w:hAnsi="Times New Roman" w:eastAsia="黑体"/>
                <w:b/>
                <w:sz w:val="16"/>
              </w:rPr>
              <w:t>落位档</w:t>
            </w:r>
          </w:p>
        </w:tc>
        <w:tc>
          <w:tcPr>
            <w:tcW w:type="dxa" w:w="820"/>
          </w:tcPr>
          <w:p>
            <w:pPr>
              <w:spacing w:after="0" w:before="0" w:line="240" w:lineRule="auto"/>
            </w:pPr>
            <w:r/>
            <w:r>
              <w:rPr>
                <w:rFonts w:ascii="Times New Roman" w:hAnsi="Times New Roman" w:eastAsia="黑体"/>
                <w:b/>
                <w:sz w:val="16"/>
              </w:rPr>
              <w:t>字节/词元</w:t>
            </w:r>
          </w:p>
        </w:tc>
        <w:tc>
          <w:tcPr>
            <w:tcW w:type="dxa" w:w="797"/>
          </w:tcPr>
          <w:p>
            <w:pPr>
              <w:spacing w:after="0" w:before="0" w:line="240" w:lineRule="auto"/>
            </w:pPr>
            <w:r/>
            <w:r>
              <w:rPr>
                <w:rFonts w:ascii="Times New Roman" w:hAnsi="Times New Roman" w:eastAsia="黑体"/>
                <w:b/>
                <w:sz w:val="16"/>
              </w:rPr>
              <w:t>带宽</w:t>
            </w:r>
          </w:p>
        </w:tc>
        <w:tc>
          <w:tcPr>
            <w:tcW w:type="dxa" w:w="797"/>
          </w:tcPr>
          <w:p>
            <w:pPr>
              <w:spacing w:after="0" w:before="0" w:line="240" w:lineRule="auto"/>
            </w:pPr>
            <w:r/>
            <w:r>
              <w:rPr>
                <w:rFonts w:ascii="Times New Roman" w:hAnsi="Times New Roman" w:eastAsia="黑体"/>
                <w:b/>
                <w:sz w:val="16"/>
              </w:rPr>
              <w:t>公式下限</w:t>
            </w:r>
          </w:p>
        </w:tc>
        <w:tc>
          <w:tcPr>
            <w:tcW w:type="dxa" w:w="797"/>
          </w:tcPr>
          <w:p>
            <w:pPr>
              <w:spacing w:after="0" w:before="0" w:line="240" w:lineRule="auto"/>
            </w:pPr>
            <w:r/>
            <w:r>
              <w:rPr>
                <w:rFonts w:ascii="Times New Roman" w:hAnsi="Times New Roman" w:eastAsia="黑体"/>
                <w:b/>
                <w:sz w:val="16"/>
              </w:rPr>
              <w:t>实测</w:t>
            </w:r>
          </w:p>
        </w:tc>
        <w:tc>
          <w:tcPr>
            <w:tcW w:type="dxa" w:w="820"/>
          </w:tcPr>
          <w:p>
            <w:pPr>
              <w:spacing w:after="0" w:before="0" w:line="240" w:lineRule="auto"/>
            </w:pPr>
            <w:r/>
            <w:r>
              <w:rPr>
                <w:rFonts w:ascii="Times New Roman" w:hAnsi="Times New Roman" w:eastAsia="黑体"/>
                <w:b/>
                <w:sz w:val="16"/>
              </w:rPr>
              <w:t>实测/下限</w:t>
            </w:r>
          </w:p>
        </w:tc>
      </w:tr>
      <w:tr>
        <w:tc>
          <w:tcPr>
            <w:tcW w:type="dxa" w:w="843"/>
          </w:tcPr>
          <w:p>
            <w:pPr>
              <w:spacing w:after="0" w:before="0" w:line="240" w:lineRule="auto"/>
            </w:pPr>
            <w:r/>
            <w:r>
              <w:rPr>
                <w:rFonts w:ascii="Times New Roman" w:hAnsi="Times New Roman" w:eastAsia="宋体"/>
                <w:b w:val="0"/>
                <w:sz w:val="15"/>
              </w:rPr>
              <w:t>A 慢盘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85 MB/s</w:t>
            </w:r>
          </w:p>
        </w:tc>
        <w:tc>
          <w:tcPr>
            <w:tcW w:type="dxa" w:w="797"/>
          </w:tcPr>
          <w:p>
            <w:pPr>
              <w:spacing w:after="0" w:before="0" w:line="240" w:lineRule="auto"/>
            </w:pPr>
            <w:r/>
            <w:r>
              <w:rPr>
                <w:rFonts w:ascii="Times New Roman" w:hAnsi="Times New Roman" w:eastAsia="宋体"/>
                <w:b w:val="0"/>
                <w:sz w:val="15"/>
              </w:rPr>
              <w:t>303.9 s</w:t>
            </w:r>
          </w:p>
        </w:tc>
        <w:tc>
          <w:tcPr>
            <w:tcW w:type="dxa" w:w="797"/>
          </w:tcPr>
          <w:p>
            <w:pPr>
              <w:spacing w:after="0" w:before="0" w:line="240" w:lineRule="auto"/>
            </w:pPr>
            <w:r/>
            <w:r>
              <w:rPr>
                <w:rFonts w:ascii="Times New Roman" w:hAnsi="Times New Roman" w:eastAsia="宋体"/>
                <w:b w:val="0"/>
                <w:sz w:val="15"/>
              </w:rPr>
              <w:t>303.58 s</w:t>
            </w:r>
          </w:p>
        </w:tc>
        <w:tc>
          <w:tcPr>
            <w:tcW w:type="dxa" w:w="820"/>
          </w:tcPr>
          <w:p>
            <w:pPr>
              <w:spacing w:after="0" w:before="0" w:line="240" w:lineRule="auto"/>
            </w:pPr>
            <w:r/>
            <w:r>
              <w:rPr>
                <w:rFonts w:ascii="Times New Roman" w:hAnsi="Times New Roman" w:eastAsia="宋体"/>
                <w:b w:val="0"/>
                <w:sz w:val="15"/>
              </w:rPr>
              <w:t>1.00</w:t>
            </w:r>
          </w:p>
        </w:tc>
      </w:tr>
      <w:tr>
        <w:tc>
          <w:tcPr>
            <w:tcW w:type="dxa" w:w="843"/>
          </w:tcPr>
          <w:p>
            <w:pPr>
              <w:spacing w:after="0" w:before="0" w:line="240" w:lineRule="auto"/>
            </w:pPr>
            <w:r/>
            <w:r>
              <w:rPr>
                <w:rFonts w:ascii="Times New Roman" w:hAnsi="Times New Roman" w:eastAsia="宋体"/>
                <w:b w:val="0"/>
                <w:sz w:val="15"/>
              </w:rPr>
              <w:t>B 高速盘</w:t>
            </w:r>
          </w:p>
        </w:tc>
        <w:tc>
          <w:tcPr>
            <w:tcW w:type="dxa" w:w="820"/>
          </w:tcPr>
          <w:p>
            <w:pPr>
              <w:spacing w:after="0" w:before="0" w:line="240" w:lineRule="auto"/>
            </w:pPr>
            <w:r/>
            <w:r>
              <w:rPr>
                <w:rFonts w:ascii="Times New Roman" w:hAnsi="Times New Roman" w:eastAsia="宋体"/>
                <w:b w:val="0"/>
                <w:sz w:val="15"/>
              </w:rPr>
              <w:t>25.83 GB</w:t>
            </w:r>
          </w:p>
        </w:tc>
        <w:tc>
          <w:tcPr>
            <w:tcW w:type="dxa" w:w="797"/>
          </w:tcPr>
          <w:p>
            <w:pPr>
              <w:spacing w:after="0" w:before="0" w:line="240" w:lineRule="auto"/>
            </w:pPr>
            <w:r/>
            <w:r>
              <w:rPr>
                <w:rFonts w:ascii="Times New Roman" w:hAnsi="Times New Roman" w:eastAsia="宋体"/>
                <w:b w:val="0"/>
                <w:sz w:val="15"/>
              </w:rPr>
              <w:t>419 MB/s</w:t>
            </w:r>
          </w:p>
        </w:tc>
        <w:tc>
          <w:tcPr>
            <w:tcW w:type="dxa" w:w="797"/>
          </w:tcPr>
          <w:p>
            <w:pPr>
              <w:spacing w:after="0" w:before="0" w:line="240" w:lineRule="auto"/>
            </w:pPr>
            <w:r/>
            <w:r>
              <w:rPr>
                <w:rFonts w:ascii="Times New Roman" w:hAnsi="Times New Roman" w:eastAsia="宋体"/>
                <w:b w:val="0"/>
                <w:sz w:val="15"/>
              </w:rPr>
              <w:t>61.6 s</w:t>
            </w:r>
          </w:p>
        </w:tc>
        <w:tc>
          <w:tcPr>
            <w:tcW w:type="dxa" w:w="797"/>
          </w:tcPr>
          <w:p>
            <w:pPr>
              <w:spacing w:after="0" w:before="0" w:line="240" w:lineRule="auto"/>
            </w:pPr>
            <w:r/>
            <w:r>
              <w:rPr>
                <w:rFonts w:ascii="Times New Roman" w:hAnsi="Times New Roman" w:eastAsia="宋体"/>
                <w:b w:val="0"/>
                <w:sz w:val="15"/>
              </w:rPr>
              <w:t>191.6 s</w:t>
            </w:r>
          </w:p>
        </w:tc>
        <w:tc>
          <w:tcPr>
            <w:tcW w:type="dxa" w:w="820"/>
          </w:tcPr>
          <w:p>
            <w:pPr>
              <w:spacing w:after="0" w:before="0" w:line="240" w:lineRule="auto"/>
            </w:pPr>
            <w:r/>
            <w:r>
              <w:rPr>
                <w:rFonts w:ascii="Times New Roman" w:hAnsi="Times New Roman" w:eastAsia="宋体"/>
                <w:b w:val="0"/>
                <w:sz w:val="15"/>
              </w:rPr>
              <w:t>3.11</w:t>
            </w:r>
          </w:p>
        </w:tc>
      </w:tr>
      <w:tr>
        <w:tc>
          <w:tcPr>
            <w:tcW w:type="dxa" w:w="843"/>
          </w:tcPr>
          <w:p>
            <w:pPr>
              <w:spacing w:after="0" w:before="0" w:line="240" w:lineRule="auto"/>
            </w:pPr>
            <w:r/>
            <w:r>
              <w:rPr>
                <w:rFonts w:ascii="Times New Roman" w:hAnsi="Times New Roman" w:eastAsia="宋体"/>
                <w:b w:val="0"/>
                <w:sz w:val="15"/>
              </w:rPr>
              <w:t>C 当日最优</w:t>
            </w:r>
          </w:p>
        </w:tc>
        <w:tc>
          <w:tcPr>
            <w:tcW w:type="dxa" w:w="820"/>
          </w:tcPr>
          <w:p>
            <w:pPr>
              <w:spacing w:after="0" w:before="0" w:line="240" w:lineRule="auto"/>
            </w:pPr>
            <w:r/>
            <w:r>
              <w:rPr>
                <w:rFonts w:ascii="Times New Roman" w:hAnsi="Times New Roman" w:eastAsia="宋体"/>
                <w:b w:val="0"/>
                <w:sz w:val="15"/>
              </w:rPr>
              <w:t>77.5 GB</w:t>
            </w:r>
          </w:p>
        </w:tc>
        <w:tc>
          <w:tcPr>
            <w:tcW w:type="dxa" w:w="797"/>
          </w:tcPr>
          <w:p>
            <w:pPr>
              <w:spacing w:after="0" w:before="0" w:line="240" w:lineRule="auto"/>
            </w:pPr>
            <w:r/>
            <w:r>
              <w:rPr>
                <w:rFonts w:ascii="Times New Roman" w:hAnsi="Times New Roman" w:eastAsia="宋体"/>
                <w:b w:val="0"/>
                <w:sz w:val="15"/>
              </w:rPr>
              <w:t>1.5 GB/s</w:t>
            </w:r>
          </w:p>
        </w:tc>
        <w:tc>
          <w:tcPr>
            <w:tcW w:type="dxa" w:w="797"/>
          </w:tcPr>
          <w:p>
            <w:pPr>
              <w:spacing w:after="0" w:before="0" w:line="240" w:lineRule="auto"/>
            </w:pPr>
            <w:r/>
            <w:r>
              <w:rPr>
                <w:rFonts w:ascii="Times New Roman" w:hAnsi="Times New Roman" w:eastAsia="宋体"/>
                <w:b w:val="0"/>
                <w:sz w:val="15"/>
              </w:rPr>
              <w:t>51.7 s</w:t>
            </w:r>
          </w:p>
        </w:tc>
        <w:tc>
          <w:tcPr>
            <w:tcW w:type="dxa" w:w="797"/>
          </w:tcPr>
          <w:p>
            <w:pPr>
              <w:spacing w:after="0" w:before="0" w:line="240" w:lineRule="auto"/>
            </w:pPr>
            <w:r/>
            <w:r>
              <w:rPr>
                <w:rFonts w:ascii="Times New Roman" w:hAnsi="Times New Roman" w:eastAsia="宋体"/>
                <w:b w:val="0"/>
                <w:sz w:val="15"/>
              </w:rPr>
              <w:t>82.86 s</w:t>
            </w:r>
          </w:p>
        </w:tc>
        <w:tc>
          <w:tcPr>
            <w:tcW w:type="dxa" w:w="820"/>
          </w:tcPr>
          <w:p>
            <w:pPr>
              <w:spacing w:after="0" w:before="0" w:line="240" w:lineRule="auto"/>
            </w:pPr>
            <w:r/>
            <w:r>
              <w:rPr>
                <w:rFonts w:ascii="Times New Roman" w:hAnsi="Times New Roman" w:eastAsia="宋体"/>
                <w:b w:val="0"/>
                <w:sz w:val="15"/>
              </w:rPr>
              <w:t>1.60</w:t>
            </w:r>
          </w:p>
        </w:tc>
      </w:tr>
      <w:tr>
        <w:tc>
          <w:tcPr>
            <w:tcW w:type="dxa" w:w="843"/>
          </w:tcPr>
          <w:p>
            <w:pPr>
              <w:spacing w:after="0" w:before="0" w:line="240" w:lineRule="auto"/>
            </w:pPr>
            <w:r/>
            <w:r>
              <w:rPr>
                <w:rFonts w:ascii="Times New Roman" w:hAnsi="Times New Roman" w:eastAsia="宋体"/>
                <w:b w:val="0"/>
                <w:sz w:val="15"/>
              </w:rPr>
              <w:t>D 逐相位</w:t>
            </w:r>
          </w:p>
        </w:tc>
        <w:tc>
          <w:tcPr>
            <w:tcW w:type="dxa" w:w="820"/>
          </w:tcPr>
          <w:p>
            <w:pPr>
              <w:spacing w:after="0" w:before="0" w:line="240" w:lineRule="auto"/>
            </w:pPr>
            <w:r/>
            <w:r>
              <w:rPr>
                <w:rFonts w:ascii="Times New Roman" w:hAnsi="Times New Roman" w:eastAsia="宋体"/>
                <w:b w:val="0"/>
                <w:sz w:val="15"/>
              </w:rPr>
              <w:t>64.3 GB</w:t>
            </w:r>
          </w:p>
        </w:tc>
        <w:tc>
          <w:tcPr>
            <w:tcW w:type="dxa" w:w="797"/>
          </w:tcPr>
          <w:p>
            <w:pPr>
              <w:spacing w:after="0" w:before="0" w:line="240" w:lineRule="auto"/>
            </w:pPr>
            <w:r/>
            <w:r>
              <w:rPr>
                <w:rFonts w:ascii="Times New Roman" w:hAnsi="Times New Roman" w:eastAsia="宋体"/>
                <w:b w:val="0"/>
                <w:sz w:val="15"/>
              </w:rPr>
              <w:t>混合</w:t>
            </w:r>
          </w:p>
        </w:tc>
        <w:tc>
          <w:tcPr>
            <w:tcW w:type="dxa" w:w="797"/>
          </w:tcPr>
          <w:p>
            <w:pPr>
              <w:spacing w:after="0" w:before="0" w:line="240" w:lineRule="auto"/>
            </w:pPr>
            <w:r/>
            <w:r>
              <w:rPr>
                <w:rFonts w:ascii="Times New Roman" w:hAnsi="Times New Roman" w:eastAsia="宋体"/>
                <w:b w:val="0"/>
                <w:sz w:val="15"/>
              </w:rPr>
              <w:t>70.4 s</w:t>
            </w:r>
          </w:p>
        </w:tc>
        <w:tc>
          <w:tcPr>
            <w:tcW w:type="dxa" w:w="797"/>
          </w:tcPr>
          <w:p>
            <w:pPr>
              <w:spacing w:after="0" w:before="0" w:line="240" w:lineRule="auto"/>
            </w:pPr>
            <w:r/>
            <w:r>
              <w:rPr>
                <w:rFonts w:ascii="Times New Roman" w:hAnsi="Times New Roman" w:eastAsia="宋体"/>
                <w:b w:val="0"/>
                <w:sz w:val="15"/>
              </w:rPr>
              <w:t>74.57 s</w:t>
            </w:r>
          </w:p>
        </w:tc>
        <w:tc>
          <w:tcPr>
            <w:tcW w:type="dxa" w:w="820"/>
          </w:tcPr>
          <w:p>
            <w:pPr>
              <w:spacing w:after="0" w:before="0" w:line="240" w:lineRule="auto"/>
            </w:pPr>
            <w:r/>
            <w:r>
              <w:rPr>
                <w:rFonts w:ascii="Times New Roman" w:hAnsi="Times New Roman" w:eastAsia="宋体"/>
                <w:b w:val="0"/>
                <w:sz w:val="15"/>
              </w:rPr>
              <w:t>1.06</w:t>
            </w:r>
          </w:p>
        </w:tc>
      </w:tr>
    </w:tbl>
    <w:p>
      <w:pPr>
        <w:spacing w:after="40" w:line="276" w:lineRule="auto"/>
        <w:ind w:firstLine="360"/>
      </w:pPr>
      <w:r>
        <w:rPr>
          <w:rFonts w:ascii="Times New Roman" w:hAnsi="Times New Roman" w:eastAsia="宋体"/>
          <w:b w:val="0"/>
          <w:sz w:val="18"/>
        </w:rPr>
        <w:t>注：A 慢盘为阶段 A 基线，B 为高速盘驻留（阶段 B），C 为首轮扫描所得最优配置，D 为第二次逐相位实测（主干常驻档，n=3 中位数）。字节与带宽单位为每词元；"混合"为主干 890 与专家 379 MB/s。公式下限 = 字节 ÷ 带宽，按"瓶颈设备独占带宽"计算，故为下限。</w:t>
      </w:r>
    </w:p>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40" w:line="276" w:lineRule="auto"/>
        <w:ind w:firstLine="360"/>
      </w:pPr>
      <w:r>
        <w:rPr>
          <w:rFonts w:ascii="Times New Roman" w:hAnsi="Times New Roman" w:eastAsia="宋体"/>
          <w:b/>
          <w:sz w:val="18"/>
        </w:rPr>
        <w:t>表 4 需要两步读法。</w:t>
      </w:r>
      <w:r>
        <w:rPr>
          <w:rFonts w:ascii="Times New Roman" w:hAnsi="Times New Roman" w:eastAsia="宋体"/>
          <w:b w:val="0"/>
          <w:sz w:val="18"/>
        </w:rPr>
        <w:t xml:space="preserve"> 四个比值里 3.11 与 1.60 都远离 1.00，若直接按"实测高于公式"解读，会得出实现有严重损耗的结论；而一旦主干与专家各自按其实际带宽计价，比值即落回 1.00 与 1.06，</w:t>
      </w:r>
      <w:r>
        <w:rPr>
          <w:rFonts w:ascii="Times New Roman" w:hAnsi="Times New Roman" w:eastAsia="宋体"/>
          <w:b/>
          <w:sz w:val="18"/>
        </w:rPr>
        <w:t>两档均落在规程第 14.1 节的 10% 判定带内</w:t>
      </w:r>
      <w:r>
        <w:rPr>
          <w:rFonts w:ascii="Times New Roman" w:hAnsi="Times New Roman" w:eastAsia="宋体"/>
          <w:b w:val="0"/>
          <w:sz w:val="18"/>
        </w:rPr>
        <w:t>，即公式已算到与实测同量级。</w:t>
      </w:r>
      <w:r>
        <w:rPr>
          <w:rFonts w:ascii="Times New Roman" w:hAnsi="Times New Roman" w:eastAsia="宋体"/>
          <w:b/>
          <w:sz w:val="18"/>
        </w:rPr>
        <w:t>剩余的 1.06 不是实现损耗</w:t>
      </w:r>
      <w:r>
        <w:rPr>
          <w:rFonts w:ascii="Times New Roman" w:hAnsi="Times New Roman" w:eastAsia="宋体"/>
          <w:b w:val="0"/>
          <w:sz w:val="18"/>
        </w:rPr>
        <w:t>，其机制是下面记录的串行化。</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上表的并发倍数不是独立于睡眠占比的第二个量，二者同源：本机为 8 物理核 / 16 逻辑处理器，8 核乘以 SMT 增益即落在实测区间内，故 worker 数超过约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受限，三条依据：运行队列等待均远小于在核时间，而饱和时两者应当相当；在核总量折合 8 核中的 3.2 核，即 40% 占用；队列等待仅占可用核时的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为观测量，该观测量在同一配置下不可复现：连续 30 次运行的字节量完全相同（均 4595 reqs、216.66 GB），而墙钟散布在 65.21–117.87 s/词元，跨度 80.8%，其中 17 次落在规程第 14.1 节的 10% 判定带内（图 3）。</w:t>
      </w:r>
      <w:r>
        <w:rPr>
          <w:rFonts w:ascii="Times New Roman" w:hAnsi="Times New Roman" w:eastAsia="宋体"/>
          <w:b/>
          <w:sz w:val="18"/>
        </w:rPr>
        <w:t>故不能引用任一时段的离散度充当本平台的重复性。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对一次生成调用求和，即得每低速层的读数预算。设 D_i 为 d 在参与路径上经介质 M_i 的 distinct 项集，N 为会话词元数，则健康时的读数预算与实测超读倍数分别为</w:t>
      </w:r>
    </w:p>
    <w:p>
      <w:pPr>
        <w:spacing w:after="0"/>
        <w:ind w:left="170"/>
      </w:pPr>
      <w:r>
        <w:rPr>
          <w:rFonts w:ascii="Consolas" w:hAnsi="Consolas"/>
          <w:sz w:val="14"/>
        </w:rPr>
        <w:t>B_i = Σ_{d ∈ D_i} slot(d)                 一次生成调用中，介质 M_i 的最小读数</w:t>
      </w:r>
    </w:p>
    <w:p>
      <w:pPr>
        <w:spacing w:after="0"/>
        <w:ind w:left="170"/>
      </w:pPr>
      <w:r>
        <w:rPr>
          <w:rFonts w:ascii="Consolas" w:hAnsi="Consolas"/>
          <w:sz w:val="14"/>
        </w:rPr>
        <w:t>E_i = B_actual,i / B_i                     超读倍数，取值 1 即已达下界</w:t>
      </w:r>
    </w:p>
    <w:p>
      <w:pPr>
        <w:spacing w:after="40" w:line="276" w:lineRule="auto"/>
        <w:ind w:firstLine="360"/>
      </w:pPr>
      <w:r>
        <w:rPr>
          <w:rFonts w:ascii="Times New Roman" w:hAnsi="Times New Roman" w:eastAsia="宋体"/>
          <w:b w:val="0"/>
          <w:sz w:val="18"/>
        </w:rPr>
        <w:t>其中 B_i 的构造即"每个 distinct 项刚好只读一次"。本文案例中专家 distinct 集合计约 176 GB；阶段 A 基线每词元 25.83 GB，故一次生成共读 B_1 ≈ 25.83 × N GB，远超下界 176 GB，超读倍数随 N 线性增长。E_1 远大于 1 即"复用未落位"，其超出部分可通过落位设计回收。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字节达标之后还需加测串行化，其成因随后经直接测量判定。字节达标不等于复用落位完成，加测串行化。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KPI，即 5.1 的超读倍数 E_1。本例的下界是一次生成调用之内、distinct 集刚好只读一次，合计约 176 GB；阶段 A 每词元全量重读 25.83 GB，该次生成的 E_1 = 25.83 × N / 176；稳态尾段（高速盘档）读数降至约 1.7 GB/词元，同一换算下 E_1 大幅收敛。</w:t>
      </w:r>
      <w:r>
        <w:rPr>
          <w:rFonts w:ascii="Times New Roman" w:hAnsi="Times New Roman" w:eastAsia="宋体"/>
          <w:b/>
          <w:sz w:val="18"/>
        </w:rPr>
        <w:t>E_1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类速度观测量在本平台不可复现</w:t>
      </w:r>
      <w:r>
        <w:rPr>
          <w:rFonts w:ascii="Times New Roman" w:hAnsi="Times New Roman" w:eastAsia="宋体"/>
          <w:b w:val="0"/>
          <w:sz w:val="18"/>
        </w:rPr>
        <w:t>（同一配置 30 次运行跨度 80.8%，见图 3），故口径②应以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的预算线只数字节，而字节量与代价不同向。表 3 的两行给出对照：</w:t>
      </w:r>
      <w:r>
        <w:rPr>
          <w:rFonts w:ascii="Times New Roman" w:hAnsi="Times New Roman" w:eastAsia="宋体"/>
          <w:b/>
          <w:sz w:val="18"/>
        </w:rPr>
        <w:t>搬运量较大的那一流几乎免费，搬运量较小的那一流占去整轮墙的大半</w:t>
      </w:r>
      <w:r>
        <w:rPr>
          <w:rFonts w:ascii="Times New Roman" w:hAnsi="Times New Roman" w:eastAsia="宋体"/>
          <w:b w:val="0"/>
          <w:sz w:val="18"/>
        </w:rPr>
        <w:t>，按单位字节计价相差两个多数量级。这说明预算线必须与代价口径并用，只数字节不够。</w:t>
      </w:r>
    </w:p>
    <w:p>
      <w:pPr>
        <w:spacing w:after="40" w:line="276" w:lineRule="auto"/>
        <w:ind w:firstLine="360"/>
      </w:pPr>
      <w:r>
        <w:rPr>
          <w:rFonts w:ascii="Times New Roman" w:hAnsi="Times New Roman" w:eastAsia="宋体"/>
          <w:b w:val="0"/>
          <w:sz w:val="18"/>
        </w:rPr>
        <w:t>本节记录为解释该反差所作的探查；该反差已由 §4.6 的配对测量闭合（机制为算术与 I/O 串行化），本节其余探查记录保留以说明排除过程。</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其一，不是寻址模式：</w:t>
      </w:r>
      <w:r>
        <w:rPr>
          <w:rFonts w:ascii="Consolas" w:hAnsi="Consolas"/>
          <w:color w:val="000080"/>
          <w:sz w:val="18"/>
        </w:rPr>
        <w:t>experts.l2</w:t>
      </w:r>
      <w:r>
        <w:rPr>
          <w:rFonts w:ascii="Times New Roman" w:hAnsi="Times New Roman" w:eastAsia="宋体"/>
          <w:b w:val="0"/>
          <w:sz w:val="18"/>
        </w:rPr>
        <w:t xml:space="preserve"> 按层与专家映射为平坦槽数组，层与层之间连续；层内取 16 个专家时，按三档间距实测聚合速率无单调差异，故"层内分散"是无关项。其二，不是 kio 队列这一跳：令 L2 读绕过该队列直接 </w:t>
      </w:r>
      <w:r>
        <w:rPr>
          <w:rFonts w:ascii="Consolas" w:hAnsi="Consolas"/>
          <w:color w:val="000080"/>
          <w:sz w:val="18"/>
        </w:rPr>
        <w:t>pread</w:t>
      </w:r>
      <w:r>
        <w:rPr>
          <w:rFonts w:ascii="Times New Roman" w:hAnsi="Times New Roman" w:eastAsia="宋体"/>
          <w:b w:val="0"/>
          <w:sz w:val="18"/>
        </w:rPr>
        <w:t>，引擎计数器读数无改善（该开关已因无收益而从代码中删除）。</w:t>
      </w:r>
      <w:r>
        <w:rPr>
          <w:rFonts w:ascii="Times New Roman" w:hAnsi="Times New Roman" w:eastAsia="宋体"/>
          <w:b/>
          <w:sz w:val="18"/>
        </w:rPr>
        <w:t>两项的完整数字与口径说明见随稿附件 A.1。</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差距的方向与存在性不受测量口径影响，幅度则随口径变化：由三对交错配对测得 1.30–1.58 倍。以 buffered 读与错误单元尺寸得到的速率不满足与引擎同口径（引擎每槽偏移与该测量相差约 5 MB，读到第 100 槽已落到不同区段）。</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该差距不是盘在短突发下的固有行为：把突发粒度跨 25 倍并加入停顿，五个臂的中位数无单调趋势；4M 块下设备在 4 流之后亦不再增益。</w:t>
      </w:r>
      <w:r>
        <w:rPr>
          <w:rFonts w:ascii="Times New Roman" w:hAnsi="Times New Roman" w:eastAsia="宋体"/>
          <w:b/>
          <w:sz w:val="18"/>
        </w:rPr>
        <w:t>故差距不是设备并发能力不足。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为说明该判据不依赖专家权重的访问模式，用回放器对本平台另一类负载做同样检查。KV（Key-Value，键值）缓存键流逐词元新键单调衰减，累计的 distinct 键数恰好落在驻留容量之内：全程无逐出，逐出重访为 0。按 5.2 的验收判据，该负载各键从低速层至多被读一次、无超下界的再读，判定"已达/低于下界"；与之对照，专家权重判为"未回落"（4.2）。</w:t>
      </w:r>
      <w:r>
        <w:rPr>
          <w:rFonts w:ascii="Times New Roman" w:hAnsi="Times New Roman" w:eastAsia="宋体"/>
          <w:b/>
          <w:sz w:val="18"/>
        </w:rPr>
        <w:t>同一判据在两类负载上给出与观测一致的相反结论，说明其依据是 distinct 集与驻留容量的实际关系，而非针对专家权重的特设。</w:t>
      </w:r>
      <w:r>
        <w:rPr>
          <w:rFonts w:ascii="Times New Roman" w:hAnsi="Times New Roman" w:eastAsia="宋体"/>
          <w:b w:val="0"/>
          <w:sz w:val="18"/>
        </w:rPr>
        <w:t xml:space="preserve"> 完整数字见随稿附件 A.1。</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该规程与模型无关，成本只是报告中多打印几个已有变量。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本文从一次反常现象出发：按命中率将缓存优化至满格，端到端吞吐仍未达到应有水平。围绕该现象，本文给出可逐行回查的字节日志审计与一次真机测量：对存储受限主机上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作为对现象的阐释，本文将上述观察组织为经验规律"慢速层只读一次"：复用若落在数据能到达的最快层，每一更慢层的最小读取次数为 1 且可达，达到该下界的调度低速层读取字节代价最小。它只依赖两条公设——路径上的层为数据到达最快层的唯一入口，代价按读取字节计且对字节量线性——回答的是"复用的代价底线"，据此可给出可检验的推论：读数远超下界即"复用未落位"。对照结果与之方向一致：低速层读数随落位层上移而下降（均值 6.7 GB、稳态尾段约 1.7 GB/词元）。</w:t>
      </w:r>
    </w:p>
    <w:p>
      <w:pPr>
        <w:spacing w:after="40" w:line="276" w:lineRule="auto"/>
        <w:ind w:firstLine="360"/>
      </w:pPr>
      <w:r>
        <w:rPr>
          <w:rFonts w:ascii="Times New Roman" w:hAnsi="Times New Roman" w:eastAsia="宋体"/>
          <w:b w:val="0"/>
          <w:sz w:val="18"/>
        </w:rPr>
        <w:t>字节达标并非终点。首次逐相位实测补出了判据原先缺的一个因子：代价还要看可达聚合带宽。该次运行的结果与直觉相反：搬运量最大的那一流反而近乎免费，搬运量最小的那一流几乎占满了整轮的墙（图 5）。</w:t>
      </w:r>
      <w:r>
        <w:rPr>
          <w:rFonts w:ascii="Times New Roman" w:hAnsi="Times New Roman" w:eastAsia="宋体"/>
          <w:b/>
          <w:sz w:val="18"/>
        </w:rPr>
        <w:t>成本与字节量不同向，这正是只数字节的预算线不够用的原因。</w:t>
      </w:r>
    </w:p>
    <w:p>
      <w:pPr>
        <w:spacing w:after="40" w:line="276" w:lineRule="auto"/>
        <w:ind w:firstLine="360"/>
      </w:pPr>
      <w:r>
        <w:rPr>
          <w:rFonts w:ascii="Times New Roman" w:hAnsi="Times New Roman" w:eastAsia="宋体"/>
          <w:b w:val="0"/>
          <w:sz w:val="18"/>
        </w:rPr>
        <w:t>因此本文把字节下界定为必要条件而非充分条件，并把验收判据由一条扩为两条并列：</w:t>
      </w:r>
    </w:p>
    <w:p>
      <w:pPr>
        <w:spacing w:after="0"/>
        <w:ind w:left="170"/>
      </w:pPr>
      <w:r>
        <w:rPr>
          <w:rFonts w:ascii="Consolas" w:hAnsi="Consolas"/>
          <w:sz w:val="14"/>
        </w:rPr>
        <w:t>① 字节口径   逐层 READ 字节趋近该层 distinct 集下界</w:t>
      </w:r>
    </w:p>
    <w:p>
      <w:pPr>
        <w:spacing w:after="0"/>
        <w:ind w:left="170"/>
      </w:pPr>
      <w:r>
        <w:rPr>
          <w:rFonts w:ascii="Consolas" w:hAnsi="Consolas"/>
          <w:sz w:val="14"/>
        </w:rPr>
        <w:t>② 串行化口径 实测聚合速率接近该访问形态下的设备实测能力</w:t>
      </w:r>
    </w:p>
    <w:p>
      <w:pPr>
        <w:spacing w:after="40" w:line="276" w:lineRule="auto"/>
        <w:ind w:firstLine="360"/>
      </w:pPr>
      <w:r>
        <w:rPr>
          <w:rFonts w:ascii="Times New Roman" w:hAnsi="Times New Roman" w:eastAsia="宋体"/>
          <w:b w:val="0"/>
          <w:sz w:val="18"/>
        </w:rPr>
        <w:t>两条之间的差距为 1.30–1.58 倍（三对交错配对，</w:t>
      </w:r>
      <w:r>
        <w:rPr>
          <w:rFonts w:ascii="Consolas" w:hAnsi="Consolas"/>
          <w:color w:val="000080"/>
          <w:sz w:val="18"/>
        </w:rPr>
        <w:t>reports/gateab_ab/v58_mix/ratios.txt</w:t>
      </w:r>
      <w:r>
        <w:rPr>
          <w:rFonts w:ascii="Times New Roman" w:hAnsi="Times New Roman" w:eastAsia="宋体"/>
          <w:b w:val="0"/>
          <w:sz w:val="18"/>
        </w:rPr>
        <w:t>），机制已定位为算术与 I/O 的串行化：每层读毕、计算、再读下一层，期间 worker 有 40–49% 的时间阻塞在等待上，而队列几乎不积压。</w:t>
      </w:r>
      <w:r>
        <w:rPr>
          <w:rFonts w:ascii="Times New Roman" w:hAnsi="Times New Roman" w:eastAsia="宋体"/>
          <w:b/>
          <w:sz w:val="18"/>
        </w:rPr>
        <w:t>这不是字节造成的</w:t>
      </w:r>
      <w:r>
        <w:rPr>
          <w:rFonts w:ascii="Times New Roman" w:hAnsi="Times New Roman" w:eastAsia="宋体"/>
          <w:b w:val="0"/>
          <w:sz w:val="18"/>
        </w:rPr>
        <w:t>，处置是改生产者节律——在算术期间发出下一层的读——而不是增加 worker。</w:t>
      </w:r>
    </w:p>
    <w:p>
      <w:pPr>
        <w:spacing w:after="40" w:line="276" w:lineRule="auto"/>
        <w:ind w:firstLine="360"/>
      </w:pPr>
      <w:r>
        <w:rPr>
          <w:rFonts w:ascii="Times New Roman" w:hAnsi="Times New Roman" w:eastAsia="宋体"/>
          <w:b w:val="0"/>
          <w:sz w:val="18"/>
        </w:rPr>
        <w:t>三点须如实标注。"落位高速内存（DRAM）"的目标档由规律指向而未观测，本文不以其充作实测。表 4 的比值在单流顺序档为 1.00，即公式即定律；在多流或随机档升至 1.39–3.11，须分流计价后再读，不能径归因于实现损耗。至于输出速度，同一配置的字节量逐次完全一致，墙钟散布跨度达 80.8%（图 3），故本文所有判定均以字节为准。</w:t>
      </w:r>
    </w:p>
    <w:p>
      <w:pPr>
        <w:spacing w:after="40" w:line="276" w:lineRule="auto"/>
        <w:ind w:firstLine="360"/>
      </w:pPr>
      <w:r>
        <w:rPr>
          <w:rFonts w:ascii="Times New Roman" w:hAnsi="Times New Roman" w:eastAsia="宋体"/>
          <w:b w:val="0"/>
          <w:sz w:val="18"/>
        </w:rPr>
        <w:t>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The result runs against intuition: the larger stream is nearly free while the smaller one occupies most of the round's wall time (Fig. 5), so cost and byte volume are not aligned. The investigation in §5.2.1 rules out two explanations -- the spread of the experts within a layer (no trend across three spacings) and the kio queue hop (routing reads around it changed the rate by 2%) -- and places the remaining gap on the device side rather than in access order. It does not attribute the gap to implementation loss: a bytes/bandwidth bound is exact for a single sequential stream but understates by 1.39-3.11x when parallel or random reads are present, and re-pricing each stream at its own bandwidth brings that back to within the 10% decision band (Fig. 4). We also give a byte-level audit method (treating hit rate and byte counts as two independent observation surfaces), a four-step triage order in which each step names the counter to read and what counts as passing, and a load-independent instrumentation rule: every derived quantity must be cross-checked against an independent one and printed alongside it.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