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w:t>
      </w:r>
      <w:r>
        <w:rPr>
          <w:rFonts w:ascii="Times New Roman" w:hAnsi="Times New Roman" w:eastAsia="宋体"/>
          <w:b/>
          <w:sz w:val="18"/>
        </w:rPr>
        <w:t>平凡的是它的推导，不是它的作用：正因为它不需要引用，它才固定了一个任何字节台账都能逐行核对的口径，而可核对是全文其余部分的前提。</w:t>
      </w:r>
      <w:r>
        <w:rPr>
          <w:rFonts w:ascii="Times New Roman" w:hAnsi="Times New Roman" w:eastAsia="宋体"/>
          <w:b w:val="0"/>
          <w:sz w:val="18"/>
        </w:rPr>
        <w:t xml:space="preserve"> 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：使“复用是否落位”成为可验收的判断，取代白板命中率。标尺是慢速层只读一次原则（§3.1），它的推导很短——由定义与两条显式假设直接导出，不含隐藏引理。</w:t>
      </w:r>
      <w:r>
        <w:rPr>
          <w:rFonts w:ascii="Times New Roman" w:hAnsi="Times New Roman" w:eastAsia="宋体"/>
          <w:b/>
          <w:sz w:val="18"/>
        </w:rPr>
        <w:t>短在这里是优点：原则不依赖任何文献，因此审阅者在推导上无处挑刺；而它一旦成立，就固定了判据可以被逐行核对的那个原点。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平凡的是这条原则的推导，不是它的作用。</w:t>
      </w:r>
      <w:r>
        <w:rPr>
          <w:rFonts w:ascii="Times New Roman" w:hAnsi="Times New Roman" w:eastAsia="宋体"/>
          <w:b w:val="0"/>
          <w:sz w:val="18"/>
        </w:rPr>
        <w:t xml:space="preserve"> 它平凡到不需要引用，这既是它的弱点（不足以单独支撑一篇论文）也是它的长处（审阅者无法在推导上挑刺）。而真正决定判据能否成立的地方在两处：</w:t>
      </w:r>
      <w:r>
        <w:rPr>
          <w:rFonts w:ascii="Times New Roman" w:hAnsi="Times New Roman" w:eastAsia="宋体"/>
          <w:b/>
          <w:sz w:val="18"/>
        </w:rPr>
        <w:t>计出来的数是否可信（§3.2）</w:t>
      </w:r>
      <w:r>
        <w:rPr>
          <w:rFonts w:ascii="Times New Roman" w:hAnsi="Times New Roman" w:eastAsia="宋体"/>
          <w:b w:val="0"/>
          <w:sz w:val="18"/>
        </w:rPr>
        <w:t>，以及</w:t>
      </w:r>
      <w:r>
        <w:rPr>
          <w:rFonts w:ascii="Times New Roman" w:hAnsi="Times New Roman" w:eastAsia="宋体"/>
          <w:b/>
          <w:sz w:val="18"/>
        </w:rPr>
        <w:t>字节级台账与时间账为什么不能混用（第 4.6 节）</w:t>
      </w:r>
      <w:r>
        <w:rPr>
          <w:rFonts w:ascii="Times New Roman" w:hAnsi="Times New Roman" w:eastAsia="宋体"/>
          <w:b w:val="0"/>
          <w:sz w:val="18"/>
        </w:rPr>
        <w:t>。这两处都不是原理能回答的，本文的主要工作也在它们上面。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该原则由两条显式假设导出、推导平凡，其价值不在于深，而在于它固定了一个不需要引用即可核对的口径</w:t>
      </w:r>
      <w:r>
        <w:rPr>
          <w:rFonts w:ascii="Times New Roman" w:hAnsi="Times New Roman" w:eastAsia="宋体"/>
          <w:b w:val="0"/>
          <w:sz w:val="18"/>
        </w:rPr>
        <w:t>：正因为它简单，判据的验收标准才能被逐行回查，而回查是本篇其余工作的前提。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8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8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6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6，n=3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