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命中率通胀：请求、字节、时间三个度量平面的口径分离与验收判据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文把缓存复用的度量拆为请求、字节、时间三个平面，定义命中率通胀 HRI = H_key − X_byte，证明其恒等于"命中但仍付字节"的访问占比，故请求命中率恒为字节命中率的上界，且二者可相差任意大。引擎自报字段把批量预取自盘读入的专家也计入命中，其满格是预取形态的产物而非复用成效。两台主机的四个真机观测验证了三平面中两对的分离：请求—字节（内存自 8 GB 增至 224 GB，自报命中率恒为 100% 而字节命中率恒为 0，通胀达 100 个百分点）与字节—时间（同一改动下源层读数恶化 78.6%，端点墙钟却变快 40.8%——该差未达噪声底，只保留方向）。请求—时间配对因台账未同时采集而留待后续。功效分析给出三个平面的最小可检测效应（MDE）：字节平面组内方差为零，一次改动以 3 次运行即可确证 1.278% 的效应，时间平面需约 13 300 次，样本量相差约 4 400 倍。据此建议验收建立在字节平面，时间平面只作诊断。本文不提出新的存储系统，结论限于两台主机与两种会话时序。**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GB——与"完全无复用"时的理论全量载入逐字节相同。换言之，在这七档配置上，请求命中率达到量程上限，而复用带来的字节免除恰为零。内存继续增加到 96 GB 以上，字节命中率才开始离开零（29.89%），到 224 GB 时为 43.75%，而请求命中率仍报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。所以请求命中率量的是"交付时键是否在缓存索引中在场"，而预取形态保证该条件恒真——它在满格处不携带任何关于字节免除的信息。仓库内的仪表文档亦把这一字段列为缺陷（"counts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短文，不提出新的存储系统、缓存结构或替换算法。交付物是五件可直接套用的产物：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。把缓存复用度量拆为请求平面（请求命中率 H_key）、字节平面（字节命中率 X_byte、读放大倍数 E）、时间平面（每词元墙钟），定义通胀 HRI = H_key − X_byte，并证明其分解式 HRI = h_paid，即通胀恰为"命中但仍付字节"的访问占比（定理 1）。推论：H_key 是 X_byte 的上界，且该上界可以松到极限——H_key = 1 而 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的字段必为字节命中率口径，不得标为请求平面（据此可判定表 5 的一列字段）。C2 需引擎同时提供字节台账与自报字段；本文两台主机中只有一台提供，故该检验的范围以该主机为限。</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13 300 次运行（约 1 000 机时），样本量比约 4 400 倍（表 8）。</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章报告三例平面分离与一项跨来源恒等式核验；第 5 章给出可验收性分析与验收阶梯；第 6 章讨论效度威胁与适用边界；第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的工作集模型[2]刻画活跃引用集大小，compulsory miss 刻画首次访问的不可免读部分，二者共同给出"命中率能到多高"的语境，但均以引用（reference）为计数单位，而非以字节为口径。Roofline[3]指出带宽受限时复用是主要杠杆，Eyeriss[4]在体系结构层实证了"慢速存储读一次、片上复用多次"的收益，二者回答复用值不值得做，未回答命中率在何种条件下失去证明力。排队论与操作分析[5,6,7]表明吞吐由服务需求最大的瓶颈设备决定，Amdahl 界[8]是单串行段的退化情形；这些工作给出时间平面的下界，本文用其解释"字节已定而时间仍弥散"。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CXL-SpecKV[9]、FastKV[10]）侧重近存、压缩与预填—解码加速；MoE 的稀疏门控[11]、单专家路由[12]与细粒度切分[13]使"哪些专家进入工作集"随词元变化，落位层与分层字节读数因而更易与白板命中脱钩。上述方向与本文观测面相关，但均不以命中率口径的失效为研究对象。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M_N（最快）。设引擎在每个词元上发出一组键访问，全会话访问总数为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本文引入的三个英文术语与既有文献的对应关系需先说明，以免读者误以为是新造概念（表 1）。</w:t>
      </w:r>
    </w:p>
    <w:p>
      <w:pPr>
        <w:spacing w:before="80" w:after="20"/>
        <w:jc w:val="center"/>
      </w:pPr>
      <w:r>
        <w:rPr>
          <w:rFonts w:ascii="Times New Roman" w:hAnsi="Times New Roman" w:eastAsia="宋体"/>
          <w:b w:val="0"/>
          <w:sz w:val="15"/>
        </w:rPr>
        <w:t>表 1　本文术语与既有英文文献的对应</w:t>
      </w:r>
    </w:p>
    <w:p>
      <w:pPr>
        <w:spacing w:before="80" w:after="20"/>
        <w:jc w:val="center"/>
      </w:pPr>
      <w:r>
        <w:rPr>
          <w:rFonts w:ascii="Times New Roman" w:hAnsi="Times New Roman" w:eastAsia="Times New Roman"/>
          <w:b w:val="0"/>
          <w:sz w:val="15"/>
        </w:rPr>
        <w:t>Table 1　Terms used here and their counterparts in the English literature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：请求命中率与字节命中率都是既有术语（英文对应见表 1），二者本就不等——短请求易命中则请求命中率高而字节命中率低。本文不发明这对概念，只指出在带宽受限的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after="40" w:line="276" w:lineRule="auto"/>
        <w:ind w:firstLine="360"/>
      </w:pPr>
      <w:r>
        <w:rPr>
          <w:rFonts w:ascii="Times New Roman" w:hAnsi="Times New Roman" w:eastAsia="宋体"/>
          <w:b w:val="0"/>
          <w:sz w:val="18"/>
        </w:rPr>
        <w:t>三个平面共用同一批台账，但计数单位、分母与噪声结构互不相同。</w:t>
      </w:r>
      <w:r>
        <w:rPr>
          <w:rFonts w:ascii="Times New Roman" w:hAnsi="Times New Roman" w:eastAsia="宋体"/>
          <w:b/>
          <w:sz w:val="18"/>
        </w:rPr>
        <w:t>请求平面</w:t>
      </w:r>
      <w:r>
        <w:rPr>
          <w:rFonts w:ascii="Times New Roman" w:hAnsi="Times New Roman" w:eastAsia="宋体"/>
          <w:b w:val="0"/>
          <w:sz w:val="18"/>
        </w:rPr>
        <w:t>取引擎自报的请求命中率 H_key，口径是交付时键在缓存索引中在场（含预取命中，见 1.1 节），以百分数计；其变异表现为对资源不敏感——主机 A 内存自 8 GB 增至 224 GB，H_key 恒为 100%。</w:t>
      </w:r>
      <w:r>
        <w:rPr>
          <w:rFonts w:ascii="Times New Roman" w:hAnsi="Times New Roman" w:eastAsia="宋体"/>
          <w:b/>
          <w:sz w:val="18"/>
        </w:rPr>
        <w:t>字节平面</w:t>
      </w:r>
      <w:r>
        <w:rPr>
          <w:rFonts w:ascii="Times New Roman" w:hAnsi="Times New Roman" w:eastAsia="宋体"/>
          <w:b w:val="0"/>
          <w:sz w:val="18"/>
        </w:rPr>
        <w:t>取字节命中率 X_byte = 1 − B_act/B_full，即免于自源层重读的字节占比，以百分数计，是确定性计数，主机 B 30 次同字节口径运行的标准差为 0；同一平面的读放大倍数 E = B_act/B_distinct(N) 是比值而非占比，理论下界为 1，其重复性本文未单独测量，只观察到随会话长度单调上升（图 7）。</w:t>
      </w:r>
      <w:r>
        <w:rPr>
          <w:rFonts w:ascii="Times New Roman" w:hAnsi="Times New Roman" w:eastAsia="宋体"/>
          <w:b/>
          <w:sz w:val="18"/>
        </w:rPr>
        <w:t>时间平面</w:t>
      </w:r>
      <w:r>
        <w:rPr>
          <w:rFonts w:ascii="Times New Roman" w:hAnsi="Times New Roman" w:eastAsia="宋体"/>
          <w:b w:val="0"/>
          <w:sz w:val="18"/>
        </w:rPr>
        <w:t>取每词元墙钟 s/tok，以秒计，变异最大：主机 B 30 次运行的跨度为 80.8%、变异系数 13.43%（含配置效应），单配置重复性则以主机 A 的 33.1% 为准。三者的差异是后文一切分离现象的来源。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把全会话的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H_key，即请求命中率是字节命中率的上界；</w:t>
      </w:r>
    </w:p>
    <w:p>
      <w:pPr>
        <w:spacing w:after="40" w:line="276" w:lineRule="auto"/>
        <w:ind w:firstLine="360"/>
      </w:pPr>
      <w:r>
        <w:rPr>
          <w:rFonts w:ascii="Times New Roman" w:hAnsi="Times New Roman" w:eastAsia="宋体"/>
          <w:b w:val="0"/>
          <w:sz w:val="18"/>
        </w:rPr>
        <w:t>（iii）上界可以松到极限：存在配置使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请求命中率达到量程上限不携带任何关于字节免除的信息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11"/>
        <w:gridCol w:w="1100"/>
        <w:gridCol w:w="1299"/>
        <w:gridCol w:w="1866"/>
      </w:tblGrid>
      <w:tr>
        <w:tc>
          <w:tcPr>
            <w:tcW w:type="dxa" w:w="611"/>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100"/>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866"/>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11"/>
          </w:tcPr>
          <w:p>
            <w:pPr>
              <w:spacing w:after="0" w:before="0" w:line="240" w:lineRule="auto"/>
            </w:pPr>
            <w:r/>
            <w:r>
              <w:rPr>
                <w:rFonts w:ascii="Times New Roman" w:hAnsi="Times New Roman" w:eastAsia="宋体"/>
                <w:b w:val="0"/>
                <w:sz w:val="18"/>
              </w:rPr>
              <w:t>C1</w:t>
            </w:r>
          </w:p>
        </w:tc>
        <w:tc>
          <w:tcPr>
            <w:tcW w:type="dxa" w:w="1100"/>
          </w:tcPr>
          <w:p>
            <w:pPr>
              <w:spacing w:after="0" w:before="0" w:line="240" w:lineRule="auto"/>
            </w:pPr>
            <w:r/>
            <w:r>
              <w:rPr>
                <w:rFonts w:ascii="Times New Roman" w:hAnsi="Times New Roman" w:eastAsia="宋体"/>
                <w:b w:val="0"/>
                <w:sz w:val="18"/>
              </w:rPr>
              <w:t>abs(E − 1) ≤ ε 于 N = 1，ε = 1%</w:t>
            </w:r>
          </w:p>
        </w:tc>
        <w:tc>
          <w:tcPr>
            <w:tcW w:type="dxa" w:w="1299"/>
          </w:tcPr>
          <w:p>
            <w:pPr>
              <w:spacing w:after="0" w:before="0" w:line="240" w:lineRule="auto"/>
            </w:pPr>
            <w:r/>
            <w:r>
              <w:rPr>
                <w:rFonts w:ascii="Times New Roman" w:hAnsi="Times New Roman" w:eastAsia="宋体"/>
                <w:b w:val="0"/>
                <w:sz w:val="18"/>
              </w:rPr>
              <w:t>首词元 B_act 与 B_distinct(1)</w:t>
            </w:r>
          </w:p>
        </w:tc>
        <w:tc>
          <w:tcPr>
            <w:tcW w:type="dxa" w:w="1866"/>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11"/>
          </w:tcPr>
          <w:p>
            <w:pPr>
              <w:spacing w:after="0" w:before="0" w:line="240" w:lineRule="auto"/>
            </w:pPr>
            <w:r/>
            <w:r>
              <w:rPr>
                <w:rFonts w:ascii="Times New Roman" w:hAnsi="Times New Roman" w:eastAsia="宋体"/>
                <w:b w:val="0"/>
                <w:sz w:val="18"/>
              </w:rPr>
              <w:t>C2</w:t>
            </w:r>
          </w:p>
        </w:tc>
        <w:tc>
          <w:tcPr>
            <w:tcW w:type="dxa" w:w="1100"/>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299"/>
          </w:tcPr>
          <w:p>
            <w:pPr>
              <w:spacing w:after="0" w:before="0" w:line="240" w:lineRule="auto"/>
            </w:pPr>
            <w:r/>
            <w:r>
              <w:rPr>
                <w:rFonts w:ascii="Times New Roman" w:hAnsi="Times New Roman" w:eastAsia="宋体"/>
                <w:b w:val="0"/>
                <w:sz w:val="18"/>
              </w:rPr>
              <w:t>两个独立来源同屏打印</w:t>
            </w:r>
          </w:p>
        </w:tc>
        <w:tc>
          <w:tcPr>
            <w:tcW w:type="dxa" w:w="1866"/>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其中一个字段的分母不是全量载入，或混入了非源层字节；通过则同时判定该字段为字节命中率口径。**前提**：引擎须同时打印字节台账与自报字段；若其命中率由请求计数构成，本检验不适用</w:t>
            </w:r>
          </w:p>
        </w:tc>
      </w:tr>
      <w:tr>
        <w:tc>
          <w:tcPr>
            <w:tcW w:type="dxa" w:w="611"/>
          </w:tcPr>
          <w:p>
            <w:pPr>
              <w:spacing w:after="0" w:before="0" w:line="240" w:lineRule="auto"/>
            </w:pPr>
            <w:r/>
            <w:r>
              <w:rPr>
                <w:rFonts w:ascii="Times New Roman" w:hAnsi="Times New Roman" w:eastAsia="宋体"/>
                <w:b w:val="0"/>
                <w:sz w:val="18"/>
              </w:rPr>
              <w:t>C3</w:t>
            </w:r>
          </w:p>
        </w:tc>
        <w:tc>
          <w:tcPr>
            <w:tcW w:type="dxa" w:w="1100"/>
          </w:tcPr>
          <w:p>
            <w:pPr>
              <w:spacing w:after="0" w:before="0" w:line="240" w:lineRule="auto"/>
            </w:pPr>
            <w:r/>
            <w:r>
              <w:rPr>
                <w:rFonts w:ascii="Times New Roman" w:hAnsi="Times New Roman" w:eastAsia="宋体"/>
                <w:b w:val="0"/>
                <w:sz w:val="18"/>
              </w:rPr>
              <w:t>E ≥ 1（整段会话）</w:t>
            </w:r>
          </w:p>
        </w:tc>
        <w:tc>
          <w:tcPr>
            <w:tcW w:type="dxa" w:w="1299"/>
          </w:tcPr>
          <w:p>
            <w:pPr>
              <w:spacing w:after="0" w:before="0" w:line="240" w:lineRule="auto"/>
            </w:pPr>
            <w:r/>
            <w:r>
              <w:rPr>
                <w:rFonts w:ascii="Times New Roman" w:hAnsi="Times New Roman" w:eastAsia="宋体"/>
                <w:b w:val="0"/>
                <w:sz w:val="18"/>
              </w:rPr>
              <w:t>会话累计 B_act 与同主机同会话的 B_distinct(N)</w:t>
            </w:r>
          </w:p>
        </w:tc>
        <w:tc>
          <w:tcPr>
            <w:tcW w:type="dxa" w:w="1866"/>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11"/>
          </w:tcPr>
          <w:p>
            <w:pPr>
              <w:spacing w:after="0" w:before="0" w:line="240" w:lineRule="auto"/>
            </w:pPr>
            <w:r/>
            <w:r>
              <w:rPr>
                <w:rFonts w:ascii="Times New Roman" w:hAnsi="Times New Roman" w:eastAsia="宋体"/>
                <w:b w:val="0"/>
                <w:sz w:val="18"/>
              </w:rPr>
              <w:t>C4</w:t>
            </w:r>
          </w:p>
        </w:tc>
        <w:tc>
          <w:tcPr>
            <w:tcW w:type="dxa" w:w="1100"/>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299"/>
          </w:tcPr>
          <w:p>
            <w:pPr>
              <w:spacing w:after="0" w:before="0" w:line="240" w:lineRule="auto"/>
            </w:pPr>
            <w:r/>
            <w:r>
              <w:rPr>
                <w:rFonts w:ascii="Times New Roman" w:hAnsi="Times New Roman" w:eastAsia="宋体"/>
                <w:b w:val="0"/>
                <w:sz w:val="18"/>
              </w:rPr>
              <w:t>H_key、h_paid 与逐访问字节</w:t>
            </w:r>
          </w:p>
        </w:tc>
        <w:tc>
          <w:tcPr>
            <w:tcW w:type="dxa" w:w="1866"/>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个百分点。这既证明该字段确为字节口径而非请求平面口径，也说明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还兼作字段归属判据：凡满足该恒等式的字段必为字节命中率口径。本文据此判定配额扫描台账的唯一命中字段为字节命中率口径而非请求平面。需要说明的是，这正是C2 判据的典型用武之地：若不做此步归属判定，一次字段误标（把字节口径的列读作请求平面）就会凭空造出一个并不存在的"请求平面坍塌"现象——该误读给出的正是"请求平面自 44.02% 坍塌至 0"这样的结论，而事实是被记为请求平面的量只是字节平面量的第二次出现。C2 能自动检出这类误标，无需依赖对字段名的信任。</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真机测量：三例分离与一项台账自检</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r>
        <w:rPr>
          <w:rFonts w:ascii="Times New Roman" w:hAnsi="Times New Roman" w:eastAsia="宋体"/>
          <w:b/>
          <w:sz w:val="18"/>
        </w:rPr>
        <w:t>主机 A</w:t>
      </w:r>
      <w:r>
        <w:rPr>
          <w:rFonts w:ascii="Times New Roman" w:hAnsi="Times New Roman" w:eastAsia="宋体"/>
          <w:b w:val="0"/>
          <w:sz w:val="18"/>
        </w:rPr>
        <w:t xml:space="preserve"> 承载内存阶梯与配额扫描，会话形状为 N = 8 冷启动（8 个词元 id），源层为 3.2 GB/s NVMe 且无机械慢盘；</w:t>
      </w:r>
      <w:r>
        <w:rPr>
          <w:rFonts w:ascii="Times New Roman" w:hAnsi="Times New Roman" w:eastAsia="宋体"/>
          <w:b/>
          <w:sz w:val="18"/>
        </w:rPr>
        <w:t>主机 B</w:t>
      </w:r>
      <w:r>
        <w:rPr>
          <w:rFonts w:ascii="Times New Roman" w:hAnsi="Times New Roman" w:eastAsia="宋体"/>
          <w:b w:val="0"/>
          <w:sz w:val="18"/>
        </w:rPr>
        <w:t xml:space="preserve"> 承载重复运行、策略四臂与带宽下界，会话形状为 1 个提示词元加 3 个生成词元，源层为机械慢盘（约 60—85 MB/s）与 1.9 GB/s NVMe。</w:t>
      </w:r>
    </w:p>
    <w:p>
      <w:pPr>
        <w:spacing w:after="40" w:line="276" w:lineRule="auto"/>
        <w:ind w:firstLine="360"/>
      </w:pPr>
      <w:r>
        <w:rPr>
          <w:rFonts w:ascii="Times New Roman" w:hAnsi="Times New Roman" w:eastAsia="宋体"/>
          <w:b/>
          <w:sz w:val="18"/>
        </w:rPr>
        <w:t>数据来源与分工</w:t>
      </w:r>
      <w:r>
        <w:rPr>
          <w:rFonts w:ascii="Times New Roman" w:hAnsi="Times New Roman" w:eastAsia="宋体"/>
          <w:b w:val="0"/>
          <w:sz w:val="18"/>
        </w:rPr>
        <w:t xml:space="preserve">　主机 A 上的实验（表 3、表 5、4.3 节的恒等式核验与 33.1% 噪声底）由项目原作者 FareedKhan-dev 完成，本文引用其测量结果作为对照基准；主机 B 上的实验（表 4、表 7—9、表 11 及图 4—7）由本文完成。按实例划分：D1、D3 与 D4 由主机 B 独立支撑，D2 目前仅有主机 A 的证据。</w:t>
      </w:r>
    </w:p>
    <w:p>
      <w:pPr>
        <w:spacing w:after="40" w:line="276" w:lineRule="auto"/>
        <w:ind w:firstLine="360"/>
      </w:pPr>
      <w:r>
        <w:rPr>
          <w:rFonts w:ascii="Times New Roman" w:hAnsi="Times New Roman" w:eastAsia="宋体"/>
          <w:b w:val="0"/>
          <w:sz w:val="18"/>
        </w:rPr>
        <w:t>由上述差异派生出两条必须写明的口径要点，否则跨表引用会出错：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5 的"源层读数"取自主机 A 的 NVMe；表 9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。4.6、5.5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10），是度量分离最容易显形的负载，不代表框架仅适用于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D1：请求平面满格而字节平面为零</w:t>
      </w:r>
    </w:p>
    <w:p>
      <w:pPr>
        <w:spacing w:after="40" w:line="276" w:lineRule="auto"/>
        <w:ind w:firstLine="360"/>
      </w:pPr>
      <w:r>
        <w:rPr>
          <w:rFonts w:ascii="Times New Roman" w:hAnsi="Times New Roman" w:eastAsia="宋体"/>
          <w:b w:val="0"/>
          <w:sz w:val="18"/>
        </w:rPr>
        <w:t>内存阶梯扫描的资源配置与字节、时间读数见</w:t>
      </w:r>
      <w:r>
        <w:rPr>
          <w:rFonts w:ascii="Times New Roman" w:hAnsi="Times New Roman" w:eastAsia="宋体"/>
          <w:b/>
          <w:sz w:val="18"/>
        </w:rPr>
        <w:t>表 3</w:t>
      </w:r>
      <w:r>
        <w:rPr>
          <w:rFonts w:ascii="Times New Roman" w:hAnsi="Times New Roman" w:eastAsia="宋体"/>
          <w:b w:val="0"/>
          <w:sz w:val="18"/>
        </w:rPr>
        <w:t>（主机 A）：主机总内存自 8 GB 增至 224 GB（28 倍），缓存槽位自 28 增至 6 208。同一次扫描的请求命中率、字节命中率口径与通胀 HRI 三条曲线见图 1。</w:t>
      </w:r>
    </w:p>
    <w:p>
      <w:pPr>
        <w:spacing w:before="80" w:after="20"/>
        <w:jc w:val="center"/>
      </w:pPr>
      <w:r>
        <w:rPr>
          <w:rFonts w:ascii="Times New Roman" w:hAnsi="Times New Roman" w:eastAsia="宋体"/>
          <w:b w:val="0"/>
          <w:sz w:val="15"/>
        </w:rPr>
        <w:t>表 3　内存阶梯的资源配置与读数</w:t>
      </w:r>
    </w:p>
    <w:p>
      <w:pPr>
        <w:spacing w:before="80" w:after="20"/>
        <w:jc w:val="center"/>
      </w:pPr>
      <w:r>
        <w:rPr>
          <w:rFonts w:ascii="Times New Roman" w:hAnsi="Times New Roman" w:eastAsia="Times New Roman"/>
          <w:b w:val="0"/>
          <w:sz w:val="15"/>
        </w:rPr>
        <w:t>Table 3　Resource allocation and read-out of the memory sweep</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8"/>
        <w:gridCol w:w="909"/>
        <w:gridCol w:w="914"/>
        <w:gridCol w:w="1226"/>
        <w:gridCol w:w="810"/>
      </w:tblGrid>
      <w:tr>
        <w:tc>
          <w:tcPr>
            <w:tcW w:type="dxa" w:w="101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909"/>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914"/>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1226"/>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10"/>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18"/>
          </w:tcPr>
          <w:p>
            <w:pPr>
              <w:spacing w:after="0" w:before="0" w:line="240" w:lineRule="auto"/>
            </w:pPr>
            <w:r/>
            <w:r>
              <w:rPr>
                <w:rFonts w:ascii="Times New Roman" w:hAnsi="Times New Roman" w:eastAsia="宋体"/>
                <w:b w:val="0"/>
                <w:sz w:val="18"/>
              </w:rPr>
              <w:t>8</w:t>
            </w:r>
          </w:p>
        </w:tc>
        <w:tc>
          <w:tcPr>
            <w:tcW w:type="dxa" w:w="909"/>
          </w:tcPr>
          <w:p>
            <w:pPr>
              <w:spacing w:after="0" w:before="0" w:line="240" w:lineRule="auto"/>
            </w:pPr>
            <w:r/>
            <w:r>
              <w:rPr>
                <w:rFonts w:ascii="Times New Roman" w:hAnsi="Times New Roman" w:eastAsia="宋体"/>
                <w:b w:val="0"/>
                <w:sz w:val="18"/>
              </w:rPr>
              <w:t>0.49</w:t>
            </w:r>
          </w:p>
        </w:tc>
        <w:tc>
          <w:tcPr>
            <w:tcW w:type="dxa" w:w="914"/>
          </w:tcPr>
          <w:p>
            <w:pPr>
              <w:spacing w:after="0" w:before="0" w:line="240" w:lineRule="auto"/>
            </w:pPr>
            <w:r/>
            <w:r>
              <w:rPr>
                <w:rFonts w:ascii="Times New Roman" w:hAnsi="Times New Roman" w:eastAsia="宋体"/>
                <w:b w:val="0"/>
                <w:sz w:val="18"/>
              </w:rPr>
              <w:t>28</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32.69</w:t>
            </w:r>
          </w:p>
        </w:tc>
      </w:tr>
      <w:tr>
        <w:tc>
          <w:tcPr>
            <w:tcW w:type="dxa" w:w="1018"/>
          </w:tcPr>
          <w:p>
            <w:pPr>
              <w:spacing w:after="0" w:before="0" w:line="240" w:lineRule="auto"/>
            </w:pPr>
            <w:r/>
            <w:r>
              <w:rPr>
                <w:rFonts w:ascii="Times New Roman" w:hAnsi="Times New Roman" w:eastAsia="宋体"/>
                <w:b w:val="0"/>
                <w:sz w:val="18"/>
              </w:rPr>
              <w:t>12</w:t>
            </w:r>
          </w:p>
        </w:tc>
        <w:tc>
          <w:tcPr>
            <w:tcW w:type="dxa" w:w="909"/>
          </w:tcPr>
          <w:p>
            <w:pPr>
              <w:spacing w:after="0" w:before="0" w:line="240" w:lineRule="auto"/>
            </w:pPr>
            <w:r/>
            <w:r>
              <w:rPr>
                <w:rFonts w:ascii="Times New Roman" w:hAnsi="Times New Roman" w:eastAsia="宋体"/>
                <w:b w:val="0"/>
                <w:sz w:val="18"/>
              </w:rPr>
              <w:t>2.79</w:t>
            </w:r>
          </w:p>
        </w:tc>
        <w:tc>
          <w:tcPr>
            <w:tcW w:type="dxa" w:w="914"/>
          </w:tcPr>
          <w:p>
            <w:pPr>
              <w:spacing w:after="0" w:before="0" w:line="240" w:lineRule="auto"/>
            </w:pPr>
            <w:r/>
            <w:r>
              <w:rPr>
                <w:rFonts w:ascii="Times New Roman" w:hAnsi="Times New Roman" w:eastAsia="宋体"/>
                <w:b w:val="0"/>
                <w:sz w:val="18"/>
              </w:rPr>
              <w:t>159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31.41</w:t>
            </w:r>
          </w:p>
        </w:tc>
      </w:tr>
      <w:tr>
        <w:tc>
          <w:tcPr>
            <w:tcW w:type="dxa" w:w="1018"/>
          </w:tcPr>
          <w:p>
            <w:pPr>
              <w:spacing w:after="0" w:before="0" w:line="240" w:lineRule="auto"/>
            </w:pPr>
            <w:r/>
            <w:r>
              <w:rPr>
                <w:rFonts w:ascii="Times New Roman" w:hAnsi="Times New Roman" w:eastAsia="宋体"/>
                <w:b w:val="0"/>
                <w:sz w:val="18"/>
              </w:rPr>
              <w:t>16</w:t>
            </w:r>
          </w:p>
        </w:tc>
        <w:tc>
          <w:tcPr>
            <w:tcW w:type="dxa" w:w="909"/>
          </w:tcPr>
          <w:p>
            <w:pPr>
              <w:spacing w:after="0" w:before="0" w:line="240" w:lineRule="auto"/>
            </w:pPr>
            <w:r/>
            <w:r>
              <w:rPr>
                <w:rFonts w:ascii="Times New Roman" w:hAnsi="Times New Roman" w:eastAsia="宋体"/>
                <w:b w:val="0"/>
                <w:sz w:val="18"/>
              </w:rPr>
              <w:t>4.39</w:t>
            </w:r>
          </w:p>
        </w:tc>
        <w:tc>
          <w:tcPr>
            <w:tcW w:type="dxa" w:w="914"/>
          </w:tcPr>
          <w:p>
            <w:pPr>
              <w:spacing w:after="0" w:before="0" w:line="240" w:lineRule="auto"/>
            </w:pPr>
            <w:r/>
            <w:r>
              <w:rPr>
                <w:rFonts w:ascii="Times New Roman" w:hAnsi="Times New Roman" w:eastAsia="宋体"/>
                <w:b w:val="0"/>
                <w:sz w:val="18"/>
              </w:rPr>
              <w:t>250</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32.21</w:t>
            </w:r>
          </w:p>
        </w:tc>
      </w:tr>
      <w:tr>
        <w:tc>
          <w:tcPr>
            <w:tcW w:type="dxa" w:w="1018"/>
          </w:tcPr>
          <w:p>
            <w:pPr>
              <w:spacing w:after="0" w:before="0" w:line="240" w:lineRule="auto"/>
            </w:pPr>
            <w:r/>
            <w:r>
              <w:rPr>
                <w:rFonts w:ascii="Times New Roman" w:hAnsi="Times New Roman" w:eastAsia="宋体"/>
                <w:b w:val="0"/>
                <w:sz w:val="18"/>
              </w:rPr>
              <w:t>24</w:t>
            </w:r>
          </w:p>
        </w:tc>
        <w:tc>
          <w:tcPr>
            <w:tcW w:type="dxa" w:w="909"/>
          </w:tcPr>
          <w:p>
            <w:pPr>
              <w:spacing w:after="0" w:before="0" w:line="240" w:lineRule="auto"/>
            </w:pPr>
            <w:r/>
            <w:r>
              <w:rPr>
                <w:rFonts w:ascii="Times New Roman" w:hAnsi="Times New Roman" w:eastAsia="宋体"/>
                <w:b w:val="0"/>
                <w:sz w:val="18"/>
              </w:rPr>
              <w:t>7.58</w:t>
            </w:r>
          </w:p>
        </w:tc>
        <w:tc>
          <w:tcPr>
            <w:tcW w:type="dxa" w:w="914"/>
          </w:tcPr>
          <w:p>
            <w:pPr>
              <w:spacing w:after="0" w:before="0" w:line="240" w:lineRule="auto"/>
            </w:pPr>
            <w:r/>
            <w:r>
              <w:rPr>
                <w:rFonts w:ascii="Times New Roman" w:hAnsi="Times New Roman" w:eastAsia="宋体"/>
                <w:b w:val="0"/>
                <w:sz w:val="18"/>
              </w:rPr>
              <w:t>432</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31.85</w:t>
            </w:r>
          </w:p>
        </w:tc>
      </w:tr>
      <w:tr>
        <w:tc>
          <w:tcPr>
            <w:tcW w:type="dxa" w:w="1018"/>
          </w:tcPr>
          <w:p>
            <w:pPr>
              <w:spacing w:after="0" w:before="0" w:line="240" w:lineRule="auto"/>
            </w:pPr>
            <w:r/>
            <w:r>
              <w:rPr>
                <w:rFonts w:ascii="Times New Roman" w:hAnsi="Times New Roman" w:eastAsia="宋体"/>
                <w:b w:val="0"/>
                <w:sz w:val="18"/>
              </w:rPr>
              <w:t>32</w:t>
            </w:r>
          </w:p>
        </w:tc>
        <w:tc>
          <w:tcPr>
            <w:tcW w:type="dxa" w:w="909"/>
          </w:tcPr>
          <w:p>
            <w:pPr>
              <w:spacing w:after="0" w:before="0" w:line="240" w:lineRule="auto"/>
            </w:pPr>
            <w:r/>
            <w:r>
              <w:rPr>
                <w:rFonts w:ascii="Times New Roman" w:hAnsi="Times New Roman" w:eastAsia="宋体"/>
                <w:b w:val="0"/>
                <w:sz w:val="18"/>
              </w:rPr>
              <w:t>10.8</w:t>
            </w:r>
          </w:p>
        </w:tc>
        <w:tc>
          <w:tcPr>
            <w:tcW w:type="dxa" w:w="914"/>
          </w:tcPr>
          <w:p>
            <w:pPr>
              <w:spacing w:after="0" w:before="0" w:line="240" w:lineRule="auto"/>
            </w:pPr>
            <w:r/>
            <w:r>
              <w:rPr>
                <w:rFonts w:ascii="Times New Roman" w:hAnsi="Times New Roman" w:eastAsia="宋体"/>
                <w:b w:val="0"/>
                <w:sz w:val="18"/>
              </w:rPr>
              <w:t>615</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31.44</w:t>
            </w:r>
          </w:p>
        </w:tc>
      </w:tr>
      <w:tr>
        <w:tc>
          <w:tcPr>
            <w:tcW w:type="dxa" w:w="1018"/>
          </w:tcPr>
          <w:p>
            <w:pPr>
              <w:spacing w:after="0" w:before="0" w:line="240" w:lineRule="auto"/>
            </w:pPr>
            <w:r/>
            <w:r>
              <w:rPr>
                <w:rFonts w:ascii="Times New Roman" w:hAnsi="Times New Roman" w:eastAsia="宋体"/>
                <w:b w:val="0"/>
                <w:sz w:val="18"/>
              </w:rPr>
              <w:t>48</w:t>
            </w:r>
          </w:p>
        </w:tc>
        <w:tc>
          <w:tcPr>
            <w:tcW w:type="dxa" w:w="909"/>
          </w:tcPr>
          <w:p>
            <w:pPr>
              <w:spacing w:after="0" w:before="0" w:line="240" w:lineRule="auto"/>
            </w:pPr>
            <w:r/>
            <w:r>
              <w:rPr>
                <w:rFonts w:ascii="Times New Roman" w:hAnsi="Times New Roman" w:eastAsia="宋体"/>
                <w:b w:val="0"/>
                <w:sz w:val="18"/>
              </w:rPr>
              <w:t>17.19</w:t>
            </w:r>
          </w:p>
        </w:tc>
        <w:tc>
          <w:tcPr>
            <w:tcW w:type="dxa" w:w="914"/>
          </w:tcPr>
          <w:p>
            <w:pPr>
              <w:spacing w:after="0" w:before="0" w:line="240" w:lineRule="auto"/>
            </w:pPr>
            <w:r/>
            <w:r>
              <w:rPr>
                <w:rFonts w:ascii="Times New Roman" w:hAnsi="Times New Roman" w:eastAsia="宋体"/>
                <w:b w:val="0"/>
                <w:sz w:val="18"/>
              </w:rPr>
              <w:t>979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29.76</w:t>
            </w:r>
          </w:p>
        </w:tc>
      </w:tr>
      <w:tr>
        <w:tc>
          <w:tcPr>
            <w:tcW w:type="dxa" w:w="1018"/>
          </w:tcPr>
          <w:p>
            <w:pPr>
              <w:spacing w:after="0" w:before="0" w:line="240" w:lineRule="auto"/>
            </w:pPr>
            <w:r/>
            <w:r>
              <w:rPr>
                <w:rFonts w:ascii="Times New Roman" w:hAnsi="Times New Roman" w:eastAsia="宋体"/>
                <w:b w:val="0"/>
                <w:sz w:val="18"/>
              </w:rPr>
              <w:t>64</w:t>
            </w:r>
          </w:p>
        </w:tc>
        <w:tc>
          <w:tcPr>
            <w:tcW w:type="dxa" w:w="909"/>
          </w:tcPr>
          <w:p>
            <w:pPr>
              <w:spacing w:after="0" w:before="0" w:line="240" w:lineRule="auto"/>
            </w:pPr>
            <w:r/>
            <w:r>
              <w:rPr>
                <w:rFonts w:ascii="Times New Roman" w:hAnsi="Times New Roman" w:eastAsia="宋体"/>
                <w:b w:val="0"/>
                <w:sz w:val="18"/>
              </w:rPr>
              <w:t>23.59</w:t>
            </w:r>
          </w:p>
        </w:tc>
        <w:tc>
          <w:tcPr>
            <w:tcW w:type="dxa" w:w="914"/>
          </w:tcPr>
          <w:p>
            <w:pPr>
              <w:spacing w:after="0" w:before="0" w:line="240" w:lineRule="auto"/>
            </w:pPr>
            <w:r/>
            <w:r>
              <w:rPr>
                <w:rFonts w:ascii="Times New Roman" w:hAnsi="Times New Roman" w:eastAsia="宋体"/>
                <w:b w:val="0"/>
                <w:sz w:val="18"/>
              </w:rPr>
              <w:t>1 344</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28.60</w:t>
            </w:r>
          </w:p>
        </w:tc>
      </w:tr>
      <w:tr>
        <w:tc>
          <w:tcPr>
            <w:tcW w:type="dxa" w:w="1018"/>
          </w:tcPr>
          <w:p>
            <w:pPr>
              <w:spacing w:after="0" w:before="0" w:line="240" w:lineRule="auto"/>
            </w:pPr>
            <w:r/>
            <w:r>
              <w:rPr>
                <w:rFonts w:ascii="Times New Roman" w:hAnsi="Times New Roman" w:eastAsia="宋体"/>
                <w:b w:val="0"/>
                <w:sz w:val="18"/>
              </w:rPr>
              <w:t>96</w:t>
            </w:r>
          </w:p>
        </w:tc>
        <w:tc>
          <w:tcPr>
            <w:tcW w:type="dxa" w:w="909"/>
          </w:tcPr>
          <w:p>
            <w:pPr>
              <w:spacing w:after="0" w:before="0" w:line="240" w:lineRule="auto"/>
            </w:pPr>
            <w:r/>
            <w:r>
              <w:rPr>
                <w:rFonts w:ascii="Times New Roman" w:hAnsi="Times New Roman" w:eastAsia="宋体"/>
                <w:b w:val="0"/>
                <w:sz w:val="18"/>
              </w:rPr>
              <w:t>36.39</w:t>
            </w:r>
          </w:p>
        </w:tc>
        <w:tc>
          <w:tcPr>
            <w:tcW w:type="dxa" w:w="914"/>
          </w:tcPr>
          <w:p>
            <w:pPr>
              <w:spacing w:after="0" w:before="0" w:line="240" w:lineRule="auto"/>
            </w:pPr>
            <w:r/>
            <w:r>
              <w:rPr>
                <w:rFonts w:ascii="Times New Roman" w:hAnsi="Times New Roman" w:eastAsia="宋体"/>
                <w:b w:val="0"/>
                <w:sz w:val="18"/>
              </w:rPr>
              <w:t>2 073</w:t>
            </w:r>
          </w:p>
        </w:tc>
        <w:tc>
          <w:tcPr>
            <w:tcW w:type="dxa" w:w="1226"/>
          </w:tcPr>
          <w:p>
            <w:pPr>
              <w:spacing w:after="0" w:before="0" w:line="240" w:lineRule="auto"/>
            </w:pPr>
            <w:r/>
            <w:r>
              <w:rPr>
                <w:rFonts w:ascii="Times New Roman" w:hAnsi="Times New Roman" w:eastAsia="宋体"/>
                <w:b w:val="0"/>
                <w:sz w:val="18"/>
              </w:rPr>
              <w:t>18.11</w:t>
            </w:r>
          </w:p>
        </w:tc>
        <w:tc>
          <w:tcPr>
            <w:tcW w:type="dxa" w:w="810"/>
          </w:tcPr>
          <w:p>
            <w:pPr>
              <w:spacing w:after="0" w:before="0" w:line="240" w:lineRule="auto"/>
            </w:pPr>
            <w:r/>
            <w:r>
              <w:rPr>
                <w:rFonts w:ascii="Times New Roman" w:hAnsi="Times New Roman" w:eastAsia="宋体"/>
                <w:b w:val="0"/>
                <w:sz w:val="18"/>
              </w:rPr>
              <w:t>24.40</w:t>
            </w:r>
          </w:p>
        </w:tc>
      </w:tr>
      <w:tr>
        <w:tc>
          <w:tcPr>
            <w:tcW w:type="dxa" w:w="1018"/>
          </w:tcPr>
          <w:p>
            <w:pPr>
              <w:spacing w:after="0" w:before="0" w:line="240" w:lineRule="auto"/>
            </w:pPr>
            <w:r/>
            <w:r>
              <w:rPr>
                <w:rFonts w:ascii="Times New Roman" w:hAnsi="Times New Roman" w:eastAsia="宋体"/>
                <w:b w:val="0"/>
                <w:sz w:val="18"/>
              </w:rPr>
              <w:t>128</w:t>
            </w:r>
          </w:p>
        </w:tc>
        <w:tc>
          <w:tcPr>
            <w:tcW w:type="dxa" w:w="909"/>
          </w:tcPr>
          <w:p>
            <w:pPr>
              <w:spacing w:after="0" w:before="0" w:line="240" w:lineRule="auto"/>
            </w:pPr>
            <w:r/>
            <w:r>
              <w:rPr>
                <w:rFonts w:ascii="Times New Roman" w:hAnsi="Times New Roman" w:eastAsia="宋体"/>
                <w:b w:val="0"/>
                <w:sz w:val="18"/>
              </w:rPr>
              <w:t>49.19</w:t>
            </w:r>
          </w:p>
        </w:tc>
        <w:tc>
          <w:tcPr>
            <w:tcW w:type="dxa" w:w="914"/>
          </w:tcPr>
          <w:p>
            <w:pPr>
              <w:spacing w:after="0" w:before="0" w:line="240" w:lineRule="auto"/>
            </w:pPr>
            <w:r/>
            <w:r>
              <w:rPr>
                <w:rFonts w:ascii="Times New Roman" w:hAnsi="Times New Roman" w:eastAsia="宋体"/>
                <w:b w:val="0"/>
                <w:sz w:val="18"/>
              </w:rPr>
              <w:t>2 802</w:t>
            </w:r>
          </w:p>
        </w:tc>
        <w:tc>
          <w:tcPr>
            <w:tcW w:type="dxa" w:w="1226"/>
          </w:tcPr>
          <w:p>
            <w:pPr>
              <w:spacing w:after="0" w:before="0" w:line="240" w:lineRule="auto"/>
            </w:pPr>
            <w:r/>
            <w:r>
              <w:rPr>
                <w:rFonts w:ascii="Times New Roman" w:hAnsi="Times New Roman" w:eastAsia="宋体"/>
                <w:b w:val="0"/>
                <w:sz w:val="18"/>
              </w:rPr>
              <w:t>17.51</w:t>
            </w:r>
          </w:p>
        </w:tc>
        <w:tc>
          <w:tcPr>
            <w:tcW w:type="dxa" w:w="810"/>
          </w:tcPr>
          <w:p>
            <w:pPr>
              <w:spacing w:after="0" w:before="0" w:line="240" w:lineRule="auto"/>
            </w:pPr>
            <w:r/>
            <w:r>
              <w:rPr>
                <w:rFonts w:ascii="Times New Roman" w:hAnsi="Times New Roman" w:eastAsia="宋体"/>
                <w:b w:val="0"/>
                <w:sz w:val="18"/>
              </w:rPr>
              <w:t>29.40</w:t>
            </w:r>
          </w:p>
        </w:tc>
      </w:tr>
      <w:tr>
        <w:tc>
          <w:tcPr>
            <w:tcW w:type="dxa" w:w="1018"/>
          </w:tcPr>
          <w:p>
            <w:pPr>
              <w:spacing w:after="0" w:before="0" w:line="240" w:lineRule="auto"/>
            </w:pPr>
            <w:r/>
            <w:r>
              <w:rPr>
                <w:rFonts w:ascii="Times New Roman" w:hAnsi="Times New Roman" w:eastAsia="宋体"/>
                <w:b w:val="0"/>
                <w:sz w:val="18"/>
              </w:rPr>
              <w:t>160</w:t>
            </w:r>
          </w:p>
        </w:tc>
        <w:tc>
          <w:tcPr>
            <w:tcW w:type="dxa" w:w="909"/>
          </w:tcPr>
          <w:p>
            <w:pPr>
              <w:spacing w:after="0" w:before="0" w:line="240" w:lineRule="auto"/>
            </w:pPr>
            <w:r/>
            <w:r>
              <w:rPr>
                <w:rFonts w:ascii="Times New Roman" w:hAnsi="Times New Roman" w:eastAsia="宋体"/>
                <w:b w:val="0"/>
                <w:sz w:val="18"/>
              </w:rPr>
              <w:t>61.99</w:t>
            </w:r>
          </w:p>
        </w:tc>
        <w:tc>
          <w:tcPr>
            <w:tcW w:type="dxa" w:w="914"/>
          </w:tcPr>
          <w:p>
            <w:pPr>
              <w:spacing w:after="0" w:before="0" w:line="240" w:lineRule="auto"/>
            </w:pPr>
            <w:r/>
            <w:r>
              <w:rPr>
                <w:rFonts w:ascii="Times New Roman" w:hAnsi="Times New Roman" w:eastAsia="宋体"/>
                <w:b w:val="0"/>
                <w:sz w:val="18"/>
              </w:rPr>
              <w:t>3 531</w:t>
            </w:r>
          </w:p>
        </w:tc>
        <w:tc>
          <w:tcPr>
            <w:tcW w:type="dxa" w:w="1226"/>
          </w:tcPr>
          <w:p>
            <w:pPr>
              <w:spacing w:after="0" w:before="0" w:line="240" w:lineRule="auto"/>
            </w:pPr>
            <w:r/>
            <w:r>
              <w:rPr>
                <w:rFonts w:ascii="Times New Roman" w:hAnsi="Times New Roman" w:eastAsia="宋体"/>
                <w:b w:val="0"/>
                <w:sz w:val="18"/>
              </w:rPr>
              <w:t>17.28</w:t>
            </w:r>
          </w:p>
        </w:tc>
        <w:tc>
          <w:tcPr>
            <w:tcW w:type="dxa" w:w="810"/>
          </w:tcPr>
          <w:p>
            <w:pPr>
              <w:spacing w:after="0" w:before="0" w:line="240" w:lineRule="auto"/>
            </w:pPr>
            <w:r/>
            <w:r>
              <w:rPr>
                <w:rFonts w:ascii="Times New Roman" w:hAnsi="Times New Roman" w:eastAsia="宋体"/>
                <w:b w:val="0"/>
                <w:sz w:val="18"/>
              </w:rPr>
              <w:t>26.31</w:t>
            </w:r>
          </w:p>
        </w:tc>
      </w:tr>
      <w:tr>
        <w:tc>
          <w:tcPr>
            <w:tcW w:type="dxa" w:w="1018"/>
          </w:tcPr>
          <w:p>
            <w:pPr>
              <w:spacing w:after="0" w:before="0" w:line="240" w:lineRule="auto"/>
            </w:pPr>
            <w:r/>
            <w:r>
              <w:rPr>
                <w:rFonts w:ascii="Times New Roman" w:hAnsi="Times New Roman" w:eastAsia="宋体"/>
                <w:b w:val="0"/>
                <w:sz w:val="18"/>
              </w:rPr>
              <w:t>192</w:t>
            </w:r>
          </w:p>
        </w:tc>
        <w:tc>
          <w:tcPr>
            <w:tcW w:type="dxa" w:w="909"/>
          </w:tcPr>
          <w:p>
            <w:pPr>
              <w:spacing w:after="0" w:before="0" w:line="240" w:lineRule="auto"/>
            </w:pPr>
            <w:r/>
            <w:r>
              <w:rPr>
                <w:rFonts w:ascii="Times New Roman" w:hAnsi="Times New Roman" w:eastAsia="宋体"/>
                <w:b w:val="0"/>
                <w:sz w:val="18"/>
              </w:rPr>
              <w:t>77</w:t>
            </w:r>
          </w:p>
        </w:tc>
        <w:tc>
          <w:tcPr>
            <w:tcW w:type="dxa" w:w="914"/>
          </w:tcPr>
          <w:p>
            <w:pPr>
              <w:spacing w:after="0" w:before="0" w:line="240" w:lineRule="auto"/>
            </w:pPr>
            <w:r/>
            <w:r>
              <w:rPr>
                <w:rFonts w:ascii="Times New Roman" w:hAnsi="Times New Roman" w:eastAsia="宋体"/>
                <w:b w:val="0"/>
                <w:sz w:val="18"/>
              </w:rPr>
              <w:t>4 386</w:t>
            </w:r>
          </w:p>
        </w:tc>
        <w:tc>
          <w:tcPr>
            <w:tcW w:type="dxa" w:w="1226"/>
          </w:tcPr>
          <w:p>
            <w:pPr>
              <w:spacing w:after="0" w:before="0" w:line="240" w:lineRule="auto"/>
            </w:pPr>
            <w:r/>
            <w:r>
              <w:rPr>
                <w:rFonts w:ascii="Times New Roman" w:hAnsi="Times New Roman" w:eastAsia="宋体"/>
                <w:b w:val="0"/>
                <w:sz w:val="18"/>
              </w:rPr>
              <w:t>16.65</w:t>
            </w:r>
          </w:p>
        </w:tc>
        <w:tc>
          <w:tcPr>
            <w:tcW w:type="dxa" w:w="810"/>
          </w:tcPr>
          <w:p>
            <w:pPr>
              <w:spacing w:after="0" w:before="0" w:line="240" w:lineRule="auto"/>
            </w:pPr>
            <w:r/>
            <w:r>
              <w:rPr>
                <w:rFonts w:ascii="Times New Roman" w:hAnsi="Times New Roman" w:eastAsia="宋体"/>
                <w:b w:val="0"/>
                <w:sz w:val="18"/>
              </w:rPr>
              <w:t>21.32</w:t>
            </w:r>
          </w:p>
        </w:tc>
      </w:tr>
      <w:tr>
        <w:tc>
          <w:tcPr>
            <w:tcW w:type="dxa" w:w="1018"/>
          </w:tcPr>
          <w:p>
            <w:pPr>
              <w:spacing w:after="0" w:before="0" w:line="240" w:lineRule="auto"/>
            </w:pPr>
            <w:r/>
            <w:r>
              <w:rPr>
                <w:rFonts w:ascii="Times New Roman" w:hAnsi="Times New Roman" w:eastAsia="宋体"/>
                <w:b w:val="0"/>
                <w:sz w:val="18"/>
              </w:rPr>
              <w:t>224</w:t>
            </w:r>
          </w:p>
        </w:tc>
        <w:tc>
          <w:tcPr>
            <w:tcW w:type="dxa" w:w="909"/>
          </w:tcPr>
          <w:p>
            <w:pPr>
              <w:spacing w:after="0" w:before="0" w:line="240" w:lineRule="auto"/>
            </w:pPr>
            <w:r/>
            <w:r>
              <w:rPr>
                <w:rFonts w:ascii="Times New Roman" w:hAnsi="Times New Roman" w:eastAsia="宋体"/>
                <w:b w:val="0"/>
                <w:sz w:val="18"/>
              </w:rPr>
              <w:t>108.98</w:t>
            </w:r>
          </w:p>
        </w:tc>
        <w:tc>
          <w:tcPr>
            <w:tcW w:type="dxa" w:w="914"/>
          </w:tcPr>
          <w:p>
            <w:pPr>
              <w:spacing w:after="0" w:before="0" w:line="240" w:lineRule="auto"/>
            </w:pPr>
            <w:r/>
            <w:r>
              <w:rPr>
                <w:rFonts w:ascii="Times New Roman" w:hAnsi="Times New Roman" w:eastAsia="宋体"/>
                <w:b w:val="0"/>
                <w:sz w:val="18"/>
              </w:rPr>
              <w:t>6 208</w:t>
            </w:r>
          </w:p>
        </w:tc>
        <w:tc>
          <w:tcPr>
            <w:tcW w:type="dxa" w:w="1226"/>
          </w:tcPr>
          <w:p>
            <w:pPr>
              <w:spacing w:after="0" w:before="0" w:line="240" w:lineRule="auto"/>
            </w:pPr>
            <w:r/>
            <w:r>
              <w:rPr>
                <w:rFonts w:ascii="Times New Roman" w:hAnsi="Times New Roman" w:eastAsia="宋体"/>
                <w:b w:val="0"/>
                <w:sz w:val="18"/>
              </w:rPr>
              <w:t>14.53</w:t>
            </w:r>
          </w:p>
        </w:tc>
        <w:tc>
          <w:tcPr>
            <w:tcW w:type="dxa" w:w="810"/>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43.75%（图 1）。</w:t>
      </w:r>
      <w:r>
        <w:rPr>
          <w:rFonts w:ascii="Times New Roman" w:hAnsi="Times New Roman" w:eastAsia="宋体"/>
          <w:b w:val="0"/>
          <w:sz w:val="18"/>
        </w:rPr>
        <w:t xml:space="preserve"> 请求平面在 8—192 GB 的十一档上恒为 100%，末档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百分点（图 1）。通胀不因资源充裕而自动收敛，因为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（4）本表各列的证据强度不同。</w:t>
      </w:r>
      <w:r>
        <w:rPr>
          <w:rFonts w:ascii="Times New Roman" w:hAnsi="Times New Roman" w:eastAsia="宋体"/>
          <w:b w:val="0"/>
          <w:sz w:val="18"/>
        </w:rPr>
        <w:t xml:space="preserve"> 缓存与槽位两列是配置记录，源层读数列是确定性计数、不受重复性影响（图 1 中的请求命中率与字节命中率同样如此）；s/tok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内存阶梯上的请求平面与字节平面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末两列与图 1：8—64 GB 七档 X_byte 恒为 0、源层读数恒为 25.83 GB，而 s/词元 自 32.69 变到 28.60（改善 12.5%，与 7 档极差同口径的噪声底 37.3% 相比偏小，按弥散处理）；128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line="276" w:lineRule="auto"/>
        <w:ind w:firstLine="360"/>
      </w:pPr>
      <w:r>
        <w:rPr>
          <w:rFonts w:ascii="Times New Roman" w:hAnsi="Times New Roman" w:eastAsia="宋体"/>
          <w:b/>
          <w:sz w:val="18"/>
        </w:rPr>
        <w:t>同一现象在主机 B 上的跨版本证据。</w:t>
      </w:r>
      <w:r>
        <w:rPr>
          <w:rFonts w:ascii="Times New Roman" w:hAnsi="Times New Roman" w:eastAsia="宋体"/>
          <w:b w:val="0"/>
          <w:sz w:val="18"/>
        </w:rPr>
        <w:t xml:space="preserve"> 表 3 改变的是资源，观察到的是命中率随资源"不变"；若换一批形态与时间都不同的实验仍见满格，则说明满格与资源无关。主机 B 的引擎在每次运行结束时都打印三个量：自报命中率、这些命中实际付出的 I/O 字节（</w:t>
      </w:r>
      <w:r>
        <w:rPr>
          <w:rFonts w:ascii="Consolas" w:hAnsi="Consolas"/>
          <w:color w:val="000080"/>
          <w:sz w:val="18"/>
        </w:rPr>
        <w:t>hit I/O</w:t>
      </w:r>
      <w:r>
        <w:rPr>
          <w:rFonts w:ascii="Times New Roman" w:hAnsi="Times New Roman" w:eastAsia="宋体"/>
          <w:b w:val="0"/>
          <w:sz w:val="18"/>
        </w:rPr>
        <w:t>）、以及引擎自陈的真实常驻命中率（</w:t>
      </w:r>
      <w:r>
        <w:rPr>
          <w:rFonts w:ascii="Consolas" w:hAnsi="Consolas"/>
          <w:color w:val="000080"/>
          <w:sz w:val="18"/>
        </w:rPr>
        <w:t>TRUE resident hit rate</w:t>
      </w:r>
      <w:r>
        <w:rPr>
          <w:rFonts w:ascii="Times New Roman" w:hAnsi="Times New Roman" w:eastAsia="宋体"/>
          <w:b w:val="0"/>
          <w:sz w:val="18"/>
        </w:rPr>
        <w:t xml:space="preserve">）。将 v0—v66 全部 105 轮汇总（表 4）：103 轮自报命中率恰为 100.00%；全部 105 轮的 </w:t>
      </w:r>
      <w:r>
        <w:rPr>
          <w:rFonts w:ascii="Consolas" w:hAnsi="Consolas"/>
          <w:color w:val="000080"/>
          <w:sz w:val="18"/>
        </w:rPr>
        <w:t>hit I/O</w:t>
      </w:r>
      <w:r>
        <w:rPr>
          <w:rFonts w:ascii="Times New Roman" w:hAnsi="Times New Roman" w:eastAsia="宋体"/>
          <w:b w:val="0"/>
          <w:sz w:val="18"/>
        </w:rPr>
        <w:t xml:space="preserve"> 为 25.83—280.65 GB，中位数 115.29 GB；自报命中率与 </w:t>
      </w:r>
      <w:r>
        <w:rPr>
          <w:rFonts w:ascii="Consolas" w:hAnsi="Consolas"/>
          <w:color w:val="000080"/>
          <w:sz w:val="18"/>
        </w:rPr>
        <w:t>TRUE resident</w:t>
      </w:r>
      <w:r>
        <w:rPr>
          <w:rFonts w:ascii="Times New Roman" w:hAnsi="Times New Roman" w:eastAsia="宋体"/>
          <w:b w:val="0"/>
          <w:sz w:val="18"/>
        </w:rPr>
        <w:t xml:space="preserve"> 之差为 57.00—100.00 个百分点，中位数 96.20。</w:t>
      </w:r>
    </w:p>
    <w:p>
      <w:pPr>
        <w:spacing w:before="80" w:after="20"/>
        <w:jc w:val="center"/>
      </w:pPr>
      <w:r>
        <w:rPr>
          <w:rFonts w:ascii="Times New Roman" w:hAnsi="Times New Roman" w:eastAsia="宋体"/>
          <w:b w:val="0"/>
          <w:sz w:val="15"/>
        </w:rPr>
        <w:t>表 4　主机 B 跨版本的自报命中率与命中实际 I/O（105 轮，节选 6 轮）</w:t>
      </w:r>
    </w:p>
    <w:p>
      <w:pPr>
        <w:spacing w:before="80" w:after="20"/>
        <w:jc w:val="center"/>
      </w:pPr>
      <w:r>
        <w:rPr>
          <w:rFonts w:ascii="Times New Roman" w:hAnsi="Times New Roman" w:eastAsia="Times New Roman"/>
          <w:b w:val="0"/>
          <w:sz w:val="15"/>
        </w:rPr>
        <w:t>Table 4</w:t>
        <w:tab/>
        <w:t>Self-reported hit rate and the I/O those hits cost, across versions on host B (105 runs, 6 shown)</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371"/>
        <w:gridCol w:w="831"/>
        <w:gridCol w:w="1061"/>
        <w:gridCol w:w="831"/>
        <w:gridCol w:w="781"/>
      </w:tblGrid>
      <w:tr>
        <w:tc>
          <w:tcPr>
            <w:tcW w:type="dxa" w:w="1371"/>
            <w:tcBorders>
              <w:bottom w:val="single" w:sz="6" w:space="0" w:color="000000"/>
            </w:tcBorders>
          </w:tcPr>
          <w:p>
            <w:pPr>
              <w:spacing w:after="0" w:before="0" w:line="240" w:lineRule="auto"/>
            </w:pPr>
            <w:r/>
            <w:r>
              <w:rPr>
                <w:rFonts w:ascii="Times New Roman" w:hAnsi="Times New Roman" w:eastAsia="黑体"/>
                <w:b/>
                <w:sz w:val="18"/>
              </w:rPr>
              <w:t>版本</w:t>
            </w:r>
          </w:p>
        </w:tc>
        <w:tc>
          <w:tcPr>
            <w:tcW w:type="dxa" w:w="831"/>
            <w:tcBorders>
              <w:bottom w:val="single" w:sz="6" w:space="0" w:color="000000"/>
            </w:tcBorders>
          </w:tcPr>
          <w:p>
            <w:pPr>
              <w:spacing w:after="0" w:before="0" w:line="240" w:lineRule="auto"/>
            </w:pPr>
            <w:r/>
            <w:r>
              <w:rPr>
                <w:rFonts w:ascii="Times New Roman" w:hAnsi="Times New Roman" w:eastAsia="黑体"/>
                <w:b/>
                <w:sz w:val="18"/>
              </w:rPr>
              <w:t>自报命中率/%</w:t>
            </w:r>
          </w:p>
        </w:tc>
        <w:tc>
          <w:tcPr>
            <w:tcW w:type="dxa" w:w="1061"/>
            <w:tcBorders>
              <w:bottom w:val="single" w:sz="6" w:space="0" w:color="000000"/>
            </w:tcBorders>
          </w:tcPr>
          <w:p>
            <w:pPr>
              <w:spacing w:after="0" w:before="0" w:line="240" w:lineRule="auto"/>
            </w:pPr>
            <w:r/>
            <w:r>
              <w:rPr>
                <w:rFonts w:ascii="Times New Roman" w:hAnsi="Times New Roman" w:eastAsia="黑体"/>
                <w:b/>
                <w:sz w:val="18"/>
              </w:rPr>
              <w:t>TRUE resident/%</w:t>
            </w:r>
          </w:p>
        </w:tc>
        <w:tc>
          <w:tcPr>
            <w:tcW w:type="dxa" w:w="831"/>
            <w:tcBorders>
              <w:bottom w:val="single" w:sz="6" w:space="0" w:color="000000"/>
            </w:tcBorders>
          </w:tcPr>
          <w:p>
            <w:pPr>
              <w:spacing w:after="0" w:before="0" w:line="240" w:lineRule="auto"/>
            </w:pPr>
            <w:r/>
            <w:r>
              <w:rPr>
                <w:rFonts w:ascii="Times New Roman" w:hAnsi="Times New Roman" w:eastAsia="黑体"/>
                <w:b/>
                <w:sz w:val="18"/>
              </w:rPr>
              <w:t>`hit I/O`/GB</w:t>
            </w:r>
          </w:p>
        </w:tc>
        <w:tc>
          <w:tcPr>
            <w:tcW w:type="dxa" w:w="781"/>
            <w:tcBorders>
              <w:bottom w:val="single" w:sz="6" w:space="0" w:color="000000"/>
            </w:tcBorders>
          </w:tcPr>
          <w:p>
            <w:pPr>
              <w:spacing w:after="0" w:before="0" w:line="240" w:lineRule="auto"/>
            </w:pPr>
            <w:r/>
            <w:r>
              <w:rPr>
                <w:rFonts w:ascii="Times New Roman" w:hAnsi="Times New Roman" w:eastAsia="黑体"/>
                <w:b/>
                <w:sz w:val="18"/>
              </w:rPr>
              <w:t>差/百分点</w:t>
            </w:r>
          </w:p>
        </w:tc>
      </w:tr>
      <w:tr>
        <w:tc>
          <w:tcPr>
            <w:tcW w:type="dxa" w:w="1371"/>
          </w:tcPr>
          <w:p>
            <w:pPr>
              <w:spacing w:after="0" w:before="0" w:line="240" w:lineRule="auto"/>
            </w:pPr>
            <w:r/>
            <w:r>
              <w:rPr>
                <w:rFonts w:ascii="Times New Roman" w:hAnsi="Times New Roman" w:eastAsia="宋体"/>
                <w:b w:val="0"/>
                <w:sz w:val="18"/>
              </w:rPr>
              <w:t>v4</w:t>
            </w:r>
          </w:p>
        </w:tc>
        <w:tc>
          <w:tcPr>
            <w:tcW w:type="dxa" w:w="831"/>
          </w:tcPr>
          <w:p>
            <w:pPr>
              <w:spacing w:after="0" w:before="0" w:line="240" w:lineRule="auto"/>
            </w:pPr>
            <w:r/>
            <w:r>
              <w:rPr>
                <w:rFonts w:ascii="Times New Roman" w:hAnsi="Times New Roman" w:eastAsia="宋体"/>
                <w:b w:val="0"/>
                <w:sz w:val="18"/>
              </w:rPr>
              <w:t>99.05</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280.65</w:t>
            </w:r>
          </w:p>
        </w:tc>
        <w:tc>
          <w:tcPr>
            <w:tcW w:type="dxa" w:w="781"/>
          </w:tcPr>
          <w:p>
            <w:pPr>
              <w:spacing w:after="0" w:before="0" w:line="240" w:lineRule="auto"/>
            </w:pPr>
            <w:r/>
            <w:r>
              <w:rPr>
                <w:rFonts w:ascii="Times New Roman" w:hAnsi="Times New Roman" w:eastAsia="宋体"/>
                <w:b w:val="0"/>
                <w:sz w:val="18"/>
              </w:rPr>
              <w:t>99.05</w:t>
            </w:r>
          </w:p>
        </w:tc>
      </w:tr>
      <w:tr>
        <w:tc>
          <w:tcPr>
            <w:tcW w:type="dxa" w:w="1371"/>
          </w:tcPr>
          <w:p>
            <w:pPr>
              <w:spacing w:after="0" w:before="0" w:line="240" w:lineRule="auto"/>
            </w:pPr>
            <w:r/>
            <w:r>
              <w:rPr>
                <w:rFonts w:ascii="Times New Roman" w:hAnsi="Times New Roman" w:eastAsia="宋体"/>
                <w:b w:val="0"/>
                <w:sz w:val="18"/>
              </w:rPr>
              <w:t>v24</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12.23</w:t>
            </w:r>
          </w:p>
        </w:tc>
        <w:tc>
          <w:tcPr>
            <w:tcW w:type="dxa" w:w="831"/>
          </w:tcPr>
          <w:p>
            <w:pPr>
              <w:spacing w:after="0" w:before="0" w:line="240" w:lineRule="auto"/>
            </w:pPr>
            <w:r/>
            <w:r>
              <w:rPr>
                <w:rFonts w:ascii="Times New Roman" w:hAnsi="Times New Roman" w:eastAsia="宋体"/>
                <w:b w:val="0"/>
                <w:sz w:val="18"/>
              </w:rPr>
              <w:t>195.07</w:t>
            </w:r>
          </w:p>
        </w:tc>
        <w:tc>
          <w:tcPr>
            <w:tcW w:type="dxa" w:w="781"/>
          </w:tcPr>
          <w:p>
            <w:pPr>
              <w:spacing w:after="0" w:before="0" w:line="240" w:lineRule="auto"/>
            </w:pPr>
            <w:r/>
            <w:r>
              <w:rPr>
                <w:rFonts w:ascii="Times New Roman" w:hAnsi="Times New Roman" w:eastAsia="宋体"/>
                <w:b w:val="0"/>
                <w:sz w:val="18"/>
              </w:rPr>
              <w:t>87.77</w:t>
            </w:r>
          </w:p>
        </w:tc>
      </w:tr>
      <w:tr>
        <w:tc>
          <w:tcPr>
            <w:tcW w:type="dxa" w:w="1371"/>
          </w:tcPr>
          <w:p>
            <w:pPr>
              <w:spacing w:after="0" w:before="0" w:line="240" w:lineRule="auto"/>
            </w:pPr>
            <w:r/>
            <w:r>
              <w:rPr>
                <w:rFonts w:ascii="Times New Roman" w:hAnsi="Times New Roman" w:eastAsia="宋体"/>
                <w:b w:val="0"/>
                <w:sz w:val="18"/>
              </w:rPr>
              <w:t>v16</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18.61</w:t>
            </w:r>
          </w:p>
        </w:tc>
        <w:tc>
          <w:tcPr>
            <w:tcW w:type="dxa" w:w="831"/>
          </w:tcPr>
          <w:p>
            <w:pPr>
              <w:spacing w:after="0" w:before="0" w:line="240" w:lineRule="auto"/>
            </w:pPr>
            <w:r/>
            <w:r>
              <w:rPr>
                <w:rFonts w:ascii="Times New Roman" w:hAnsi="Times New Roman" w:eastAsia="宋体"/>
                <w:b w:val="0"/>
                <w:sz w:val="18"/>
              </w:rPr>
              <w:t>183.68</w:t>
            </w:r>
          </w:p>
        </w:tc>
        <w:tc>
          <w:tcPr>
            <w:tcW w:type="dxa" w:w="781"/>
          </w:tcPr>
          <w:p>
            <w:pPr>
              <w:spacing w:after="0" w:before="0" w:line="240" w:lineRule="auto"/>
            </w:pPr>
            <w:r/>
            <w:r>
              <w:rPr>
                <w:rFonts w:ascii="Times New Roman" w:hAnsi="Times New Roman" w:eastAsia="宋体"/>
                <w:b w:val="0"/>
                <w:sz w:val="18"/>
              </w:rPr>
              <w:t>81.39</w:t>
            </w:r>
          </w:p>
        </w:tc>
      </w:tr>
      <w:tr>
        <w:tc>
          <w:tcPr>
            <w:tcW w:type="dxa" w:w="1371"/>
          </w:tcPr>
          <w:p>
            <w:pPr>
              <w:spacing w:after="0" w:before="0" w:line="240" w:lineRule="auto"/>
            </w:pPr>
            <w:r/>
            <w:r>
              <w:rPr>
                <w:rFonts w:ascii="Times New Roman" w:hAnsi="Times New Roman" w:eastAsia="宋体"/>
                <w:b w:val="0"/>
                <w:sz w:val="18"/>
              </w:rPr>
              <w:t>v30_repeat</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3.80</w:t>
            </w:r>
          </w:p>
        </w:tc>
        <w:tc>
          <w:tcPr>
            <w:tcW w:type="dxa" w:w="831"/>
          </w:tcPr>
          <w:p>
            <w:pPr>
              <w:spacing w:after="0" w:before="0" w:line="240" w:lineRule="auto"/>
            </w:pPr>
            <w:r/>
            <w:r>
              <w:rPr>
                <w:rFonts w:ascii="Times New Roman" w:hAnsi="Times New Roman" w:eastAsia="宋体"/>
                <w:b w:val="0"/>
                <w:sz w:val="18"/>
              </w:rPr>
              <w:t>76.51</w:t>
            </w:r>
          </w:p>
        </w:tc>
        <w:tc>
          <w:tcPr>
            <w:tcW w:type="dxa" w:w="781"/>
          </w:tcPr>
          <w:p>
            <w:pPr>
              <w:spacing w:after="0" w:before="0" w:line="240" w:lineRule="auto"/>
            </w:pPr>
            <w:r/>
            <w:r>
              <w:rPr>
                <w:rFonts w:ascii="Times New Roman" w:hAnsi="Times New Roman" w:eastAsia="宋体"/>
                <w:b w:val="0"/>
                <w:sz w:val="18"/>
              </w:rPr>
              <w:t>96.20</w:t>
            </w:r>
          </w:p>
        </w:tc>
      </w:tr>
      <w:tr>
        <w:tc>
          <w:tcPr>
            <w:tcW w:type="dxa" w:w="1371"/>
          </w:tcPr>
          <w:p>
            <w:pPr>
              <w:spacing w:after="0" w:before="0" w:line="240" w:lineRule="auto"/>
            </w:pPr>
            <w:r/>
            <w:r>
              <w:rPr>
                <w:rFonts w:ascii="Times New Roman" w:hAnsi="Times New Roman" w:eastAsia="宋体"/>
                <w:b w:val="0"/>
                <w:sz w:val="18"/>
              </w:rPr>
              <w:t>v62_policy</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20.61</w:t>
            </w:r>
          </w:p>
        </w:tc>
        <w:tc>
          <w:tcPr>
            <w:tcW w:type="dxa" w:w="831"/>
          </w:tcPr>
          <w:p>
            <w:pPr>
              <w:spacing w:after="0" w:before="0" w:line="240" w:lineRule="auto"/>
            </w:pPr>
            <w:r/>
            <w:r>
              <w:rPr>
                <w:rFonts w:ascii="Times New Roman" w:hAnsi="Times New Roman" w:eastAsia="宋体"/>
                <w:b w:val="0"/>
                <w:sz w:val="18"/>
              </w:rPr>
              <w:t>76.49</w:t>
            </w:r>
          </w:p>
        </w:tc>
        <w:tc>
          <w:tcPr>
            <w:tcW w:type="dxa" w:w="781"/>
          </w:tcPr>
          <w:p>
            <w:pPr>
              <w:spacing w:after="0" w:before="0" w:line="240" w:lineRule="auto"/>
            </w:pPr>
            <w:r/>
            <w:r>
              <w:rPr>
                <w:rFonts w:ascii="Times New Roman" w:hAnsi="Times New Roman" w:eastAsia="宋体"/>
                <w:b w:val="0"/>
                <w:sz w:val="18"/>
              </w:rPr>
              <w:t>79.39</w:t>
            </w:r>
          </w:p>
        </w:tc>
      </w:tr>
      <w:tr>
        <w:tc>
          <w:tcPr>
            <w:tcW w:type="dxa" w:w="1371"/>
          </w:tcPr>
          <w:p>
            <w:pPr>
              <w:spacing w:after="0" w:before="0" w:line="240" w:lineRule="auto"/>
            </w:pPr>
            <w:r/>
            <w:r>
              <w:rPr>
                <w:rFonts w:ascii="Times New Roman" w:hAnsi="Times New Roman" w:eastAsia="宋体"/>
                <w:b w:val="0"/>
                <w:sz w:val="18"/>
              </w:rPr>
              <w:t>v56_counters</w:t>
            </w:r>
          </w:p>
        </w:tc>
        <w:tc>
          <w:tcPr>
            <w:tcW w:type="dxa" w:w="831"/>
          </w:tcPr>
          <w:p>
            <w:pPr>
              <w:spacing w:after="0" w:before="0" w:line="240" w:lineRule="auto"/>
            </w:pPr>
            <w:r/>
            <w:r>
              <w:rPr>
                <w:rFonts w:ascii="Times New Roman" w:hAnsi="Times New Roman" w:eastAsia="宋体"/>
                <w:b w:val="0"/>
                <w:sz w:val="18"/>
              </w:rPr>
              <w:t>100.00</w:t>
            </w:r>
          </w:p>
        </w:tc>
        <w:tc>
          <w:tcPr>
            <w:tcW w:type="dxa" w:w="1061"/>
          </w:tcPr>
          <w:p>
            <w:pPr>
              <w:spacing w:after="0" w:before="0" w:line="240" w:lineRule="auto"/>
            </w:pPr>
            <w:r/>
            <w:r>
              <w:rPr>
                <w:rFonts w:ascii="Times New Roman" w:hAnsi="Times New Roman" w:eastAsia="宋体"/>
                <w:b w:val="0"/>
                <w:sz w:val="18"/>
              </w:rPr>
              <w:t>0.00</w:t>
            </w:r>
          </w:p>
        </w:tc>
        <w:tc>
          <w:tcPr>
            <w:tcW w:type="dxa" w:w="831"/>
          </w:tcPr>
          <w:p>
            <w:pPr>
              <w:spacing w:after="0" w:before="0" w:line="240" w:lineRule="auto"/>
            </w:pPr>
            <w:r/>
            <w:r>
              <w:rPr>
                <w:rFonts w:ascii="Times New Roman" w:hAnsi="Times New Roman" w:eastAsia="宋体"/>
                <w:b w:val="0"/>
                <w:sz w:val="18"/>
              </w:rPr>
              <w:t>25.83</w:t>
            </w:r>
          </w:p>
        </w:tc>
        <w:tc>
          <w:tcPr>
            <w:tcW w:type="dxa" w:w="781"/>
          </w:tcPr>
          <w:p>
            <w:pPr>
              <w:spacing w:after="0" w:before="0" w:line="240" w:lineRule="auto"/>
            </w:pPr>
            <w:r/>
            <w:r>
              <w:rPr>
                <w:rFonts w:ascii="Times New Roman" w:hAnsi="Times New Roman" w:eastAsia="宋体"/>
                <w:b w:val="0"/>
                <w:sz w:val="18"/>
              </w:rPr>
              <w:t>100.00</w:t>
            </w:r>
          </w:p>
        </w:tc>
      </w:tr>
    </w:tbl>
    <w:p>
      <w:pPr>
        <w:spacing w:after="40" w:line="276" w:lineRule="auto"/>
        <w:ind w:firstLine="360"/>
      </w:pPr>
      <w:r>
        <w:rPr>
          <w:rFonts w:ascii="Times New Roman" w:hAnsi="Times New Roman" w:eastAsia="宋体"/>
          <w:b/>
          <w:sz w:val="18"/>
        </w:rPr>
        <w:t>每一轮的自报命中率都接近或等于满格，而每一轮都付出了 25.83—280.65 GB 的 `hit I/O`。</w:t>
      </w:r>
      <w:r>
        <w:rPr>
          <w:rFonts w:ascii="Times New Roman" w:hAnsi="Times New Roman" w:eastAsia="宋体"/>
          <w:b w:val="0"/>
          <w:sz w:val="18"/>
        </w:rPr>
        <w:t xml:space="preserve"> 另外 2 轮自报 99.05% 与 99.73% 时，</w:t>
      </w:r>
      <w:r>
        <w:rPr>
          <w:rFonts w:ascii="Consolas" w:hAnsi="Consolas"/>
          <w:color w:val="000080"/>
          <w:sz w:val="18"/>
        </w:rPr>
        <w:t>hit I/O</w:t>
      </w:r>
      <w:r>
        <w:rPr>
          <w:rFonts w:ascii="Times New Roman" w:hAnsi="Times New Roman" w:eastAsia="宋体"/>
          <w:b w:val="0"/>
          <w:sz w:val="18"/>
        </w:rPr>
        <w:t xml:space="preserve"> 分别为 280.65 GB 与 181.19 GB——</w:t>
      </w:r>
      <w:r>
        <w:rPr>
          <w:rFonts w:ascii="Times New Roman" w:hAnsi="Times New Roman" w:eastAsia="宋体"/>
          <w:b/>
          <w:sz w:val="18"/>
        </w:rPr>
        <w:t>问题不限于满格，任何命中率下字节都在付</w:t>
      </w:r>
      <w:r>
        <w:rPr>
          <w:rFonts w:ascii="Times New Roman" w:hAnsi="Times New Roman" w:eastAsia="宋体"/>
          <w:b w:val="0"/>
          <w:sz w:val="18"/>
        </w:rPr>
        <w:t>。表 3 出自主机 A 的内存阶梯扫描，表 4 出自主机 B 的引擎日志，二者机器不同、实验形态不同、时间不同，互不依赖却指向同一结论：这正是本文所主张的，该计数器度量的是"键是否在场"，与"字节是否免除"之间没有稳定关系。</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算得，引擎另有一个自报字节命中率字段。二者来源不同：前者来自字节计数器的差值，后者来自引擎自行打印的命中率字段。若二者逐点相等，则台账中至少有一条量可被独立复算，检验 C2 通过。</w:t>
      </w:r>
    </w:p>
    <w:p>
      <w:pPr>
        <w:spacing w:after="40" w:line="276" w:lineRule="auto"/>
        <w:ind w:firstLine="360"/>
      </w:pPr>
      <w:r>
        <w:rPr>
          <w:rFonts w:ascii="Times New Roman" w:hAnsi="Times New Roman" w:eastAsia="宋体"/>
          <w:b w:val="0"/>
          <w:sz w:val="18"/>
        </w:rPr>
        <w:t>对内存阶梯与配额扫描的 12 + 12 档（均在主机 A，含 1 个在两次扫描中重复的点）共 24 个配置点计算差值：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0.021，配额扫描 12 点的最大偏差 0.017（后者即表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sz w:val="18"/>
        </w:rPr>
        <w:t>本检验有前提</w:t>
      </w:r>
      <w:r>
        <w:rPr>
          <w:rFonts w:ascii="Times New Roman" w:hAnsi="Times New Roman" w:eastAsia="宋体"/>
          <w:b w:val="0"/>
          <w:sz w:val="18"/>
        </w:rPr>
        <w:t>：它成立的前提是引擎同时打印字节台账与自报命中率字段。若某引擎的命中率由请求计数构成——例如以「命中数减预取读数」除以请求总数，分子分母都不含字节——则该字段按构造即请求口径，本检验对它不适用。主机 B 的引擎正属此类，故本节的核验只在提供该字段的主机 A 上进行。此限制来自引擎实现的差异，不是数据不足。</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不能被标为请求平面。</w:t>
      </w:r>
    </w:p>
    <w:p>
      <w:pPr>
        <w:spacing w:after="40" w:before="80" w:line="240" w:lineRule="auto"/>
      </w:pPr>
      <w:r>
        <w:rPr>
          <w:rFonts w:ascii="Times New Roman" w:hAnsi="Times New Roman" w:eastAsia="黑体"/>
          <w:b w:val="0"/>
          <w:sz w:val="18"/>
        </w:rPr>
        <w:t>4.4  驻留配额的字节平面扫描（主机 A）</w:t>
      </w:r>
    </w:p>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5　驻留配额扫描台账</w:t>
      </w:r>
    </w:p>
    <w:p>
      <w:pPr>
        <w:spacing w:before="80" w:after="20"/>
        <w:jc w:val="center"/>
      </w:pPr>
      <w:r>
        <w:rPr>
          <w:rFonts w:ascii="Times New Roman" w:hAnsi="Times New Roman" w:eastAsia="Times New Roman"/>
          <w:b w:val="0"/>
          <w:sz w:val="15"/>
        </w:rPr>
        <w:t>Table 5　Residence-quota scan ledger</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89"/>
        <w:gridCol w:w="1009"/>
        <w:gridCol w:w="1089"/>
        <w:gridCol w:w="1290"/>
        <w:gridCol w:w="998"/>
        <w:gridCol w:w="1330"/>
        <w:gridCol w:w="848"/>
      </w:tblGrid>
      <w:tr>
        <w:tc>
          <w:tcPr>
            <w:tcW w:type="dxa" w:w="1089"/>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1009"/>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1089"/>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290"/>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99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1330"/>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48"/>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2.7</w:t>
            </w:r>
          </w:p>
        </w:tc>
        <w:tc>
          <w:tcPr>
            <w:tcW w:type="dxa" w:w="1089"/>
          </w:tcPr>
          <w:p>
            <w:pPr>
              <w:spacing w:after="0" w:before="0" w:line="240" w:lineRule="auto"/>
            </w:pPr>
            <w:r/>
            <w:r>
              <w:rPr>
                <w:rFonts w:ascii="Times New Roman" w:hAnsi="Times New Roman" w:eastAsia="宋体"/>
                <w:b w:val="0"/>
                <w:sz w:val="18"/>
              </w:rPr>
              <w:t>24.3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6.8</w:t>
            </w:r>
          </w:p>
        </w:tc>
        <w:tc>
          <w:tcPr>
            <w:tcW w:type="dxa" w:w="1089"/>
          </w:tcPr>
          <w:p>
            <w:pPr>
              <w:spacing w:after="0" w:before="0" w:line="240" w:lineRule="auto"/>
            </w:pPr>
            <w:r/>
            <w:r>
              <w:rPr>
                <w:rFonts w:ascii="Times New Roman" w:hAnsi="Times New Roman" w:eastAsia="宋体"/>
                <w:b w:val="0"/>
                <w:sz w:val="18"/>
              </w:rPr>
              <w:t>20.2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30.58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10.8</w:t>
            </w:r>
          </w:p>
        </w:tc>
        <w:tc>
          <w:tcPr>
            <w:tcW w:type="dxa" w:w="1089"/>
          </w:tcPr>
          <w:p>
            <w:pPr>
              <w:spacing w:after="0" w:before="0" w:line="240" w:lineRule="auto"/>
            </w:pPr>
            <w:r/>
            <w:r>
              <w:rPr>
                <w:rFonts w:ascii="Times New Roman" w:hAnsi="Times New Roman" w:eastAsia="宋体"/>
                <w:b w:val="0"/>
                <w:sz w:val="18"/>
              </w:rPr>
              <w:t>16.2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31.25</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16.2</w:t>
            </w:r>
          </w:p>
        </w:tc>
        <w:tc>
          <w:tcPr>
            <w:tcW w:type="dxa" w:w="1089"/>
          </w:tcPr>
          <w:p>
            <w:pPr>
              <w:spacing w:after="0" w:before="0" w:line="240" w:lineRule="auto"/>
            </w:pPr>
            <w:r/>
            <w:r>
              <w:rPr>
                <w:rFonts w:ascii="Times New Roman" w:hAnsi="Times New Roman" w:eastAsia="宋体"/>
                <w:b w:val="0"/>
                <w:sz w:val="18"/>
              </w:rPr>
              <w:t>10.8</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30.88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21.6</w:t>
            </w:r>
          </w:p>
        </w:tc>
        <w:tc>
          <w:tcPr>
            <w:tcW w:type="dxa" w:w="1089"/>
          </w:tcPr>
          <w:p>
            <w:pPr>
              <w:spacing w:after="0" w:before="0" w:line="240" w:lineRule="auto"/>
            </w:pPr>
            <w:r/>
            <w:r>
              <w:rPr>
                <w:rFonts w:ascii="Times New Roman" w:hAnsi="Times New Roman" w:eastAsia="宋体"/>
                <w:b w:val="0"/>
                <w:sz w:val="18"/>
              </w:rPr>
              <w:t>5.4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29.13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25.6</w:t>
            </w:r>
          </w:p>
        </w:tc>
        <w:tc>
          <w:tcPr>
            <w:tcW w:type="dxa" w:w="1089"/>
          </w:tcPr>
          <w:p>
            <w:pPr>
              <w:spacing w:after="0" w:before="0" w:line="240" w:lineRule="auto"/>
            </w:pPr>
            <w:r/>
            <w:r>
              <w:rPr>
                <w:rFonts w:ascii="Times New Roman" w:hAnsi="Times New Roman" w:eastAsia="宋体"/>
                <w:b w:val="0"/>
                <w:sz w:val="18"/>
              </w:rPr>
              <w:t>1.4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28.06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12.3</w:t>
            </w:r>
          </w:p>
        </w:tc>
        <w:tc>
          <w:tcPr>
            <w:tcW w:type="dxa" w:w="1089"/>
          </w:tcPr>
          <w:p>
            <w:pPr>
              <w:spacing w:after="0" w:before="0" w:line="240" w:lineRule="auto"/>
            </w:pPr>
            <w:r/>
            <w:r>
              <w:rPr>
                <w:rFonts w:ascii="Times New Roman" w:hAnsi="Times New Roman" w:eastAsia="宋体"/>
                <w:b w:val="0"/>
                <w:sz w:val="18"/>
              </w:rPr>
              <w:t>110.7</w:t>
            </w:r>
          </w:p>
        </w:tc>
        <w:tc>
          <w:tcPr>
            <w:tcW w:type="dxa" w:w="1290"/>
          </w:tcPr>
          <w:p>
            <w:pPr>
              <w:spacing w:after="0" w:before="0" w:line="240" w:lineRule="auto"/>
            </w:pPr>
            <w:r/>
            <w:r>
              <w:rPr>
                <w:rFonts w:ascii="Times New Roman" w:hAnsi="Times New Roman" w:eastAsia="宋体"/>
                <w:b w:val="0"/>
                <w:sz w:val="18"/>
              </w:rPr>
              <w:t>44.02</w:t>
            </w:r>
          </w:p>
        </w:tc>
        <w:tc>
          <w:tcPr>
            <w:tcW w:type="dxa" w:w="998"/>
          </w:tcPr>
          <w:p>
            <w:pPr>
              <w:spacing w:after="0" w:before="0" w:line="240" w:lineRule="auto"/>
            </w:pPr>
            <w:r/>
            <w:r>
              <w:rPr>
                <w:rFonts w:ascii="Times New Roman" w:hAnsi="Times New Roman" w:eastAsia="宋体"/>
                <w:b w:val="0"/>
                <w:sz w:val="18"/>
              </w:rPr>
              <w:t>44.02</w:t>
            </w:r>
          </w:p>
        </w:tc>
        <w:tc>
          <w:tcPr>
            <w:tcW w:type="dxa" w:w="1330"/>
          </w:tcPr>
          <w:p>
            <w:pPr>
              <w:spacing w:after="0" w:before="0" w:line="240" w:lineRule="auto"/>
            </w:pPr>
            <w:r/>
            <w:r>
              <w:rPr>
                <w:rFonts w:ascii="Times New Roman" w:hAnsi="Times New Roman" w:eastAsia="宋体"/>
                <w:b w:val="0"/>
                <w:sz w:val="18"/>
              </w:rPr>
              <w:t>14.46</w:t>
            </w:r>
          </w:p>
        </w:tc>
        <w:tc>
          <w:tcPr>
            <w:tcW w:type="dxa" w:w="848"/>
          </w:tcPr>
          <w:p>
            <w:pPr>
              <w:spacing w:after="0" w:before="0" w:line="240" w:lineRule="auto"/>
            </w:pPr>
            <w:r/>
            <w:r>
              <w:rPr>
                <w:rFonts w:ascii="Times New Roman" w:hAnsi="Times New Roman" w:eastAsia="宋体"/>
                <w:b w:val="0"/>
                <w:sz w:val="18"/>
              </w:rPr>
              <w:t>28.38</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30.8</w:t>
            </w:r>
          </w:p>
        </w:tc>
        <w:tc>
          <w:tcPr>
            <w:tcW w:type="dxa" w:w="1089"/>
          </w:tcPr>
          <w:p>
            <w:pPr>
              <w:spacing w:after="0" w:before="0" w:line="240" w:lineRule="auto"/>
            </w:pPr>
            <w:r/>
            <w:r>
              <w:rPr>
                <w:rFonts w:ascii="Times New Roman" w:hAnsi="Times New Roman" w:eastAsia="宋体"/>
                <w:b w:val="0"/>
                <w:sz w:val="18"/>
              </w:rPr>
              <w:t>92.2</w:t>
            </w:r>
          </w:p>
        </w:tc>
        <w:tc>
          <w:tcPr>
            <w:tcW w:type="dxa" w:w="1290"/>
          </w:tcPr>
          <w:p>
            <w:pPr>
              <w:spacing w:after="0" w:before="0" w:line="240" w:lineRule="auto"/>
            </w:pPr>
            <w:r/>
            <w:r>
              <w:rPr>
                <w:rFonts w:ascii="Times New Roman" w:hAnsi="Times New Roman" w:eastAsia="宋体"/>
                <w:b w:val="0"/>
                <w:sz w:val="18"/>
              </w:rPr>
              <w:t>42.93</w:t>
            </w:r>
          </w:p>
        </w:tc>
        <w:tc>
          <w:tcPr>
            <w:tcW w:type="dxa" w:w="998"/>
          </w:tcPr>
          <w:p>
            <w:pPr>
              <w:spacing w:after="0" w:before="0" w:line="240" w:lineRule="auto"/>
            </w:pPr>
            <w:r/>
            <w:r>
              <w:rPr>
                <w:rFonts w:ascii="Times New Roman" w:hAnsi="Times New Roman" w:eastAsia="宋体"/>
                <w:b w:val="0"/>
                <w:sz w:val="18"/>
              </w:rPr>
              <w:t>42.93</w:t>
            </w:r>
          </w:p>
        </w:tc>
        <w:tc>
          <w:tcPr>
            <w:tcW w:type="dxa" w:w="1330"/>
          </w:tcPr>
          <w:p>
            <w:pPr>
              <w:spacing w:after="0" w:before="0" w:line="240" w:lineRule="auto"/>
            </w:pPr>
            <w:r/>
            <w:r>
              <w:rPr>
                <w:rFonts w:ascii="Times New Roman" w:hAnsi="Times New Roman" w:eastAsia="宋体"/>
                <w:b w:val="0"/>
                <w:sz w:val="18"/>
              </w:rPr>
              <w:t>14.74</w:t>
            </w:r>
          </w:p>
        </w:tc>
        <w:tc>
          <w:tcPr>
            <w:tcW w:type="dxa" w:w="848"/>
          </w:tcPr>
          <w:p>
            <w:pPr>
              <w:spacing w:after="0" w:before="0" w:line="240" w:lineRule="auto"/>
            </w:pPr>
            <w:r/>
            <w:r>
              <w:rPr>
                <w:rFonts w:ascii="Times New Roman" w:hAnsi="Times New Roman" w:eastAsia="宋体"/>
                <w:b w:val="0"/>
                <w:sz w:val="18"/>
              </w:rPr>
              <w:t>25.20</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49.2</w:t>
            </w:r>
          </w:p>
        </w:tc>
        <w:tc>
          <w:tcPr>
            <w:tcW w:type="dxa" w:w="1089"/>
          </w:tcPr>
          <w:p>
            <w:pPr>
              <w:spacing w:after="0" w:before="0" w:line="240" w:lineRule="auto"/>
            </w:pPr>
            <w:r/>
            <w:r>
              <w:rPr>
                <w:rFonts w:ascii="Times New Roman" w:hAnsi="Times New Roman" w:eastAsia="宋体"/>
                <w:b w:val="0"/>
                <w:sz w:val="18"/>
              </w:rPr>
              <w:t>73.8</w:t>
            </w:r>
          </w:p>
        </w:tc>
        <w:tc>
          <w:tcPr>
            <w:tcW w:type="dxa" w:w="1290"/>
          </w:tcPr>
          <w:p>
            <w:pPr>
              <w:spacing w:after="0" w:before="0" w:line="240" w:lineRule="auto"/>
            </w:pPr>
            <w:r/>
            <w:r>
              <w:rPr>
                <w:rFonts w:ascii="Times New Roman" w:hAnsi="Times New Roman" w:eastAsia="宋体"/>
                <w:b w:val="0"/>
                <w:sz w:val="18"/>
              </w:rPr>
              <w:t>33.97</w:t>
            </w:r>
          </w:p>
        </w:tc>
        <w:tc>
          <w:tcPr>
            <w:tcW w:type="dxa" w:w="998"/>
          </w:tcPr>
          <w:p>
            <w:pPr>
              <w:spacing w:after="0" w:before="0" w:line="240" w:lineRule="auto"/>
            </w:pPr>
            <w:r/>
            <w:r>
              <w:rPr>
                <w:rFonts w:ascii="Times New Roman" w:hAnsi="Times New Roman" w:eastAsia="宋体"/>
                <w:b w:val="0"/>
                <w:sz w:val="18"/>
              </w:rPr>
              <w:t>33.95</w:t>
            </w:r>
          </w:p>
        </w:tc>
        <w:tc>
          <w:tcPr>
            <w:tcW w:type="dxa" w:w="1330"/>
          </w:tcPr>
          <w:p>
            <w:pPr>
              <w:spacing w:after="0" w:before="0" w:line="240" w:lineRule="auto"/>
            </w:pPr>
            <w:r/>
            <w:r>
              <w:rPr>
                <w:rFonts w:ascii="Times New Roman" w:hAnsi="Times New Roman" w:eastAsia="宋体"/>
                <w:b w:val="0"/>
                <w:sz w:val="18"/>
              </w:rPr>
              <w:t>17.06</w:t>
            </w:r>
          </w:p>
        </w:tc>
        <w:tc>
          <w:tcPr>
            <w:tcW w:type="dxa" w:w="848"/>
          </w:tcPr>
          <w:p>
            <w:pPr>
              <w:spacing w:after="0" w:before="0" w:line="240" w:lineRule="auto"/>
            </w:pPr>
            <w:r/>
            <w:r>
              <w:rPr>
                <w:rFonts w:ascii="Times New Roman" w:hAnsi="Times New Roman" w:eastAsia="宋体"/>
                <w:b w:val="0"/>
                <w:sz w:val="18"/>
              </w:rPr>
              <w:t>25.69</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73.8</w:t>
            </w:r>
          </w:p>
        </w:tc>
        <w:tc>
          <w:tcPr>
            <w:tcW w:type="dxa" w:w="1089"/>
          </w:tcPr>
          <w:p>
            <w:pPr>
              <w:spacing w:after="0" w:before="0" w:line="240" w:lineRule="auto"/>
            </w:pPr>
            <w:r/>
            <w:r>
              <w:rPr>
                <w:rFonts w:ascii="Times New Roman" w:hAnsi="Times New Roman" w:eastAsia="宋体"/>
                <w:b w:val="0"/>
                <w:sz w:val="18"/>
              </w:rPr>
              <w:t>49.2</w:t>
            </w:r>
          </w:p>
        </w:tc>
        <w:tc>
          <w:tcPr>
            <w:tcW w:type="dxa" w:w="1290"/>
          </w:tcPr>
          <w:p>
            <w:pPr>
              <w:spacing w:after="0" w:before="0" w:line="240" w:lineRule="auto"/>
            </w:pPr>
            <w:r/>
            <w:r>
              <w:rPr>
                <w:rFonts w:ascii="Times New Roman" w:hAnsi="Times New Roman" w:eastAsia="宋体"/>
                <w:b w:val="0"/>
                <w:sz w:val="18"/>
              </w:rPr>
              <w:t>32.20</w:t>
            </w:r>
          </w:p>
        </w:tc>
        <w:tc>
          <w:tcPr>
            <w:tcW w:type="dxa" w:w="998"/>
          </w:tcPr>
          <w:p>
            <w:pPr>
              <w:spacing w:after="0" w:before="0" w:line="240" w:lineRule="auto"/>
            </w:pPr>
            <w:r/>
            <w:r>
              <w:rPr>
                <w:rFonts w:ascii="Times New Roman" w:hAnsi="Times New Roman" w:eastAsia="宋体"/>
                <w:b w:val="0"/>
                <w:sz w:val="18"/>
              </w:rPr>
              <w:t>32.21</w:t>
            </w:r>
          </w:p>
        </w:tc>
        <w:tc>
          <w:tcPr>
            <w:tcW w:type="dxa" w:w="1330"/>
          </w:tcPr>
          <w:p>
            <w:pPr>
              <w:spacing w:after="0" w:before="0" w:line="240" w:lineRule="auto"/>
            </w:pPr>
            <w:r/>
            <w:r>
              <w:rPr>
                <w:rFonts w:ascii="Times New Roman" w:hAnsi="Times New Roman" w:eastAsia="宋体"/>
                <w:b w:val="0"/>
                <w:sz w:val="18"/>
              </w:rPr>
              <w:t>17.51</w:t>
            </w:r>
          </w:p>
        </w:tc>
        <w:tc>
          <w:tcPr>
            <w:tcW w:type="dxa" w:w="848"/>
          </w:tcPr>
          <w:p>
            <w:pPr>
              <w:spacing w:after="0" w:before="0" w:line="240" w:lineRule="auto"/>
            </w:pPr>
            <w:r/>
            <w:r>
              <w:rPr>
                <w:rFonts w:ascii="Times New Roman" w:hAnsi="Times New Roman" w:eastAsia="宋体"/>
                <w:b w:val="0"/>
                <w:sz w:val="18"/>
              </w:rPr>
              <w:t>18.37</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98.4</w:t>
            </w:r>
          </w:p>
        </w:tc>
        <w:tc>
          <w:tcPr>
            <w:tcW w:type="dxa" w:w="1089"/>
          </w:tcPr>
          <w:p>
            <w:pPr>
              <w:spacing w:after="0" w:before="0" w:line="240" w:lineRule="auto"/>
            </w:pPr>
            <w:r/>
            <w:r>
              <w:rPr>
                <w:rFonts w:ascii="Times New Roman" w:hAnsi="Times New Roman" w:eastAsia="宋体"/>
                <w:b w:val="0"/>
                <w:sz w:val="18"/>
              </w:rPr>
              <w:t>24.6</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19.46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110</w:t>
            </w:r>
          </w:p>
        </w:tc>
        <w:tc>
          <w:tcPr>
            <w:tcW w:type="dxa" w:w="1089"/>
          </w:tcPr>
          <w:p>
            <w:pPr>
              <w:spacing w:after="0" w:before="0" w:line="240" w:lineRule="auto"/>
            </w:pPr>
            <w:r/>
            <w:r>
              <w:rPr>
                <w:rFonts w:ascii="Times New Roman" w:hAnsi="Times New Roman" w:eastAsia="宋体"/>
                <w:b w:val="0"/>
                <w:sz w:val="18"/>
              </w:rPr>
              <w:t>13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16.80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本表没有请求平面一列，这是台账字段决定的，不是取舍。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H_key。若不做归属判定，该列会被读作"请求平面自 44.02% 坍塌至 0"；该读法不成立——被记为请求平面的量其实是字节平面量的第二次出现。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33.1%（同二进制同提示连做三次，原始值见本仓库；按 (最大值 − 最小值)/均值 计，三次为 14.67/14.78/20.14 s）。承载方向的是十二点秩相关而非端点差：稠密层份额（台账列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0%、源层读数恒为 25.83 GB（字节平面完全冻结），而墙钟自 31.23 变到 28.06 s（跨度 10.2%）。</w:t>
      </w:r>
      <w:r>
        <w:rPr>
          <w:rFonts w:ascii="Times New Roman" w:hAnsi="Times New Roman" w:eastAsia="宋体"/>
          <w:b/>
          <w:sz w:val="18"/>
        </w:rPr>
        <w:t>在字节平面分辨率为零的区间上，时间平面仍有约一成的自由变动</w:t>
      </w:r>
      <w:r>
        <w:rPr>
          <w:rFonts w:ascii="Times New Roman" w:hAnsi="Times New Roman" w:eastAsia="宋体"/>
          <w:b w:val="0"/>
          <w:sz w:val="18"/>
        </w:rPr>
        <w:t>，而该幅度远低于同配置噪声底（按极差/最小值计为 37.3%），据此作出的任何配置结论都是噪声。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必须与该次实测同主机同会话采集，事后拟合的预算线不具备跨台账效力。该组扫描的字节平面与时间平面并列见图 3。</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6，台账见图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80.8%（(最大值 − 最小值)/最小值 =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为按访问热度保留的策略（台账中该臂的替换配置）。四臂的专家字节与每词元墙钟并列见图 5。</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平面分离汇总</w:t>
      </w:r>
    </w:p>
    <w:p>
      <w:pPr>
        <w:spacing w:before="80" w:after="20"/>
        <w:jc w:val="center"/>
      </w:pPr>
      <w:r>
        <w:rPr>
          <w:rFonts w:ascii="Times New Roman" w:hAnsi="Times New Roman" w:eastAsia="宋体"/>
          <w:b w:val="0"/>
          <w:sz w:val="15"/>
        </w:rPr>
        <w:t>表 6　平面分离实例与台账自检</w:t>
      </w:r>
    </w:p>
    <w:p>
      <w:pPr>
        <w:spacing w:before="80" w:after="20"/>
        <w:jc w:val="center"/>
      </w:pPr>
      <w:r>
        <w:rPr>
          <w:rFonts w:ascii="Times New Roman" w:hAnsi="Times New Roman" w:eastAsia="Times New Roman"/>
          <w:b w:val="0"/>
          <w:sz w:val="15"/>
        </w:rPr>
        <w:t>Table 6　Plane-separation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46"/>
        <w:gridCol w:w="1138"/>
        <w:gridCol w:w="1231"/>
        <w:gridCol w:w="897"/>
        <w:gridCol w:w="963"/>
      </w:tblGrid>
      <w:tr>
        <w:tc>
          <w:tcPr>
            <w:tcW w:type="dxa" w:w="646"/>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138"/>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31"/>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97"/>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63"/>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46"/>
          </w:tcPr>
          <w:p>
            <w:pPr>
              <w:spacing w:after="0" w:before="0" w:line="240" w:lineRule="auto"/>
            </w:pPr>
            <w:r/>
            <w:r>
              <w:rPr>
                <w:rFonts w:ascii="Times New Roman" w:hAnsi="Times New Roman" w:eastAsia="宋体"/>
                <w:b w:val="0"/>
                <w:sz w:val="18"/>
              </w:rPr>
              <w:t>D1</w:t>
            </w:r>
          </w:p>
        </w:tc>
        <w:tc>
          <w:tcPr>
            <w:tcW w:type="dxa" w:w="1138"/>
          </w:tcPr>
          <w:p>
            <w:pPr>
              <w:spacing w:after="0" w:before="0" w:line="240" w:lineRule="auto"/>
            </w:pPr>
            <w:r/>
            <w:r>
              <w:rPr>
                <w:rFonts w:ascii="Times New Roman" w:hAnsi="Times New Roman" w:eastAsia="宋体"/>
                <w:b w:val="0"/>
                <w:sz w:val="18"/>
              </w:rPr>
              <w:t>请求（H_key ≡ 100%，8—192 GB 十一档）</w:t>
            </w:r>
          </w:p>
        </w:tc>
        <w:tc>
          <w:tcPr>
            <w:tcW w:type="dxa" w:w="1231"/>
          </w:tcPr>
          <w:p>
            <w:pPr>
              <w:spacing w:after="0" w:before="0" w:line="240" w:lineRule="auto"/>
            </w:pPr>
            <w:r/>
            <w:r>
              <w:rPr>
                <w:rFonts w:ascii="Times New Roman" w:hAnsi="Times New Roman" w:eastAsia="宋体"/>
                <w:b w:val="0"/>
                <w:sz w:val="18"/>
              </w:rPr>
              <w:t>字节（X_byte 0 → 43.75%）</w:t>
            </w:r>
          </w:p>
        </w:tc>
        <w:tc>
          <w:tcPr>
            <w:tcW w:type="dxa" w:w="897"/>
          </w:tcPr>
          <w:p>
            <w:pPr>
              <w:spacing w:after="0" w:before="0" w:line="240" w:lineRule="auto"/>
            </w:pPr>
            <w:r/>
            <w:r>
              <w:rPr>
                <w:rFonts w:ascii="Times New Roman" w:hAnsi="Times New Roman" w:eastAsia="宋体"/>
                <w:b w:val="0"/>
                <w:sz w:val="18"/>
              </w:rPr>
              <w:t>通胀最高 100 百分点</w:t>
            </w:r>
          </w:p>
        </w:tc>
        <w:tc>
          <w:tcPr>
            <w:tcW w:type="dxa" w:w="963"/>
          </w:tcPr>
          <w:p>
            <w:pPr>
              <w:spacing w:after="0" w:before="0" w:line="240" w:lineRule="auto"/>
            </w:pPr>
            <w:r/>
            <w:r>
              <w:rPr>
                <w:rFonts w:ascii="Times New Roman" w:hAnsi="Times New Roman" w:eastAsia="宋体"/>
                <w:b w:val="0"/>
                <w:sz w:val="18"/>
              </w:rPr>
              <w:t>表 3（主机 A）</w:t>
            </w:r>
          </w:p>
        </w:tc>
      </w:tr>
      <w:tr>
        <w:tc>
          <w:tcPr>
            <w:tcW w:type="dxa" w:w="646"/>
          </w:tcPr>
          <w:p>
            <w:pPr>
              <w:spacing w:after="0" w:before="0" w:line="240" w:lineRule="auto"/>
            </w:pPr>
            <w:r/>
            <w:r>
              <w:rPr>
                <w:rFonts w:ascii="Times New Roman" w:hAnsi="Times New Roman" w:eastAsia="宋体"/>
                <w:b w:val="0"/>
                <w:sz w:val="18"/>
              </w:rPr>
              <w:t>D2</w:t>
            </w:r>
          </w:p>
        </w:tc>
        <w:tc>
          <w:tcPr>
            <w:tcW w:type="dxa" w:w="1138"/>
          </w:tcPr>
          <w:p>
            <w:pPr>
              <w:spacing w:after="0" w:before="0" w:line="240" w:lineRule="auto"/>
            </w:pPr>
            <w:r/>
            <w:r>
              <w:rPr>
                <w:rFonts w:ascii="Times New Roman" w:hAnsi="Times New Roman" w:eastAsia="宋体"/>
                <w:b w:val="0"/>
                <w:sz w:val="18"/>
              </w:rPr>
              <w:t>—（两来源对账）</w:t>
            </w:r>
          </w:p>
        </w:tc>
        <w:tc>
          <w:tcPr>
            <w:tcW w:type="dxa" w:w="1231"/>
          </w:tcPr>
          <w:p>
            <w:pPr>
              <w:spacing w:after="0" w:before="0" w:line="240" w:lineRule="auto"/>
            </w:pPr>
            <w:r/>
            <w:r>
              <w:rPr>
                <w:rFonts w:ascii="Times New Roman" w:hAnsi="Times New Roman" w:eastAsia="宋体"/>
                <w:b w:val="0"/>
                <w:sz w:val="18"/>
              </w:rPr>
              <w:t>恒等式 X_byte ≡ (B_full − B_act)/B_full 成立</w:t>
            </w:r>
          </w:p>
        </w:tc>
        <w:tc>
          <w:tcPr>
            <w:tcW w:type="dxa" w:w="897"/>
          </w:tcPr>
          <w:p>
            <w:pPr>
              <w:spacing w:after="0" w:before="0" w:line="240" w:lineRule="auto"/>
            </w:pPr>
            <w:r/>
            <w:r>
              <w:rPr>
                <w:rFonts w:ascii="Times New Roman" w:hAnsi="Times New Roman" w:eastAsia="宋体"/>
                <w:b w:val="0"/>
                <w:sz w:val="18"/>
              </w:rPr>
              <w:t>最大偏差 0.021 百分点</w:t>
            </w:r>
          </w:p>
        </w:tc>
        <w:tc>
          <w:tcPr>
            <w:tcW w:type="dxa" w:w="963"/>
          </w:tcPr>
          <w:p>
            <w:pPr>
              <w:spacing w:after="0" w:before="0" w:line="240" w:lineRule="auto"/>
            </w:pPr>
            <w:r/>
            <w:r>
              <w:rPr>
                <w:rFonts w:ascii="Times New Roman" w:hAnsi="Times New Roman" w:eastAsia="宋体"/>
                <w:b w:val="0"/>
                <w:sz w:val="18"/>
              </w:rPr>
              <w:t>表 3 + 表 5，24 点（主机 A）</w:t>
            </w:r>
          </w:p>
        </w:tc>
      </w:tr>
      <w:tr>
        <w:tc>
          <w:tcPr>
            <w:tcW w:type="dxa" w:w="646"/>
          </w:tcPr>
          <w:p>
            <w:pPr>
              <w:spacing w:after="0" w:before="0" w:line="240" w:lineRule="auto"/>
            </w:pPr>
            <w:r/>
            <w:r>
              <w:rPr>
                <w:rFonts w:ascii="Times New Roman" w:hAnsi="Times New Roman" w:eastAsia="宋体"/>
                <w:b w:val="0"/>
                <w:sz w:val="18"/>
              </w:rPr>
              <w:t>D3</w:t>
            </w:r>
          </w:p>
        </w:tc>
        <w:tc>
          <w:tcPr>
            <w:tcW w:type="dxa" w:w="1138"/>
          </w:tcPr>
          <w:p>
            <w:pPr>
              <w:spacing w:after="0" w:before="0" w:line="240" w:lineRule="auto"/>
            </w:pPr>
            <w:r/>
            <w:r>
              <w:rPr>
                <w:rFonts w:ascii="Times New Roman" w:hAnsi="Times New Roman" w:eastAsia="宋体"/>
                <w:b w:val="0"/>
                <w:sz w:val="18"/>
              </w:rPr>
              <w:t>请求（两臂均为 100%）</w:t>
            </w:r>
          </w:p>
        </w:tc>
        <w:tc>
          <w:tcPr>
            <w:tcW w:type="dxa" w:w="1231"/>
          </w:tcPr>
          <w:p>
            <w:pPr>
              <w:spacing w:after="0" w:before="0" w:line="240" w:lineRule="auto"/>
            </w:pPr>
            <w:r/>
            <w:r>
              <w:rPr>
                <w:rFonts w:ascii="Times New Roman" w:hAnsi="Times New Roman" w:eastAsia="宋体"/>
                <w:b w:val="0"/>
                <w:sz w:val="18"/>
              </w:rPr>
              <w:t>字节 −23.8%；时间 +41.9%</w:t>
            </w:r>
          </w:p>
        </w:tc>
        <w:tc>
          <w:tcPr>
            <w:tcW w:type="dxa" w:w="897"/>
          </w:tcPr>
          <w:p>
            <w:pPr>
              <w:spacing w:after="0" w:before="0" w:line="240" w:lineRule="auto"/>
            </w:pPr>
            <w:r/>
            <w:r>
              <w:rPr>
                <w:rFonts w:ascii="Times New Roman" w:hAnsi="Times New Roman" w:eastAsia="宋体"/>
                <w:b w:val="0"/>
                <w:sz w:val="18"/>
              </w:rPr>
              <w:t>方向相反</w:t>
            </w:r>
          </w:p>
        </w:tc>
        <w:tc>
          <w:tcPr>
            <w:tcW w:type="dxa" w:w="963"/>
          </w:tcPr>
          <w:p>
            <w:pPr>
              <w:spacing w:after="0" w:before="0" w:line="240" w:lineRule="auto"/>
            </w:pPr>
            <w:r/>
            <w:r>
              <w:rPr>
                <w:rFonts w:ascii="Times New Roman" w:hAnsi="Times New Roman" w:eastAsia="宋体"/>
                <w:b w:val="0"/>
                <w:sz w:val="18"/>
              </w:rPr>
              <w:t>v34 交错配对，主机 B</w:t>
            </w:r>
          </w:p>
        </w:tc>
      </w:tr>
      <w:tr>
        <w:tc>
          <w:tcPr>
            <w:tcW w:type="dxa" w:w="646"/>
          </w:tcPr>
          <w:p>
            <w:pPr>
              <w:spacing w:after="0" w:before="0" w:line="240" w:lineRule="auto"/>
            </w:pPr>
            <w:r/>
            <w:r>
              <w:rPr>
                <w:rFonts w:ascii="Times New Roman" w:hAnsi="Times New Roman" w:eastAsia="宋体"/>
                <w:b w:val="0"/>
                <w:sz w:val="18"/>
              </w:rPr>
              <w:t>D4</w:t>
            </w:r>
          </w:p>
        </w:tc>
        <w:tc>
          <w:tcPr>
            <w:tcW w:type="dxa" w:w="1138"/>
          </w:tcPr>
          <w:p>
            <w:pPr>
              <w:spacing w:after="0" w:before="0" w:line="240" w:lineRule="auto"/>
            </w:pPr>
            <w:r/>
            <w:r>
              <w:rPr>
                <w:rFonts w:ascii="Times New Roman" w:hAnsi="Times New Roman" w:eastAsia="宋体"/>
                <w:b w:val="0"/>
                <w:sz w:val="18"/>
              </w:rPr>
              <w:t>字节（216.66 GB/会话，SD = 0）</w:t>
            </w:r>
          </w:p>
        </w:tc>
        <w:tc>
          <w:tcPr>
            <w:tcW w:type="dxa" w:w="1231"/>
          </w:tcPr>
          <w:p>
            <w:pPr>
              <w:spacing w:after="0" w:before="0" w:line="240" w:lineRule="auto"/>
            </w:pPr>
            <w:r/>
            <w:r>
              <w:rPr>
                <w:rFonts w:ascii="Times New Roman" w:hAnsi="Times New Roman" w:eastAsia="宋体"/>
                <w:b w:val="0"/>
                <w:sz w:val="18"/>
              </w:rPr>
              <w:t>时间（跨度 80.8%）</w:t>
            </w:r>
          </w:p>
        </w:tc>
        <w:tc>
          <w:tcPr>
            <w:tcW w:type="dxa" w:w="897"/>
          </w:tcPr>
          <w:p>
            <w:pPr>
              <w:spacing w:after="0" w:before="0" w:line="240" w:lineRule="auto"/>
            </w:pPr>
            <w:r/>
            <w:r>
              <w:rPr>
                <w:rFonts w:ascii="Times New Roman" w:hAnsi="Times New Roman" w:eastAsia="宋体"/>
                <w:b w:val="0"/>
                <w:sz w:val="18"/>
              </w:rPr>
              <w:t>CV 13.43%（含配置效应）</w:t>
            </w:r>
          </w:p>
        </w:tc>
        <w:tc>
          <w:tcPr>
            <w:tcW w:type="dxa" w:w="963"/>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sz w:val="18"/>
        </w:rPr>
        <w:t>D3 实例：同一台主机上字节与时间反向移动。</w:t>
      </w:r>
      <w:r>
        <w:rPr>
          <w:rFonts w:ascii="Times New Roman" w:hAnsi="Times New Roman" w:eastAsia="宋体"/>
          <w:b w:val="0"/>
          <w:sz w:val="18"/>
        </w:rPr>
        <w:t xml:space="preserve"> 表 6 的 D3 要求两个平面在同一资源变更下反向。主机 A 的配额扫描给出该方向，但只有端点单样本，未作确认。主机 B 的 </w:t>
      </w:r>
      <w:r>
        <w:rPr>
          <w:rFonts w:ascii="Consolas" w:hAnsi="Consolas"/>
          <w:color w:val="000080"/>
          <w:sz w:val="18"/>
        </w:rPr>
        <w:t>v34</w:t>
      </w:r>
      <w:r>
        <w:rPr>
          <w:rFonts w:ascii="Times New Roman" w:hAnsi="Times New Roman" w:eastAsia="宋体"/>
          <w:b w:val="0"/>
          <w:sz w:val="18"/>
        </w:rPr>
        <w:t xml:space="preserve"> 以交错配对重做了同一比较：两臂各三轮、交替进行、每轮间静置，即存储测量规程所要求的配对设计。两臂只改分配，主干与专家缓存互换：</w:t>
      </w:r>
    </w:p>
    <w:p>
      <w:pPr>
        <w:spacing w:before="80" w:after="20"/>
        <w:jc w:val="center"/>
      </w:pPr>
      <w:r>
        <w:rPr>
          <w:rFonts w:ascii="Times New Roman" w:hAnsi="Times New Roman" w:eastAsia="宋体"/>
          <w:b w:val="0"/>
          <w:sz w:val="15"/>
        </w:rPr>
        <w:t>表 7　同一主机上字节与时间反向移动（v34 交错配对，三轮）</w:t>
      </w:r>
    </w:p>
    <w:p>
      <w:pPr>
        <w:spacing w:before="80" w:after="20"/>
        <w:jc w:val="center"/>
      </w:pPr>
      <w:r>
        <w:rPr>
          <w:rFonts w:ascii="Times New Roman" w:hAnsi="Times New Roman" w:eastAsia="Times New Roman"/>
          <w:b w:val="0"/>
          <w:sz w:val="15"/>
        </w:rPr>
        <w:t>Table 7</w:t>
        <w:tab/>
        <w:t>Bytes and wall-clock moving in opposite directions on one host (v34 interleaved, three rounds)</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27"/>
        <w:gridCol w:w="939"/>
        <w:gridCol w:w="1104"/>
        <w:gridCol w:w="1133"/>
        <w:gridCol w:w="927"/>
        <w:gridCol w:w="1228"/>
        <w:gridCol w:w="1396"/>
      </w:tblGrid>
      <w:tr>
        <w:tc>
          <w:tcPr>
            <w:tcW w:type="dxa" w:w="927"/>
            <w:tcBorders>
              <w:bottom w:val="single" w:sz="6" w:space="0" w:color="000000"/>
            </w:tcBorders>
          </w:tcPr>
          <w:p>
            <w:pPr>
              <w:spacing w:after="0" w:before="0" w:line="240" w:lineRule="auto"/>
            </w:pPr>
            <w:r/>
            <w:r>
              <w:rPr>
                <w:rFonts w:ascii="Times New Roman" w:hAnsi="Times New Roman" w:eastAsia="黑体"/>
                <w:b/>
                <w:sz w:val="18"/>
              </w:rPr>
              <w:t>臂</w:t>
            </w:r>
          </w:p>
        </w:tc>
        <w:tc>
          <w:tcPr>
            <w:tcW w:type="dxa" w:w="939"/>
            <w:tcBorders>
              <w:bottom w:val="single" w:sz="6" w:space="0" w:color="000000"/>
            </w:tcBorders>
          </w:tcPr>
          <w:p>
            <w:pPr>
              <w:spacing w:after="0" w:before="0" w:line="240" w:lineRule="auto"/>
            </w:pPr>
            <w:r/>
            <w:r>
              <w:rPr>
                <w:rFonts w:ascii="Times New Roman" w:hAnsi="Times New Roman" w:eastAsia="黑体"/>
                <w:b/>
                <w:sz w:val="18"/>
              </w:rPr>
              <w:t>主干/GB</w:t>
            </w:r>
          </w:p>
        </w:tc>
        <w:tc>
          <w:tcPr>
            <w:tcW w:type="dxa" w:w="1104"/>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133"/>
            <w:tcBorders>
              <w:bottom w:val="single" w:sz="6" w:space="0" w:color="000000"/>
            </w:tcBorders>
          </w:tcPr>
          <w:p>
            <w:pPr>
              <w:spacing w:after="0" w:before="0" w:line="240" w:lineRule="auto"/>
            </w:pPr>
            <w:r/>
            <w:r>
              <w:rPr>
                <w:rFonts w:ascii="Times New Roman" w:hAnsi="Times New Roman" w:eastAsia="黑体"/>
                <w:b/>
                <w:sz w:val="18"/>
              </w:rPr>
              <w:t>命中 I/O/GB</w:t>
            </w:r>
          </w:p>
        </w:tc>
        <w:tc>
          <w:tcPr>
            <w:tcW w:type="dxa" w:w="927"/>
            <w:tcBorders>
              <w:bottom w:val="single" w:sz="6" w:space="0" w:color="000000"/>
            </w:tcBorders>
          </w:tcPr>
          <w:p>
            <w:pPr>
              <w:spacing w:after="0" w:before="0" w:line="240" w:lineRule="auto"/>
            </w:pPr>
            <w:r/>
            <w:r>
              <w:rPr>
                <w:rFonts w:ascii="Times New Roman" w:hAnsi="Times New Roman" w:eastAsia="黑体"/>
                <w:b/>
                <w:sz w:val="18"/>
              </w:rPr>
              <w:t>s/词元</w:t>
            </w:r>
          </w:p>
        </w:tc>
        <w:tc>
          <w:tcPr>
            <w:tcW w:type="dxa" w:w="1228"/>
            <w:tcBorders>
              <w:bottom w:val="single" w:sz="6" w:space="0" w:color="000000"/>
            </w:tcBorders>
          </w:tcPr>
          <w:p>
            <w:pPr>
              <w:spacing w:after="0" w:before="0" w:line="240" w:lineRule="auto"/>
            </w:pPr>
            <w:r/>
            <w:r>
              <w:rPr>
                <w:rFonts w:ascii="Times New Roman" w:hAnsi="Times New Roman" w:eastAsia="黑体"/>
                <w:b/>
                <w:sz w:val="18"/>
              </w:rPr>
              <w:t>自报请求命中率</w:t>
            </w:r>
          </w:p>
        </w:tc>
        <w:tc>
          <w:tcPr>
            <w:tcW w:type="dxa" w:w="1396"/>
            <w:tcBorders>
              <w:bottom w:val="single" w:sz="6" w:space="0" w:color="000000"/>
            </w:tcBorders>
          </w:tcPr>
          <w:p>
            <w:pPr>
              <w:spacing w:after="0" w:before="0" w:line="240" w:lineRule="auto"/>
            </w:pPr>
            <w:r/>
            <w:r>
              <w:rPr>
                <w:rFonts w:ascii="Times New Roman" w:hAnsi="Times New Roman" w:eastAsia="黑体"/>
                <w:b/>
                <w:sz w:val="18"/>
              </w:rPr>
              <w:t>TRUE resident</w:t>
            </w:r>
          </w:p>
        </w:tc>
      </w:tr>
      <w:tr>
        <w:tc>
          <w:tcPr>
            <w:tcW w:type="dxa" w:w="927"/>
          </w:tcPr>
          <w:p>
            <w:pPr>
              <w:spacing w:after="0" w:before="0" w:line="240" w:lineRule="auto"/>
            </w:pPr>
            <w:r/>
            <w:r>
              <w:rPr>
                <w:rFonts w:ascii="Times New Roman" w:hAnsi="Times New Roman" w:eastAsia="宋体"/>
                <w:b w:val="0"/>
                <w:sz w:val="18"/>
              </w:rPr>
              <w:t>t32c15</w:t>
            </w:r>
          </w:p>
        </w:tc>
        <w:tc>
          <w:tcPr>
            <w:tcW w:type="dxa" w:w="939"/>
          </w:tcPr>
          <w:p>
            <w:pPr>
              <w:spacing w:after="0" w:before="0" w:line="240" w:lineRule="auto"/>
            </w:pPr>
            <w:r/>
            <w:r>
              <w:rPr>
                <w:rFonts w:ascii="Times New Roman" w:hAnsi="Times New Roman" w:eastAsia="宋体"/>
                <w:b w:val="0"/>
                <w:sz w:val="18"/>
              </w:rPr>
              <w:t>32</w:t>
            </w:r>
          </w:p>
        </w:tc>
        <w:tc>
          <w:tcPr>
            <w:tcW w:type="dxa" w:w="1104"/>
          </w:tcPr>
          <w:p>
            <w:pPr>
              <w:spacing w:after="0" w:before="0" w:line="240" w:lineRule="auto"/>
            </w:pPr>
            <w:r/>
            <w:r>
              <w:rPr>
                <w:rFonts w:ascii="Times New Roman" w:hAnsi="Times New Roman" w:eastAsia="宋体"/>
                <w:b w:val="0"/>
                <w:sz w:val="18"/>
              </w:rPr>
              <w:t>15.00</w:t>
            </w:r>
          </w:p>
        </w:tc>
        <w:tc>
          <w:tcPr>
            <w:tcW w:type="dxa" w:w="1133"/>
          </w:tcPr>
          <w:p>
            <w:pPr>
              <w:spacing w:after="0" w:before="0" w:line="240" w:lineRule="auto"/>
            </w:pPr>
            <w:r/>
            <w:r>
              <w:rPr>
                <w:rFonts w:ascii="Times New Roman" w:hAnsi="Times New Roman" w:eastAsia="宋体"/>
                <w:b w:val="0"/>
                <w:sz w:val="18"/>
              </w:rPr>
              <w:t>179.74</w:t>
            </w:r>
          </w:p>
        </w:tc>
        <w:tc>
          <w:tcPr>
            <w:tcW w:type="dxa" w:w="927"/>
          </w:tcPr>
          <w:p>
            <w:pPr>
              <w:spacing w:after="0" w:before="0" w:line="240" w:lineRule="auto"/>
            </w:pPr>
            <w:r/>
            <w:r>
              <w:rPr>
                <w:rFonts w:ascii="Times New Roman" w:hAnsi="Times New Roman" w:eastAsia="宋体"/>
                <w:b w:val="0"/>
                <w:sz w:val="18"/>
              </w:rPr>
              <w:t>72.03</w:t>
            </w:r>
          </w:p>
        </w:tc>
        <w:tc>
          <w:tcPr>
            <w:tcW w:type="dxa" w:w="1228"/>
          </w:tcPr>
          <w:p>
            <w:pPr>
              <w:spacing w:after="0" w:before="0" w:line="240" w:lineRule="auto"/>
            </w:pPr>
            <w:r/>
            <w:r>
              <w:rPr>
                <w:rFonts w:ascii="Times New Roman" w:hAnsi="Times New Roman" w:eastAsia="宋体"/>
                <w:b w:val="0"/>
                <w:sz w:val="18"/>
              </w:rPr>
              <w:t>100%</w:t>
            </w:r>
          </w:p>
        </w:tc>
        <w:tc>
          <w:tcPr>
            <w:tcW w:type="dxa" w:w="1396"/>
          </w:tcPr>
          <w:p>
            <w:pPr>
              <w:spacing w:after="0" w:before="0" w:line="240" w:lineRule="auto"/>
            </w:pPr>
            <w:r/>
            <w:r>
              <w:rPr>
                <w:rFonts w:ascii="Times New Roman" w:hAnsi="Times New Roman" w:eastAsia="宋体"/>
                <w:b w:val="0"/>
                <w:sz w:val="18"/>
              </w:rPr>
              <w:t>18.61%</w:t>
            </w:r>
          </w:p>
        </w:tc>
      </w:tr>
      <w:tr>
        <w:tc>
          <w:tcPr>
            <w:tcW w:type="dxa" w:w="927"/>
          </w:tcPr>
          <w:p>
            <w:pPr>
              <w:spacing w:after="0" w:before="0" w:line="240" w:lineRule="auto"/>
            </w:pPr>
            <w:r/>
            <w:r>
              <w:rPr>
                <w:rFonts w:ascii="Times New Roman" w:hAnsi="Times New Roman" w:eastAsia="宋体"/>
                <w:b w:val="0"/>
                <w:sz w:val="18"/>
              </w:rPr>
              <w:t>t6c40</w:t>
            </w:r>
          </w:p>
        </w:tc>
        <w:tc>
          <w:tcPr>
            <w:tcW w:type="dxa" w:w="939"/>
          </w:tcPr>
          <w:p>
            <w:pPr>
              <w:spacing w:after="0" w:before="0" w:line="240" w:lineRule="auto"/>
            </w:pPr>
            <w:r/>
            <w:r>
              <w:rPr>
                <w:rFonts w:ascii="Times New Roman" w:hAnsi="Times New Roman" w:eastAsia="宋体"/>
                <w:b w:val="0"/>
                <w:sz w:val="18"/>
              </w:rPr>
              <w:t>6</w:t>
            </w:r>
          </w:p>
        </w:tc>
        <w:tc>
          <w:tcPr>
            <w:tcW w:type="dxa" w:w="1104"/>
          </w:tcPr>
          <w:p>
            <w:pPr>
              <w:spacing w:after="0" w:before="0" w:line="240" w:lineRule="auto"/>
            </w:pPr>
            <w:r/>
            <w:r>
              <w:rPr>
                <w:rFonts w:ascii="Times New Roman" w:hAnsi="Times New Roman" w:eastAsia="宋体"/>
                <w:b w:val="0"/>
                <w:sz w:val="18"/>
              </w:rPr>
              <w:t>39.99</w:t>
            </w:r>
          </w:p>
        </w:tc>
        <w:tc>
          <w:tcPr>
            <w:tcW w:type="dxa" w:w="1133"/>
          </w:tcPr>
          <w:p>
            <w:pPr>
              <w:spacing w:after="0" w:before="0" w:line="240" w:lineRule="auto"/>
            </w:pPr>
            <w:r/>
            <w:r>
              <w:rPr>
                <w:rFonts w:ascii="Times New Roman" w:hAnsi="Times New Roman" w:eastAsia="宋体"/>
                <w:b w:val="0"/>
                <w:sz w:val="18"/>
              </w:rPr>
              <w:t>136.97</w:t>
            </w:r>
          </w:p>
        </w:tc>
        <w:tc>
          <w:tcPr>
            <w:tcW w:type="dxa" w:w="927"/>
          </w:tcPr>
          <w:p>
            <w:pPr>
              <w:spacing w:after="0" w:before="0" w:line="240" w:lineRule="auto"/>
            </w:pPr>
            <w:r/>
            <w:r>
              <w:rPr>
                <w:rFonts w:ascii="Times New Roman" w:hAnsi="Times New Roman" w:eastAsia="宋体"/>
                <w:b w:val="0"/>
                <w:sz w:val="18"/>
              </w:rPr>
              <w:t>103.45</w:t>
            </w:r>
          </w:p>
        </w:tc>
        <w:tc>
          <w:tcPr>
            <w:tcW w:type="dxa" w:w="1228"/>
          </w:tcPr>
          <w:p>
            <w:pPr>
              <w:spacing w:after="0" w:before="0" w:line="240" w:lineRule="auto"/>
            </w:pPr>
            <w:r/>
            <w:r>
              <w:rPr>
                <w:rFonts w:ascii="Times New Roman" w:hAnsi="Times New Roman" w:eastAsia="宋体"/>
                <w:b w:val="0"/>
                <w:sz w:val="18"/>
              </w:rPr>
              <w:t>100%</w:t>
            </w:r>
          </w:p>
        </w:tc>
        <w:tc>
          <w:tcPr>
            <w:tcW w:type="dxa" w:w="1396"/>
          </w:tcPr>
          <w:p>
            <w:pPr>
              <w:spacing w:after="0" w:before="0" w:line="240" w:lineRule="auto"/>
            </w:pPr>
            <w:r/>
            <w:r>
              <w:rPr>
                <w:rFonts w:ascii="Times New Roman" w:hAnsi="Times New Roman" w:eastAsia="宋体"/>
                <w:b w:val="0"/>
                <w:sz w:val="18"/>
              </w:rPr>
              <w:t>43.00%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把专家缓存从 15 GB 提到 40 GB，命中 I/O 减少 23.8%，而每词元耗时增加 41.9%——两个平面方向相反。</w:t>
      </w:r>
      <w:r>
        <w:rPr>
          <w:rFonts w:ascii="Times New Roman" w:hAnsi="Times New Roman" w:eastAsia="宋体"/>
          <w:b w:val="0"/>
          <w:sz w:val="18"/>
        </w:rPr>
        <w:t xml:space="preserve"> 逐轮配对差为字节 −23.8%/−23.8%/−23.8%、时间 +41.9%/+52.1%/+31.4%：</w:t>
      </w:r>
      <w:r>
        <w:rPr>
          <w:rFonts w:ascii="Times New Roman" w:hAnsi="Times New Roman" w:eastAsia="宋体"/>
          <w:b/>
          <w:sz w:val="18"/>
        </w:rPr>
        <w:t>三轮符号一致，无一轮翻转</w:t>
      </w:r>
      <w:r>
        <w:rPr>
          <w:rFonts w:ascii="Times New Roman" w:hAnsi="Times New Roman" w:eastAsia="宋体"/>
          <w:b w:val="0"/>
          <w:sz w:val="18"/>
        </w:rPr>
        <w:t>。字节侧三轮逐位相同（179.74/179.72/179.74 对 136.97/136.97/136.97），配对差离散比为 0；时间侧离散比 0.49，低于规程的门槛 1。按规程的判定条件，两项配对差均满足"符号不翻转且离散明显小于效应"，故此处记为</w:t>
      </w:r>
      <w:r>
        <w:rPr>
          <w:rFonts w:ascii="Times New Roman" w:hAnsi="Times New Roman" w:eastAsia="宋体"/>
          <w:b/>
          <w:sz w:val="18"/>
        </w:rPr>
        <w:t>方向成立</w:t>
      </w:r>
      <w:r>
        <w:rPr>
          <w:rFonts w:ascii="Times New Roman" w:hAnsi="Times New Roman" w:eastAsia="宋体"/>
          <w:b w:val="0"/>
          <w:sz w:val="18"/>
        </w:rPr>
        <w:t xml:space="preserve">，而非"测不出"。同一字节值在 </w:t>
      </w:r>
      <w:r>
        <w:rPr>
          <w:rFonts w:ascii="Consolas" w:hAnsi="Consolas"/>
          <w:color w:val="000080"/>
          <w:sz w:val="18"/>
        </w:rPr>
        <w:t>v18</w:t>
      </w:r>
      <w:r>
        <w:rPr>
          <w:rFonts w:ascii="Times New Roman" w:hAnsi="Times New Roman" w:eastAsia="宋体"/>
          <w:b w:val="0"/>
          <w:sz w:val="18"/>
        </w:rPr>
        <w:t>、</w:t>
      </w:r>
      <w:r>
        <w:rPr>
          <w:rFonts w:ascii="Consolas" w:hAnsi="Consolas"/>
          <w:color w:val="000080"/>
          <w:sz w:val="18"/>
        </w:rPr>
        <w:t>v33</w:t>
      </w:r>
      <w:r>
        <w:rPr>
          <w:rFonts w:ascii="Times New Roman" w:hAnsi="Times New Roman" w:eastAsia="宋体"/>
          <w:b w:val="0"/>
          <w:sz w:val="18"/>
        </w:rPr>
        <w:t>、</w:t>
      </w:r>
      <w:r>
        <w:rPr>
          <w:rFonts w:ascii="Consolas" w:hAnsi="Consolas"/>
          <w:color w:val="000080"/>
          <w:sz w:val="18"/>
        </w:rPr>
        <w:t>v35</w:t>
      </w:r>
      <w:r>
        <w:rPr>
          <w:rFonts w:ascii="Times New Roman" w:hAnsi="Times New Roman" w:eastAsia="宋体"/>
          <w:b w:val="0"/>
          <w:sz w:val="18"/>
        </w:rPr>
        <w:t xml:space="preserve"> 等另几次实验中重复出现，说明该对比不是单轮偶然。</w:t>
      </w:r>
    </w:p>
    <w:p>
      <w:pPr>
        <w:spacing w:after="40" w:line="276" w:lineRule="auto"/>
        <w:ind w:firstLine="360"/>
      </w:pPr>
      <w:r>
        <w:rPr>
          <w:rFonts w:ascii="Times New Roman" w:hAnsi="Times New Roman" w:eastAsia="宋体"/>
          <w:b w:val="0"/>
          <w:sz w:val="18"/>
        </w:rPr>
        <w:t>这与 D1 方向相反却不矛盾：D1 是缓存</w:t>
      </w:r>
      <w:r>
        <w:rPr>
          <w:rFonts w:ascii="Times New Roman" w:hAnsi="Times New Roman" w:eastAsia="宋体"/>
          <w:b/>
          <w:sz w:val="18"/>
        </w:rPr>
        <w:t>不足</w:t>
      </w:r>
      <w:r>
        <w:rPr>
          <w:rFonts w:ascii="Times New Roman" w:hAnsi="Times New Roman" w:eastAsia="宋体"/>
          <w:b w:val="0"/>
          <w:sz w:val="18"/>
        </w:rPr>
        <w:t>时命中不免除字节，此处是缓存</w:t>
      </w:r>
      <w:r>
        <w:rPr>
          <w:rFonts w:ascii="Times New Roman" w:hAnsi="Times New Roman" w:eastAsia="宋体"/>
          <w:b/>
          <w:sz w:val="18"/>
        </w:rPr>
        <w:t>充裕</w:t>
      </w:r>
      <w:r>
        <w:rPr>
          <w:rFonts w:ascii="Times New Roman" w:hAnsi="Times New Roman" w:eastAsia="宋体"/>
          <w:b w:val="0"/>
          <w:sz w:val="18"/>
        </w:rPr>
        <w:t>时字节下降而时间上升。两者的共同点是请求平面的读数（两臂均为 100%）无法预示另外两个平面的走向。</w:t>
      </w:r>
    </w:p>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配对——请求—字节（D1）与字节—时间（D3、D4）。请求—时间配对在本案</w:t>
      </w:r>
      <w:r>
        <w:rPr>
          <w:rFonts w:ascii="Times New Roman" w:hAnsi="Times New Roman" w:eastAsia="宋体"/>
          <w:b/>
          <w:sz w:val="18"/>
        </w:rPr>
        <w:t>没有</w:t>
      </w:r>
      <w:r>
        <w:rPr>
          <w:rFonts w:ascii="Times New Roman" w:hAnsi="Times New Roman" w:eastAsia="宋体"/>
          <w:b w:val="0"/>
          <w:sz w:val="18"/>
        </w:rPr>
        <w:t>实例，因为唯一的请求平面计数器在主机 B 的 30 次运行中未被采集，且在主机 A 上恒为 100%。需要配对实验以区分请求平面与时间平面在资源跨度上的耦合程度，本稿仅把请求—时间配对列为待测项。D2 并非解耦实例，而是台账自检（C2）。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8）：</w:t>
      </w:r>
    </w:p>
    <w:p>
      <w:pPr>
        <w:spacing w:before="80" w:after="20"/>
        <w:jc w:val="center"/>
      </w:pPr>
      <w:r>
        <w:rPr>
          <w:rFonts w:ascii="Times New Roman" w:hAnsi="Times New Roman" w:eastAsia="宋体"/>
          <w:b w:val="0"/>
          <w:sz w:val="15"/>
        </w:rPr>
        <w:t>表 8　两个平面的分辨率对照</w:t>
      </w:r>
    </w:p>
    <w:p>
      <w:pPr>
        <w:spacing w:before="80" w:after="20"/>
        <w:jc w:val="center"/>
      </w:pPr>
      <w:r>
        <w:rPr>
          <w:rFonts w:ascii="Times New Roman" w:hAnsi="Times New Roman" w:eastAsia="Times New Roman"/>
          <w:b w:val="0"/>
          <w:sz w:val="15"/>
        </w:rPr>
        <w:t>Table 8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64"/>
        <w:gridCol w:w="1266"/>
        <w:gridCol w:w="1002"/>
        <w:gridCol w:w="813"/>
        <w:gridCol w:w="831"/>
      </w:tblGrid>
      <w:tr>
        <w:tc>
          <w:tcPr>
            <w:tcW w:type="dxa" w:w="964"/>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6"/>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1002"/>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3"/>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31"/>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64"/>
          </w:tcPr>
          <w:p>
            <w:pPr>
              <w:spacing w:after="0" w:before="0" w:line="240" w:lineRule="auto"/>
            </w:pPr>
            <w:r/>
            <w:r>
              <w:rPr>
                <w:rFonts w:ascii="Times New Roman" w:hAnsi="Times New Roman" w:eastAsia="宋体"/>
                <w:b w:val="0"/>
                <w:sz w:val="18"/>
              </w:rPr>
              <w:t>字节（专家 GB/tok）</w:t>
            </w:r>
          </w:p>
        </w:tc>
        <w:tc>
          <w:tcPr>
            <w:tcW w:type="dxa" w:w="1266"/>
          </w:tcPr>
          <w:p>
            <w:pPr>
              <w:spacing w:after="0" w:before="0" w:line="240" w:lineRule="auto"/>
            </w:pPr>
            <w:r/>
            <w:r>
              <w:rPr>
                <w:rFonts w:ascii="Times New Roman" w:hAnsi="Times New Roman" w:eastAsia="宋体"/>
                <w:b w:val="0"/>
                <w:sz w:val="18"/>
              </w:rPr>
              <w:t>SD = 0（12 次运行、4 臂全为零方差）</w:t>
            </w:r>
          </w:p>
        </w:tc>
        <w:tc>
          <w:tcPr>
            <w:tcW w:type="dxa" w:w="1002"/>
          </w:tcPr>
          <w:p>
            <w:pPr>
              <w:spacing w:after="0" w:before="0" w:line="240" w:lineRule="auto"/>
            </w:pPr>
            <w:r/>
            <w:r>
              <w:rPr>
                <w:rFonts w:ascii="Times New Roman" w:hAnsi="Times New Roman" w:eastAsia="宋体"/>
                <w:b w:val="0"/>
                <w:sz w:val="18"/>
              </w:rPr>
              <w:t>0（任意非零差即可判）</w:t>
            </w:r>
          </w:p>
        </w:tc>
        <w:tc>
          <w:tcPr>
            <w:tcW w:type="dxa" w:w="813"/>
          </w:tcPr>
          <w:p>
            <w:pPr>
              <w:spacing w:after="0" w:before="0" w:line="240" w:lineRule="auto"/>
            </w:pPr>
            <w:r/>
            <w:r>
              <w:rPr>
                <w:rFonts w:ascii="Times New Roman" w:hAnsi="Times New Roman" w:eastAsia="宋体"/>
                <w:b w:val="0"/>
                <w:sz w:val="18"/>
              </w:rPr>
              <w:t>0</w:t>
            </w:r>
          </w:p>
        </w:tc>
        <w:tc>
          <w:tcPr>
            <w:tcW w:type="dxa" w:w="831"/>
          </w:tcPr>
          <w:p>
            <w:pPr>
              <w:spacing w:after="0" w:before="0" w:line="240" w:lineRule="auto"/>
            </w:pPr>
            <w:r/>
            <w:r>
              <w:rPr>
                <w:rFonts w:ascii="Times New Roman" w:hAnsi="Times New Roman" w:eastAsia="宋体"/>
                <w:b w:val="0"/>
                <w:sz w:val="18"/>
              </w:rPr>
              <w:t>0</w:t>
            </w:r>
          </w:p>
        </w:tc>
      </w:tr>
      <w:tr>
        <w:tc>
          <w:tcPr>
            <w:tcW w:type="dxa" w:w="964"/>
          </w:tcPr>
          <w:p>
            <w:pPr>
              <w:spacing w:after="0" w:before="0" w:line="240" w:lineRule="auto"/>
            </w:pPr>
            <w:r/>
            <w:r>
              <w:rPr>
                <w:rFonts w:ascii="Times New Roman" w:hAnsi="Times New Roman" w:eastAsia="宋体"/>
                <w:b w:val="0"/>
                <w:sz w:val="18"/>
              </w:rPr>
              <w:t>时间（s/tok）</w:t>
            </w:r>
          </w:p>
        </w:tc>
        <w:tc>
          <w:tcPr>
            <w:tcW w:type="dxa" w:w="1266"/>
          </w:tcPr>
          <w:p>
            <w:pPr>
              <w:spacing w:after="0" w:before="0" w:line="240" w:lineRule="auto"/>
            </w:pPr>
            <w:r/>
            <w:r>
              <w:rPr>
                <w:rFonts w:ascii="Times New Roman" w:hAnsi="Times New Roman" w:eastAsia="宋体"/>
                <w:b w:val="0"/>
                <w:sz w:val="18"/>
              </w:rPr>
              <w:t>CV = 13.43%</w:t>
            </w:r>
          </w:p>
        </w:tc>
        <w:tc>
          <w:tcPr>
            <w:tcW w:type="dxa" w:w="1002"/>
          </w:tcPr>
          <w:p>
            <w:pPr>
              <w:spacing w:after="0" w:before="0" w:line="240" w:lineRule="auto"/>
            </w:pPr>
            <w:r/>
            <w:r>
              <w:rPr>
                <w:rFonts w:ascii="Times New Roman" w:hAnsi="Times New Roman" w:eastAsia="宋体"/>
                <w:b w:val="0"/>
                <w:sz w:val="18"/>
              </w:rPr>
              <w:t>40.8%</w:t>
            </w:r>
          </w:p>
        </w:tc>
        <w:tc>
          <w:tcPr>
            <w:tcW w:type="dxa" w:w="813"/>
          </w:tcPr>
          <w:p>
            <w:pPr>
              <w:spacing w:after="0" w:before="0" w:line="240" w:lineRule="auto"/>
            </w:pPr>
            <w:r/>
            <w:r>
              <w:rPr>
                <w:rFonts w:ascii="Times New Roman" w:hAnsi="Times New Roman" w:eastAsia="宋体"/>
                <w:b w:val="0"/>
                <w:sz w:val="18"/>
              </w:rPr>
              <w:t>24.1%</w:t>
            </w:r>
          </w:p>
        </w:tc>
        <w:tc>
          <w:tcPr>
            <w:tcW w:type="dxa" w:w="831"/>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13 300</w:t>
      </w:r>
      <w:r>
        <w:rPr>
          <w:rFonts w:ascii="Times New Roman" w:hAnsi="Times New Roman" w:eastAsia="宋体"/>
          <w:b w:val="0"/>
          <w:sz w:val="18"/>
        </w:rPr>
        <w:t xml:space="preserve"> 次运行。该组运行为每次 1 提示 + 3 生成词元，按每会话 3 个生成词元、均值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定律[5]、操作分析与平衡作业界[6,7]）。表 9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9　实测时间与带宽下界之比</w:t>
      </w:r>
    </w:p>
    <w:p>
      <w:pPr>
        <w:spacing w:before="80" w:after="20"/>
        <w:jc w:val="center"/>
      </w:pPr>
      <w:r>
        <w:rPr>
          <w:rFonts w:ascii="Times New Roman" w:hAnsi="Times New Roman" w:eastAsia="Times New Roman"/>
          <w:b w:val="0"/>
          <w:sz w:val="15"/>
        </w:rPr>
        <w:t>Table 9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4"/>
        <w:gridCol w:w="911"/>
        <w:gridCol w:w="796"/>
        <w:gridCol w:w="750"/>
        <w:gridCol w:w="780"/>
        <w:gridCol w:w="704"/>
      </w:tblGrid>
      <w:tr>
        <w:tc>
          <w:tcPr>
            <w:tcW w:type="dxa" w:w="934"/>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11"/>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796"/>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50"/>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80"/>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704"/>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34"/>
          </w:tcPr>
          <w:p>
            <w:pPr>
              <w:spacing w:after="0" w:before="0" w:line="240" w:lineRule="auto"/>
            </w:pPr>
            <w:r/>
            <w:r>
              <w:rPr>
                <w:rFonts w:ascii="Times New Roman" w:hAnsi="Times New Roman" w:eastAsia="宋体"/>
                <w:b w:val="0"/>
                <w:sz w:val="18"/>
              </w:rPr>
              <w:t>A 低速盘</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85 MB/s</w:t>
            </w:r>
          </w:p>
        </w:tc>
        <w:tc>
          <w:tcPr>
            <w:tcW w:type="dxa" w:w="750"/>
          </w:tcPr>
          <w:p>
            <w:pPr>
              <w:spacing w:after="0" w:before="0" w:line="240" w:lineRule="auto"/>
            </w:pPr>
            <w:r/>
            <w:r>
              <w:rPr>
                <w:rFonts w:ascii="Times New Roman" w:hAnsi="Times New Roman" w:eastAsia="宋体"/>
                <w:b w:val="0"/>
                <w:sz w:val="18"/>
              </w:rPr>
              <w:t>303.9</w:t>
            </w:r>
          </w:p>
        </w:tc>
        <w:tc>
          <w:tcPr>
            <w:tcW w:type="dxa" w:w="780"/>
          </w:tcPr>
          <w:p>
            <w:pPr>
              <w:spacing w:after="0" w:before="0" w:line="240" w:lineRule="auto"/>
            </w:pPr>
            <w:r/>
            <w:r>
              <w:rPr>
                <w:rFonts w:ascii="Times New Roman" w:hAnsi="Times New Roman" w:eastAsia="宋体"/>
                <w:b w:val="0"/>
                <w:sz w:val="18"/>
              </w:rPr>
              <w:t>303.58</w:t>
            </w:r>
          </w:p>
        </w:tc>
        <w:tc>
          <w:tcPr>
            <w:tcW w:type="dxa" w:w="704"/>
          </w:tcPr>
          <w:p>
            <w:pPr>
              <w:spacing w:after="0" w:before="0" w:line="240" w:lineRule="auto"/>
            </w:pPr>
            <w:r/>
            <w:r>
              <w:rPr>
                <w:rFonts w:ascii="Times New Roman" w:hAnsi="Times New Roman" w:eastAsia="宋体"/>
                <w:b w:val="0"/>
                <w:sz w:val="18"/>
              </w:rPr>
              <w:t>1.00</w:t>
            </w:r>
          </w:p>
        </w:tc>
      </w:tr>
      <w:tr>
        <w:tc>
          <w:tcPr>
            <w:tcW w:type="dxa" w:w="934"/>
          </w:tcPr>
          <w:p>
            <w:pPr>
              <w:spacing w:after="0" w:before="0" w:line="240" w:lineRule="auto"/>
            </w:pPr>
            <w:r/>
            <w:r>
              <w:rPr>
                <w:rFonts w:ascii="Times New Roman" w:hAnsi="Times New Roman" w:eastAsia="宋体"/>
                <w:b w:val="0"/>
                <w:sz w:val="18"/>
              </w:rPr>
              <w:t>B 高速盘驻留</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419 MB/s</w:t>
            </w:r>
          </w:p>
        </w:tc>
        <w:tc>
          <w:tcPr>
            <w:tcW w:type="dxa" w:w="750"/>
          </w:tcPr>
          <w:p>
            <w:pPr>
              <w:spacing w:after="0" w:before="0" w:line="240" w:lineRule="auto"/>
            </w:pPr>
            <w:r/>
            <w:r>
              <w:rPr>
                <w:rFonts w:ascii="Times New Roman" w:hAnsi="Times New Roman" w:eastAsia="宋体"/>
                <w:b w:val="0"/>
                <w:sz w:val="18"/>
              </w:rPr>
              <w:t>61.6</w:t>
            </w:r>
          </w:p>
        </w:tc>
        <w:tc>
          <w:tcPr>
            <w:tcW w:type="dxa" w:w="780"/>
          </w:tcPr>
          <w:p>
            <w:pPr>
              <w:spacing w:after="0" w:before="0" w:line="240" w:lineRule="auto"/>
            </w:pPr>
            <w:r/>
            <w:r>
              <w:rPr>
                <w:rFonts w:ascii="Times New Roman" w:hAnsi="Times New Roman" w:eastAsia="宋体"/>
                <w:b w:val="0"/>
                <w:sz w:val="18"/>
              </w:rPr>
              <w:t>191.6</w:t>
            </w:r>
          </w:p>
        </w:tc>
        <w:tc>
          <w:tcPr>
            <w:tcW w:type="dxa" w:w="704"/>
          </w:tcPr>
          <w:p>
            <w:pPr>
              <w:spacing w:after="0" w:before="0" w:line="240" w:lineRule="auto"/>
            </w:pPr>
            <w:r/>
            <w:r>
              <w:rPr>
                <w:rFonts w:ascii="Times New Roman" w:hAnsi="Times New Roman" w:eastAsia="宋体"/>
                <w:b w:val="0"/>
                <w:sz w:val="18"/>
              </w:rPr>
              <w:t>3.11</w:t>
            </w:r>
          </w:p>
        </w:tc>
      </w:tr>
      <w:tr>
        <w:tc>
          <w:tcPr>
            <w:tcW w:type="dxa" w:w="934"/>
          </w:tcPr>
          <w:p>
            <w:pPr>
              <w:spacing w:after="0" w:before="0" w:line="240" w:lineRule="auto"/>
            </w:pPr>
            <w:r/>
            <w:r>
              <w:rPr>
                <w:rFonts w:ascii="Times New Roman" w:hAnsi="Times New Roman" w:eastAsia="宋体"/>
                <w:b w:val="0"/>
                <w:sz w:val="18"/>
              </w:rPr>
              <w:t>C 部分内存驻留</w:t>
            </w:r>
          </w:p>
        </w:tc>
        <w:tc>
          <w:tcPr>
            <w:tcW w:type="dxa" w:w="911"/>
          </w:tcPr>
          <w:p>
            <w:pPr>
              <w:spacing w:after="0" w:before="0" w:line="240" w:lineRule="auto"/>
            </w:pPr>
            <w:r/>
            <w:r>
              <w:rPr>
                <w:rFonts w:ascii="Times New Roman" w:hAnsi="Times New Roman" w:eastAsia="宋体"/>
                <w:b w:val="0"/>
                <w:sz w:val="18"/>
              </w:rPr>
              <w:t>77.5</w:t>
            </w:r>
          </w:p>
        </w:tc>
        <w:tc>
          <w:tcPr>
            <w:tcW w:type="dxa" w:w="796"/>
          </w:tcPr>
          <w:p>
            <w:pPr>
              <w:spacing w:after="0" w:before="0" w:line="240" w:lineRule="auto"/>
            </w:pPr>
            <w:r/>
            <w:r>
              <w:rPr>
                <w:rFonts w:ascii="Times New Roman" w:hAnsi="Times New Roman" w:eastAsia="宋体"/>
                <w:b w:val="0"/>
                <w:sz w:val="18"/>
              </w:rPr>
              <w:t>1.5 GB/s</w:t>
            </w:r>
          </w:p>
        </w:tc>
        <w:tc>
          <w:tcPr>
            <w:tcW w:type="dxa" w:w="750"/>
          </w:tcPr>
          <w:p>
            <w:pPr>
              <w:spacing w:after="0" w:before="0" w:line="240" w:lineRule="auto"/>
            </w:pPr>
            <w:r/>
            <w:r>
              <w:rPr>
                <w:rFonts w:ascii="Times New Roman" w:hAnsi="Times New Roman" w:eastAsia="宋体"/>
                <w:b w:val="0"/>
                <w:sz w:val="18"/>
              </w:rPr>
              <w:t>51.7</w:t>
            </w:r>
          </w:p>
        </w:tc>
        <w:tc>
          <w:tcPr>
            <w:tcW w:type="dxa" w:w="780"/>
          </w:tcPr>
          <w:p>
            <w:pPr>
              <w:spacing w:after="0" w:before="0" w:line="240" w:lineRule="auto"/>
            </w:pPr>
            <w:r/>
            <w:r>
              <w:rPr>
                <w:rFonts w:ascii="Times New Roman" w:hAnsi="Times New Roman" w:eastAsia="宋体"/>
                <w:b w:val="0"/>
                <w:sz w:val="18"/>
              </w:rPr>
              <w:t>82.86</w:t>
            </w:r>
          </w:p>
        </w:tc>
        <w:tc>
          <w:tcPr>
            <w:tcW w:type="dxa" w:w="704"/>
          </w:tcPr>
          <w:p>
            <w:pPr>
              <w:spacing w:after="0" w:before="0" w:line="240" w:lineRule="auto"/>
            </w:pPr>
            <w:r/>
            <w:r>
              <w:rPr>
                <w:rFonts w:ascii="Times New Roman" w:hAnsi="Times New Roman" w:eastAsia="宋体"/>
                <w:b w:val="0"/>
                <w:sz w:val="18"/>
              </w:rPr>
              <w:t>1.60</w:t>
            </w:r>
          </w:p>
        </w:tc>
      </w:tr>
      <w:tr>
        <w:tc>
          <w:tcPr>
            <w:tcW w:type="dxa" w:w="934"/>
          </w:tcPr>
          <w:p>
            <w:pPr>
              <w:spacing w:after="0" w:before="0" w:line="240" w:lineRule="auto"/>
            </w:pPr>
            <w:r/>
            <w:r>
              <w:rPr>
                <w:rFonts w:ascii="Times New Roman" w:hAnsi="Times New Roman" w:eastAsia="宋体"/>
                <w:b w:val="0"/>
                <w:sz w:val="18"/>
              </w:rPr>
              <w:t>D 混合形态</w:t>
            </w:r>
          </w:p>
        </w:tc>
        <w:tc>
          <w:tcPr>
            <w:tcW w:type="dxa" w:w="911"/>
          </w:tcPr>
          <w:p>
            <w:pPr>
              <w:spacing w:after="0" w:before="0" w:line="240" w:lineRule="auto"/>
            </w:pPr>
            <w:r/>
            <w:r>
              <w:rPr>
                <w:rFonts w:ascii="Times New Roman" w:hAnsi="Times New Roman" w:eastAsia="宋体"/>
                <w:b w:val="0"/>
                <w:sz w:val="18"/>
              </w:rPr>
              <w:t>64.3</w:t>
            </w:r>
          </w:p>
        </w:tc>
        <w:tc>
          <w:tcPr>
            <w:tcW w:type="dxa" w:w="796"/>
          </w:tcPr>
          <w:p>
            <w:pPr>
              <w:spacing w:after="0" w:before="0" w:line="240" w:lineRule="auto"/>
            </w:pPr>
            <w:r/>
            <w:r>
              <w:rPr>
                <w:rFonts w:ascii="Times New Roman" w:hAnsi="Times New Roman" w:eastAsia="宋体"/>
                <w:b w:val="0"/>
                <w:sz w:val="18"/>
              </w:rPr>
              <w:t>混合</w:t>
            </w:r>
          </w:p>
        </w:tc>
        <w:tc>
          <w:tcPr>
            <w:tcW w:type="dxa" w:w="750"/>
          </w:tcPr>
          <w:p>
            <w:pPr>
              <w:spacing w:after="0" w:before="0" w:line="240" w:lineRule="auto"/>
            </w:pPr>
            <w:r/>
            <w:r>
              <w:rPr>
                <w:rFonts w:ascii="Times New Roman" w:hAnsi="Times New Roman" w:eastAsia="宋体"/>
                <w:b w:val="0"/>
                <w:sz w:val="18"/>
              </w:rPr>
              <w:t>70.4</w:t>
            </w:r>
          </w:p>
        </w:tc>
        <w:tc>
          <w:tcPr>
            <w:tcW w:type="dxa" w:w="780"/>
          </w:tcPr>
          <w:p>
            <w:pPr>
              <w:spacing w:after="0" w:before="0" w:line="240" w:lineRule="auto"/>
            </w:pPr>
            <w:r/>
            <w:r>
              <w:rPr>
                <w:rFonts w:ascii="Times New Roman" w:hAnsi="Times New Roman" w:eastAsia="宋体"/>
                <w:b w:val="0"/>
                <w:sz w:val="18"/>
              </w:rPr>
              <w:t>74.57</w:t>
            </w:r>
          </w:p>
        </w:tc>
        <w:tc>
          <w:tcPr>
            <w:tcW w:type="dxa" w:w="704"/>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10，对应表 9 的 D 档）可见暴露集中在专家流。四个配置的实测时间与带宽下界之比并列见图 6。</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10　各流的相位字节与串行暴露</w:t>
      </w:r>
    </w:p>
    <w:p>
      <w:pPr>
        <w:spacing w:before="80" w:after="20"/>
        <w:jc w:val="center"/>
      </w:pPr>
      <w:r>
        <w:rPr>
          <w:rFonts w:ascii="Times New Roman" w:hAnsi="Times New Roman" w:eastAsia="Times New Roman"/>
          <w:b w:val="0"/>
          <w:sz w:val="15"/>
        </w:rPr>
        <w:t>Table 10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1"/>
        <w:gridCol w:w="1114"/>
        <w:gridCol w:w="1041"/>
        <w:gridCol w:w="858"/>
        <w:gridCol w:w="931"/>
      </w:tblGrid>
      <w:tr>
        <w:tc>
          <w:tcPr>
            <w:tcW w:type="dxa" w:w="93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14"/>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1041"/>
            <w:tcBorders>
              <w:bottom w:val="single" w:sz="6" w:space="0" w:color="000000"/>
            </w:tcBorders>
          </w:tcPr>
          <w:p>
            <w:pPr>
              <w:spacing w:after="0" w:before="0" w:line="240" w:lineRule="auto"/>
            </w:pPr>
            <w:r/>
            <w:r>
              <w:rPr>
                <w:rFonts w:ascii="Times New Roman" w:hAnsi="Times New Roman" w:eastAsia="黑体"/>
                <w:b/>
                <w:sz w:val="18"/>
              </w:rPr>
              <w:t>速率/(MB/s)</w:t>
            </w:r>
          </w:p>
        </w:tc>
        <w:tc>
          <w:tcPr>
            <w:tcW w:type="dxa" w:w="858"/>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93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931"/>
          </w:tcPr>
          <w:p>
            <w:pPr>
              <w:spacing w:after="0" w:before="0" w:line="240" w:lineRule="auto"/>
            </w:pPr>
            <w:r/>
            <w:r>
              <w:rPr>
                <w:rFonts w:ascii="Times New Roman" w:hAnsi="Times New Roman" w:eastAsia="宋体"/>
                <w:b w:val="0"/>
                <w:sz w:val="18"/>
              </w:rPr>
              <w:t>专家流</w:t>
            </w:r>
          </w:p>
        </w:tc>
        <w:tc>
          <w:tcPr>
            <w:tcW w:type="dxa" w:w="1114"/>
          </w:tcPr>
          <w:p>
            <w:pPr>
              <w:spacing w:after="0" w:before="0" w:line="240" w:lineRule="auto"/>
            </w:pPr>
            <w:r/>
            <w:r>
              <w:rPr>
                <w:rFonts w:ascii="Times New Roman" w:hAnsi="Times New Roman" w:eastAsia="宋体"/>
                <w:b w:val="0"/>
                <w:sz w:val="18"/>
              </w:rPr>
              <w:t>22.5</w:t>
            </w:r>
          </w:p>
        </w:tc>
        <w:tc>
          <w:tcPr>
            <w:tcW w:type="dxa" w:w="1041"/>
          </w:tcPr>
          <w:p>
            <w:pPr>
              <w:spacing w:after="0" w:before="0" w:line="240" w:lineRule="auto"/>
            </w:pPr>
            <w:r/>
            <w:r>
              <w:rPr>
                <w:rFonts w:ascii="Times New Roman" w:hAnsi="Times New Roman" w:eastAsia="宋体"/>
                <w:b w:val="0"/>
                <w:sz w:val="18"/>
              </w:rPr>
              <w:t>379</w:t>
            </w:r>
          </w:p>
        </w:tc>
        <w:tc>
          <w:tcPr>
            <w:tcW w:type="dxa" w:w="858"/>
          </w:tcPr>
          <w:p>
            <w:pPr>
              <w:spacing w:after="0" w:before="0" w:line="240" w:lineRule="auto"/>
            </w:pPr>
            <w:r/>
            <w:r>
              <w:rPr>
                <w:rFonts w:ascii="Times New Roman" w:hAnsi="Times New Roman" w:eastAsia="宋体"/>
                <w:b w:val="0"/>
                <w:sz w:val="18"/>
              </w:rPr>
              <w:t>59.39</w:t>
            </w:r>
          </w:p>
        </w:tc>
        <w:tc>
          <w:tcPr>
            <w:tcW w:type="dxa" w:w="931"/>
          </w:tcPr>
          <w:p>
            <w:pPr>
              <w:spacing w:after="0" w:before="0" w:line="240" w:lineRule="auto"/>
            </w:pPr>
            <w:r/>
            <w:r>
              <w:rPr>
                <w:rFonts w:ascii="Times New Roman" w:hAnsi="Times New Roman" w:eastAsia="宋体"/>
                <w:b w:val="0"/>
                <w:sz w:val="18"/>
              </w:rPr>
              <w:t>79.6%</w:t>
            </w:r>
          </w:p>
        </w:tc>
      </w:tr>
      <w:tr>
        <w:tc>
          <w:tcPr>
            <w:tcW w:type="dxa" w:w="931"/>
          </w:tcPr>
          <w:p>
            <w:pPr>
              <w:spacing w:after="0" w:before="0" w:line="240" w:lineRule="auto"/>
            </w:pPr>
            <w:r/>
            <w:r>
              <w:rPr>
                <w:rFonts w:ascii="Times New Roman" w:hAnsi="Times New Roman" w:eastAsia="宋体"/>
                <w:b w:val="0"/>
                <w:sz w:val="18"/>
              </w:rPr>
              <w:t>纯计算</w:t>
            </w:r>
          </w:p>
        </w:tc>
        <w:tc>
          <w:tcPr>
            <w:tcW w:type="dxa" w:w="1114"/>
          </w:tcPr>
          <w:p>
            <w:pPr>
              <w:spacing w:after="0" w:before="0" w:line="240" w:lineRule="auto"/>
            </w:pPr>
            <w:r/>
            <w:r>
              <w:rPr>
                <w:rFonts w:ascii="Times New Roman" w:hAnsi="Times New Roman" w:eastAsia="宋体"/>
                <w:b w:val="0"/>
                <w:sz w:val="18"/>
              </w:rPr>
              <w:t>—</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14.85</w:t>
            </w:r>
          </w:p>
        </w:tc>
        <w:tc>
          <w:tcPr>
            <w:tcW w:type="dxa" w:w="931"/>
          </w:tcPr>
          <w:p>
            <w:pPr>
              <w:spacing w:after="0" w:before="0" w:line="240" w:lineRule="auto"/>
            </w:pPr>
            <w:r/>
            <w:r>
              <w:rPr>
                <w:rFonts w:ascii="Times New Roman" w:hAnsi="Times New Roman" w:eastAsia="宋体"/>
                <w:b w:val="0"/>
                <w:sz w:val="18"/>
              </w:rPr>
              <w:t>19.9%</w:t>
            </w:r>
          </w:p>
        </w:tc>
      </w:tr>
      <w:tr>
        <w:tc>
          <w:tcPr>
            <w:tcW w:type="dxa" w:w="931"/>
          </w:tcPr>
          <w:p>
            <w:pPr>
              <w:spacing w:after="0" w:before="0" w:line="240" w:lineRule="auto"/>
            </w:pPr>
            <w:r/>
            <w:r>
              <w:rPr>
                <w:rFonts w:ascii="Times New Roman" w:hAnsi="Times New Roman" w:eastAsia="宋体"/>
                <w:b w:val="0"/>
                <w:sz w:val="18"/>
              </w:rPr>
              <w:t>固定层流</w:t>
            </w:r>
          </w:p>
        </w:tc>
        <w:tc>
          <w:tcPr>
            <w:tcW w:type="dxa" w:w="1114"/>
          </w:tcPr>
          <w:p>
            <w:pPr>
              <w:spacing w:after="0" w:before="0" w:line="240" w:lineRule="auto"/>
            </w:pPr>
            <w:r/>
            <w:r>
              <w:rPr>
                <w:rFonts w:ascii="Times New Roman" w:hAnsi="Times New Roman" w:eastAsia="宋体"/>
                <w:b w:val="0"/>
                <w:sz w:val="18"/>
              </w:rPr>
              <w:t>41.8</w:t>
            </w:r>
          </w:p>
        </w:tc>
        <w:tc>
          <w:tcPr>
            <w:tcW w:type="dxa" w:w="1041"/>
          </w:tcPr>
          <w:p>
            <w:pPr>
              <w:spacing w:after="0" w:before="0" w:line="240" w:lineRule="auto"/>
            </w:pPr>
            <w:r/>
            <w:r>
              <w:rPr>
                <w:rFonts w:ascii="Times New Roman" w:hAnsi="Times New Roman" w:eastAsia="宋体"/>
                <w:b w:val="0"/>
                <w:sz w:val="18"/>
              </w:rPr>
              <w:t>890</w:t>
            </w:r>
          </w:p>
        </w:tc>
        <w:tc>
          <w:tcPr>
            <w:tcW w:type="dxa" w:w="858"/>
          </w:tcPr>
          <w:p>
            <w:pPr>
              <w:spacing w:after="0" w:before="0" w:line="240" w:lineRule="auto"/>
            </w:pPr>
            <w:r/>
            <w:r>
              <w:rPr>
                <w:rFonts w:ascii="Times New Roman" w:hAnsi="Times New Roman" w:eastAsia="宋体"/>
                <w:b w:val="0"/>
                <w:sz w:val="18"/>
              </w:rPr>
              <w:t>0.38</w:t>
            </w:r>
          </w:p>
        </w:tc>
        <w:tc>
          <w:tcPr>
            <w:tcW w:type="dxa" w:w="931"/>
          </w:tcPr>
          <w:p>
            <w:pPr>
              <w:spacing w:after="0" w:before="0" w:line="240" w:lineRule="auto"/>
            </w:pPr>
            <w:r/>
            <w:r>
              <w:rPr>
                <w:rFonts w:ascii="Times New Roman" w:hAnsi="Times New Roman" w:eastAsia="宋体"/>
                <w:b w:val="0"/>
                <w:sz w:val="18"/>
              </w:rPr>
              <w:t>0.5%</w:t>
            </w:r>
          </w:p>
        </w:tc>
      </w:tr>
      <w:tr>
        <w:tc>
          <w:tcPr>
            <w:tcW w:type="dxa" w:w="931"/>
          </w:tcPr>
          <w:p>
            <w:pPr>
              <w:spacing w:after="0" w:before="0" w:line="240" w:lineRule="auto"/>
            </w:pPr>
            <w:r/>
            <w:r>
              <w:rPr>
                <w:rFonts w:ascii="Times New Roman" w:hAnsi="Times New Roman" w:eastAsia="宋体"/>
                <w:b w:val="0"/>
                <w:sz w:val="18"/>
              </w:rPr>
              <w:t>端到端</w:t>
            </w:r>
          </w:p>
        </w:tc>
        <w:tc>
          <w:tcPr>
            <w:tcW w:type="dxa" w:w="1114"/>
          </w:tcPr>
          <w:p>
            <w:pPr>
              <w:spacing w:after="0" w:before="0" w:line="240" w:lineRule="auto"/>
            </w:pPr>
            <w:r/>
            <w:r>
              <w:rPr>
                <w:rFonts w:ascii="Times New Roman" w:hAnsi="Times New Roman" w:eastAsia="宋体"/>
                <w:b w:val="0"/>
                <w:sz w:val="18"/>
              </w:rPr>
              <w:t>64.3</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74.57</w:t>
            </w:r>
          </w:p>
        </w:tc>
        <w:tc>
          <w:tcPr>
            <w:tcW w:type="dxa" w:w="93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9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11）。逐级通过方可进入下一级；任一级失败即停，不得以更高一级的好看数字覆盖。</w:t>
      </w:r>
    </w:p>
    <w:p>
      <w:pPr>
        <w:spacing w:before="80" w:after="20"/>
        <w:jc w:val="center"/>
      </w:pPr>
      <w:r>
        <w:rPr>
          <w:rFonts w:ascii="Times New Roman" w:hAnsi="Times New Roman" w:eastAsia="宋体"/>
          <w:b w:val="0"/>
          <w:sz w:val="15"/>
        </w:rPr>
        <w:t>表 11　三平面分级验收标准</w:t>
      </w:r>
    </w:p>
    <w:p>
      <w:pPr>
        <w:spacing w:before="80" w:after="20"/>
        <w:jc w:val="center"/>
      </w:pPr>
      <w:r>
        <w:rPr>
          <w:rFonts w:ascii="Times New Roman" w:hAnsi="Times New Roman" w:eastAsia="Times New Roman"/>
          <w:b w:val="0"/>
          <w:sz w:val="15"/>
        </w:rPr>
        <w:t>Table 11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8、表 10）；</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效度威胁</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5 与恒等式核验；主机 B（Hygon 8 核 / 56 GB，机械慢盘 + NVMe，WSL2，1 提示 + 3 生成词元）承载重复运行、策略四臂与表 10、表 11。两台的源层物理层、内存量级与并发上限都不同，因此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与四条检验不依赖平台。四组真机台账取自两台主机，按主机分列；若把两套台账合并叙述为"单台存储受限主机"，会掩盖跨主机不可代入的字节口径，本文因而不作合并。</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32）的阶梯扫描，也未记录该次会话的 D(N)，因此阶梯末档的 X_byte = 43.75%（图 1）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扫描的最高档为 224 GB 主机内存、108.98 GB 缓存，其 X_byte（图 1）为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（8）请求—时间配对缺测。</w:t>
      </w:r>
      <w:r>
        <w:rPr>
          <w:rFonts w:ascii="Times New Roman" w:hAnsi="Times New Roman" w:eastAsia="宋体"/>
          <w:b w:val="0"/>
          <w:sz w:val="18"/>
        </w:rPr>
        <w:t xml:space="preserve"> 本案的请求平面计数器只在主机 A 的阶梯与配额扫描中被采集，且在主机 A 上恒为 100%；主机 B 的 30 次与四臂运行未采集该字段。因此三平面两两配对中缺"请求—时间"一项。补齐它需要一次专门测量：在同一主机、同一会话形态上同时记录请求命中率与墙钟的多次运行，且该字段须先按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与图 1 合起来即为一次完整示范：十二档中前七档的请求命中率全为 100%，而字节命中率全为 0，两者并排才暴露出复用从未落位——单看命中率，十二档无从区分。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本稿把缓存复用度量拆为请求、字节、时间三个平面，定义命中率通胀 HRI = H_key − X_byte 并证明其等于"命中但仍付字节"的访问占比，从而给出 X_byte ≤ H_key 及该上界可松到极限的结论。本案引擎自报的请求命中率把预取自盘读入的专家计入命中，其满格是预取形态的产物而非复用成效，这一机制可由引擎在该计数行后的自注逐字核对。四组真机台账取自两台主机，按主机分列：主机 A（EPYC 7763，228 GiB，NVMe 源层，N = 8 冷启动）上，请求命中率在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个百分点；该恒等式同时充当字段归属判据，可在无须信任字段名的前提下检出误标——否则字节口径的列会被读作"请求平面坍塌"。一致性检验 C3（E ≥ 1）在一次跨主机预算误用中触发，显示判据具备自否证能力。可验收性分析给出：同一改动在字节平面以 3 次运行确证的 1.278% 效应，在时间平面需约 13 300 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词元），跨主机数字不可互相代入；等长槽位假设对变长负载须改用字节加权式；阶梯末档（图 1）43.75% 的量级缺同会话上界可比；DRAM 全驻留目标档未测；请求—时间配对缺测；时间平面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Separating the Measurement Calibres of the Request, Byte, and Time Planes, with Acceptance Criteria</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it is defined by whether a key is resident in an index at service time, which is not the same question as whether the bytes avoided a re-read from the source tier. This paper separates cache-reuse measurement into three planes—the request plane (request hit rate H_key), the byte plane (byte hit ratio X_byte and read amplification factor E), and the time plane (wall-clock time per token)—defines hit-rate inflation HRI = H_key − X_byte, and proves that HRI is exactly the share of accesses that hit while still paying bytes, so H_key upper-bounds X_byte and the two can differ arbitrarily. The engine's self-reported field counts experts that the batch prefetcher has just read from disk, so its saturation is an artefact of the prefetching policy rather than of reuse.</w:t>
      </w:r>
    </w:p>
    <w:p>
      <w:pPr>
        <w:spacing w:after="40" w:line="276" w:lineRule="auto"/>
        <w:ind w:firstLine="360"/>
      </w:pPr>
      <w:r>
        <w:rPr>
          <w:rFonts w:ascii="Times New Roman" w:hAnsi="Times New Roman" w:eastAsia="宋体"/>
          <w:b w:val="0"/>
          <w:sz w:val="18"/>
        </w:rPr>
        <w:t>Four observations on two hosts establish the separation for two of the three pairs: request against byte (memory raised from 8 GB to 224 GB leaves the reported request hit rate at 100% while the byte hit ratio stays at 0, an inflation of 100 percentage points) and byte against time (the same change worsens source-tier reads by 78.6% while the wall-clock endpoint is 40.8% faster, a difference that does not clear the noise floor, so only its direction is kept). The third pair, request against time, is left untested because no ledger recorded the request counter and the wall clock together.</w:t>
      </w:r>
    </w:p>
    <w:p>
      <w:pPr>
        <w:spacing w:after="40" w:line="276" w:lineRule="auto"/>
        <w:ind w:firstLine="360"/>
      </w:pPr>
      <w:r>
        <w:rPr>
          <w:rFonts w:ascii="Times New Roman" w:hAnsi="Times New Roman" w:eastAsia="宋体"/>
          <w:b w:val="0"/>
          <w:sz w:val="18"/>
        </w:rPr>
        <w:t>A power analysis gives the minimum detectable effect (MDE) of each plane: the byte plane has zero within-group variance, so three runs confirm a 1.278% effect, while the time plane needs about 13 300 runs, a sample-size ratio of roughly 4 400. Acceptance should therefore rest on the byte plane, with the time plane used for diagnosis. No new storage system is proposed, and the findings are limited to two hosts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40" w:line="276" w:lineRule="auto"/>
        <w:ind w:firstLine="360"/>
      </w:pPr>
      <w:r>
        <w:rPr>
          <w:rFonts w:ascii="Times New Roman" w:hAnsi="Times New Roman" w:eastAsia="宋体"/>
          <w:b/>
          <w:sz w:val="18"/>
        </w:rPr>
        <w:t>致谢</w:t>
      </w:r>
      <w:r>
        <w:rPr>
          <w:rFonts w:ascii="Times New Roman" w:hAnsi="Times New Roman" w:eastAsia="宋体"/>
          <w:b w:val="0"/>
          <w:sz w:val="18"/>
        </w:rPr>
        <w:t xml:space="preserve">　本文感谢 FareedKhan-dev 完成主机 A 上的实验并提供原始记录，以及对本项目台账口径的澄清。</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