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一个诊断问题：某系统的缓存命中率已满格（CACHE HIT 100%），吞吐却上不去。此处以逐词元字节台账回答它。现象是每词元仍从低速盘全量重读专家权重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本文给出三件可复用的东西：一把以字节为口径的标尺（第 3、5 章），使"低速层读次数是否落位"成为可验收的判断；一份四步排查次序（5.3），每步标明读哪个计数器、什么算通过；一条与负载无关的仪表规程（5.6），因为判据本身以计数器为输入。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一条与负载无关的仪表规程（§5.6）</w:t>
      </w:r>
      <w:r>
        <w:rPr>
          <w:rFonts w:ascii="Times New Roman" w:hAnsi="Times New Roman" w:eastAsia="宋体"/>
          <w:b w:val="0"/>
          <w:sz w:val="18"/>
        </w:rPr>
        <w:t>：凡派生量必与一个独立的量交叉校验，并在报告中同屏打印；本轮六个曾产生错误结论的计数器字段全部由此发现，成因均属"探针的失败方式与真实故障同长，而探针不自检"。该规程与本文的模型无关，是上述判据得以成立的前提。</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局部性原理给出的是复用的动机：数据被访问多次，因此值得让它留在能取到的地方。它没有回答的是代价的边界——一个被复用 R 次的数据项，为了到达最快的那一层，必须先从更慢的层读进来多少次。次数的下界由参与路径直接决定，本文把这条守恒面写成可验收的形式，并说明其成立所依赖的假设、在何处失效、以及如何据以核对实测。。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Layout w:type="fixed"/>
      </w:tblPr>
      <w:tblGrid>
        <w:gridCol w:w="2247"/>
        <w:gridCol w:w="2629"/>
      </w:tblGrid>
      <w:tr>
        <w:tc>
          <w:tcPr>
            <w:tcW w:type="dxa" w:w="2247"/>
          </w:tcPr>
          <w:p>
            <w:pPr>
              <w:spacing w:after="0" w:before="0" w:line="240" w:lineRule="auto"/>
            </w:pPr>
            <w:r/>
            <w:r>
              <w:rPr>
                <w:rFonts w:ascii="Times New Roman" w:hAnsi="Times New Roman" w:eastAsia="黑体"/>
                <w:b/>
                <w:sz w:val="16"/>
              </w:rPr>
              <w:t>指标</w:t>
            </w:r>
          </w:p>
        </w:tc>
        <w:tc>
          <w:tcPr>
            <w:tcW w:type="dxa" w:w="2629"/>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的可检验含义是：更慢层的读数应随着“复用实际落位层”的上移而向下界（一次生成调用之内，每个 distinct 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Layout w:type="fixed"/>
      </w:tblPr>
      <w:tblGrid>
        <w:gridCol w:w="1146"/>
        <w:gridCol w:w="1378"/>
        <w:gridCol w:w="1204"/>
        <w:gridCol w:w="1146"/>
      </w:tblGrid>
      <w:tr>
        <w:tc>
          <w:tcPr>
            <w:tcW w:type="dxa" w:w="1146"/>
          </w:tcPr>
          <w:p>
            <w:pPr>
              <w:spacing w:after="0" w:before="0" w:line="240" w:lineRule="auto"/>
            </w:pPr>
            <w:r/>
            <w:r>
              <w:rPr>
                <w:rFonts w:ascii="Times New Roman" w:hAnsi="Times New Roman" w:eastAsia="黑体"/>
                <w:b/>
                <w:sz w:val="16"/>
              </w:rPr>
              <w:t>落位层</w:t>
            </w:r>
          </w:p>
        </w:tc>
        <w:tc>
          <w:tcPr>
            <w:tcW w:type="dxa" w:w="1378"/>
          </w:tcPr>
          <w:p>
            <w:pPr>
              <w:spacing w:after="0" w:before="0" w:line="240" w:lineRule="auto"/>
            </w:pPr>
            <w:r/>
            <w:r>
              <w:rPr>
                <w:rFonts w:ascii="Times New Roman" w:hAnsi="Times New Roman" w:eastAsia="黑体"/>
                <w:b/>
                <w:sz w:val="16"/>
              </w:rPr>
              <w:t>低速盘</w:t>
            </w:r>
          </w:p>
        </w:tc>
        <w:tc>
          <w:tcPr>
            <w:tcW w:type="dxa" w:w="1204"/>
          </w:tcPr>
          <w:p>
            <w:pPr>
              <w:spacing w:after="0" w:before="0" w:line="240" w:lineRule="auto"/>
            </w:pPr>
            <w:r/>
            <w:r>
              <w:rPr>
                <w:rFonts w:ascii="Times New Roman" w:hAnsi="Times New Roman" w:eastAsia="黑体"/>
                <w:b/>
                <w:sz w:val="16"/>
              </w:rPr>
              <w:t>高速盘</w:t>
            </w:r>
          </w:p>
        </w:tc>
        <w:tc>
          <w:tcPr>
            <w:tcW w:type="dxa" w:w="1146"/>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GB）回落，高速盘档全程均值 6.7 GB、后 16 词元尾段仅约 1.7 GB（=27 GB/16 词元，出处见随稿附件 A.1），向"一次生成调用内每个 distinct 项恰读一次"收敛；复用的承担场所从更慢层迁移到更近的层。这正是推论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Layout w:type="fixed"/>
      </w:tblPr>
      <w:tblGrid>
        <w:gridCol w:w="831"/>
        <w:gridCol w:w="809"/>
        <w:gridCol w:w="787"/>
        <w:gridCol w:w="809"/>
        <w:gridCol w:w="853"/>
        <w:gridCol w:w="787"/>
      </w:tblGrid>
      <w:tr>
        <w:tc>
          <w:tcPr>
            <w:tcW w:type="dxa" w:w="831"/>
          </w:tcPr>
          <w:p>
            <w:pPr>
              <w:spacing w:after="0" w:before="0" w:line="240" w:lineRule="auto"/>
            </w:pPr>
            <w:r/>
            <w:r>
              <w:rPr>
                <w:rFonts w:ascii="Times New Roman" w:hAnsi="Times New Roman" w:eastAsia="黑体"/>
                <w:b/>
                <w:sz w:val="16"/>
              </w:rPr>
              <w:t>读取流</w:t>
            </w:r>
          </w:p>
        </w:tc>
        <w:tc>
          <w:tcPr>
            <w:tcW w:type="dxa" w:w="809"/>
          </w:tcPr>
          <w:p>
            <w:pPr>
              <w:spacing w:after="0" w:before="0" w:line="240" w:lineRule="auto"/>
            </w:pPr>
            <w:r/>
            <w:r>
              <w:rPr>
                <w:rFonts w:ascii="Times New Roman" w:hAnsi="Times New Roman" w:eastAsia="黑体"/>
                <w:b/>
                <w:sz w:val="16"/>
              </w:rPr>
              <w:t>字节/词元</w:t>
            </w:r>
          </w:p>
        </w:tc>
        <w:tc>
          <w:tcPr>
            <w:tcW w:type="dxa" w:w="787"/>
          </w:tcPr>
          <w:p>
            <w:pPr>
              <w:spacing w:after="0" w:before="0" w:line="240" w:lineRule="auto"/>
            </w:pPr>
            <w:r/>
            <w:r>
              <w:rPr>
                <w:rFonts w:ascii="Times New Roman" w:hAnsi="Times New Roman" w:eastAsia="黑体"/>
                <w:b/>
                <w:sz w:val="16"/>
              </w:rPr>
              <w:t>速率</w:t>
            </w:r>
          </w:p>
        </w:tc>
        <w:tc>
          <w:tcPr>
            <w:tcW w:type="dxa" w:w="809"/>
          </w:tcPr>
          <w:p>
            <w:pPr>
              <w:spacing w:after="0" w:before="0" w:line="240" w:lineRule="auto"/>
            </w:pPr>
            <w:r/>
            <w:r>
              <w:rPr>
                <w:rFonts w:ascii="Times New Roman" w:hAnsi="Times New Roman" w:eastAsia="黑体"/>
                <w:b/>
                <w:sz w:val="16"/>
              </w:rPr>
              <w:t>访问序</w:t>
            </w:r>
          </w:p>
        </w:tc>
        <w:tc>
          <w:tcPr>
            <w:tcW w:type="dxa" w:w="853"/>
          </w:tcPr>
          <w:p>
            <w:pPr>
              <w:spacing w:after="0" w:before="0" w:line="240" w:lineRule="auto"/>
            </w:pPr>
            <w:r/>
            <w:r>
              <w:rPr>
                <w:rFonts w:ascii="Times New Roman" w:hAnsi="Times New Roman" w:eastAsia="黑体"/>
                <w:b/>
                <w:sz w:val="16"/>
              </w:rPr>
              <w:t>暴露</w:t>
            </w:r>
          </w:p>
        </w:tc>
        <w:tc>
          <w:tcPr>
            <w:tcW w:type="dxa" w:w="787"/>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278"/>
        <w:gridCol w:w="1120"/>
        <w:gridCol w:w="1357"/>
        <w:gridCol w:w="1120"/>
      </w:tblGrid>
      <w:tr>
        <w:tc>
          <w:tcPr>
            <w:tcW w:type="dxa" w:w="1278"/>
          </w:tcPr>
          <w:p>
            <w:pPr>
              <w:spacing w:after="0" w:before="0" w:line="240" w:lineRule="auto"/>
            </w:pPr>
            <w:r/>
            <w:r>
              <w:rPr>
                <w:rFonts w:ascii="Times New Roman" w:hAnsi="Times New Roman" w:eastAsia="黑体"/>
                <w:b/>
                <w:sz w:val="16"/>
              </w:rPr>
              <w:t>L1 策略</w:t>
            </w:r>
          </w:p>
        </w:tc>
        <w:tc>
          <w:tcPr>
            <w:tcW w:type="dxa" w:w="1120"/>
          </w:tcPr>
          <w:p>
            <w:pPr>
              <w:spacing w:after="0" w:before="0" w:line="240" w:lineRule="auto"/>
            </w:pPr>
            <w:r/>
            <w:r>
              <w:rPr>
                <w:rFonts w:ascii="Times New Roman" w:hAnsi="Times New Roman" w:eastAsia="黑体"/>
                <w:b/>
                <w:sz w:val="16"/>
              </w:rPr>
              <w:t>cache</w:t>
            </w:r>
          </w:p>
        </w:tc>
        <w:tc>
          <w:tcPr>
            <w:tcW w:type="dxa" w:w="1357"/>
          </w:tcPr>
          <w:p>
            <w:pPr>
              <w:spacing w:after="0" w:before="0" w:line="240" w:lineRule="auto"/>
            </w:pPr>
            <w:r/>
            <w:r>
              <w:rPr>
                <w:rFonts w:ascii="Times New Roman" w:hAnsi="Times New Roman" w:eastAsia="黑体"/>
                <w:b/>
                <w:sz w:val="16"/>
              </w:rPr>
              <w:t>三轮实测</w:t>
            </w:r>
          </w:p>
        </w:tc>
        <w:tc>
          <w:tcPr>
            <w:tcW w:type="dxa" w:w="1120"/>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Layout w:type="fixed"/>
      </w:tblPr>
      <w:tblGrid>
        <w:gridCol w:w="843"/>
        <w:gridCol w:w="820"/>
        <w:gridCol w:w="797"/>
        <w:gridCol w:w="797"/>
        <w:gridCol w:w="797"/>
        <w:gridCol w:w="820"/>
      </w:tblGrid>
      <w:tr>
        <w:tc>
          <w:tcPr>
            <w:tcW w:type="dxa" w:w="843"/>
          </w:tcPr>
          <w:p>
            <w:pPr>
              <w:spacing w:after="0" w:before="0" w:line="240" w:lineRule="auto"/>
            </w:pPr>
            <w:r/>
            <w:r>
              <w:rPr>
                <w:rFonts w:ascii="Times New Roman" w:hAnsi="Times New Roman" w:eastAsia="黑体"/>
                <w:b/>
                <w:sz w:val="16"/>
              </w:rPr>
              <w:t>落位档</w:t>
            </w:r>
          </w:p>
        </w:tc>
        <w:tc>
          <w:tcPr>
            <w:tcW w:type="dxa" w:w="820"/>
          </w:tcPr>
          <w:p>
            <w:pPr>
              <w:spacing w:after="0" w:before="0" w:line="240" w:lineRule="auto"/>
            </w:pPr>
            <w:r/>
            <w:r>
              <w:rPr>
                <w:rFonts w:ascii="Times New Roman" w:hAnsi="Times New Roman" w:eastAsia="黑体"/>
                <w:b/>
                <w:sz w:val="16"/>
              </w:rPr>
              <w:t>字节/词元</w:t>
            </w:r>
          </w:p>
        </w:tc>
        <w:tc>
          <w:tcPr>
            <w:tcW w:type="dxa" w:w="797"/>
          </w:tcPr>
          <w:p>
            <w:pPr>
              <w:spacing w:after="0" w:before="0" w:line="240" w:lineRule="auto"/>
            </w:pPr>
            <w:r/>
            <w:r>
              <w:rPr>
                <w:rFonts w:ascii="Times New Roman" w:hAnsi="Times New Roman" w:eastAsia="黑体"/>
                <w:b/>
                <w:sz w:val="16"/>
              </w:rPr>
              <w:t>带宽</w:t>
            </w:r>
          </w:p>
        </w:tc>
        <w:tc>
          <w:tcPr>
            <w:tcW w:type="dxa" w:w="797"/>
          </w:tcPr>
          <w:p>
            <w:pPr>
              <w:spacing w:after="0" w:before="0" w:line="240" w:lineRule="auto"/>
            </w:pPr>
            <w:r/>
            <w:r>
              <w:rPr>
                <w:rFonts w:ascii="Times New Roman" w:hAnsi="Times New Roman" w:eastAsia="黑体"/>
                <w:b/>
                <w:sz w:val="16"/>
              </w:rPr>
              <w:t>公式下限</w:t>
            </w:r>
          </w:p>
        </w:tc>
        <w:tc>
          <w:tcPr>
            <w:tcW w:type="dxa" w:w="797"/>
          </w:tcPr>
          <w:p>
            <w:pPr>
              <w:spacing w:after="0" w:before="0" w:line="240" w:lineRule="auto"/>
            </w:pPr>
            <w:r/>
            <w:r>
              <w:rPr>
                <w:rFonts w:ascii="Times New Roman" w:hAnsi="Times New Roman" w:eastAsia="黑体"/>
                <w:b/>
                <w:sz w:val="16"/>
              </w:rPr>
              <w:t>实测</w:t>
            </w:r>
          </w:p>
        </w:tc>
        <w:tc>
          <w:tcPr>
            <w:tcW w:type="dxa" w:w="820"/>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4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40" w:line="276" w:lineRule="auto"/>
        <w:ind w:firstLine="360"/>
      </w:pPr>
      <w:r>
        <w:rPr>
          <w:rFonts w:ascii="Times New Roman" w:hAnsi="Times New Roman" w:eastAsia="宋体"/>
          <w:b/>
          <w:sz w:val="18"/>
        </w:rPr>
        <w:t>表 4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项恰读一次"。本文案例中专家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集恰读一次，合计约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3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40" w:before="80" w:line="240" w:lineRule="auto"/>
      </w:pPr>
      <w:r>
        <w:rPr>
          <w:rFonts w:ascii="Times New Roman" w:hAnsi="Times New Roman" w:eastAsia="黑体"/>
          <w:b w:val="0"/>
          <w:sz w:val="18"/>
        </w:rPr>
        <w:t>5.6  判据的前提：仪表本身先校验</w:t>
      </w:r>
    </w:p>
    <w:p>
      <w:pPr>
        <w:spacing w:after="40" w:line="276" w:lineRule="auto"/>
        <w:ind w:firstLine="360"/>
      </w:pPr>
      <w:r>
        <w:rPr>
          <w:rFonts w:ascii="Times New Roman" w:hAnsi="Times New Roman" w:eastAsia="宋体"/>
          <w:b w:val="0"/>
          <w:sz w:val="18"/>
        </w:rPr>
        <w:t>上述判据全部依赖字节计数器，而计数器会骗人。本轮实测中共发现六个曾产生错误结论的计数器字段，成因都是"探针的失败方式与真实故障同长，而探针不自检"。举两个例子：一是把两个语义不同的量相减，快照差混进了窗口期内其他线程的读，分子与分母于是不描述同一批读；二是把 600 MB 顺序请求与 17.5 MB 散乱请求取平均。六个当中没有一个是自己暴露的，全部是与另一个独立的量对账才显形的。</w:t>
      </w:r>
    </w:p>
    <w:p>
      <w:pPr>
        <w:spacing w:after="40" w:line="276" w:lineRule="auto"/>
        <w:ind w:firstLine="360"/>
      </w:pPr>
      <w:r>
        <w:rPr>
          <w:rFonts w:ascii="Times New Roman" w:hAnsi="Times New Roman" w:eastAsia="宋体"/>
          <w:b w:val="0"/>
          <w:sz w:val="18"/>
        </w:rPr>
        <w:t>由此得出一条与负载无关的规程，它是判据成立的前提：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p>
      <w:pPr>
        <w:spacing w:after="0"/>
        <w:ind w:left="170"/>
      </w:pPr>
      <w:r>
        <w:rPr>
          <w:rFonts w:ascii="Consolas" w:hAnsi="Consolas"/>
          <w:sz w:val="14"/>
        </w:rPr>
        <w:t>字节计数   ↔ 理论载入量（层数 × 激活专家数 × 单专家字节）</w:t>
      </w:r>
    </w:p>
    <w:p>
      <w:pPr>
        <w:spacing w:after="0"/>
        <w:ind w:left="170"/>
      </w:pPr>
      <w:r>
        <w:rPr>
          <w:rFonts w:ascii="Consolas" w:hAnsi="Consolas"/>
          <w:sz w:val="14"/>
        </w:rPr>
        <w:t>sleep 占比 ↔ 16 ×（1 − sleep） 是否等于实测并发倍数</w:t>
      </w:r>
    </w:p>
    <w:p>
      <w:pPr>
        <w:spacing w:after="0"/>
        <w:ind w:left="170"/>
      </w:pPr>
      <w:r>
        <w:rPr>
          <w:rFonts w:ascii="Consolas" w:hAnsi="Consolas"/>
          <w:sz w:val="14"/>
        </w:rPr>
        <w:t>hit_wall   ↔ pread_seconds</w:t>
      </w:r>
    </w:p>
    <w:p>
      <w:pPr>
        <w:spacing w:after="0"/>
        <w:ind w:left="170"/>
      </w:pPr>
      <w:r>
        <w:rPr>
          <w:rFonts w:ascii="Consolas" w:hAnsi="Consolas"/>
          <w:sz w:val="14"/>
        </w:rPr>
        <w:t>已交付字节 ↔ 请求数 × 单请求大小</w:t>
      </w:r>
    </w:p>
    <w:p>
      <w:pPr>
        <w:spacing w:after="0"/>
        <w:ind w:left="170"/>
      </w:pPr>
      <w:r>
        <w:rPr>
          <w:rFonts w:ascii="Consolas" w:hAnsi="Consolas"/>
          <w:sz w:val="14"/>
        </w:rPr>
        <w:t>每流速率   ↔ 聚合吞吐 ÷ 并发倍数</w:t>
      </w:r>
    </w:p>
    <w:p>
      <w:pPr>
        <w:spacing w:after="40" w:line="276" w:lineRule="auto"/>
        <w:ind w:firstLine="360"/>
      </w:pPr>
      <w:r>
        <w:rPr>
          <w:rFonts w:ascii="Times New Roman" w:hAnsi="Times New Roman" w:eastAsia="宋体"/>
          <w:b w:val="0"/>
          <w:sz w:val="18"/>
        </w:rPr>
        <w:t xml:space="preserve">「同屏打印」不是排版偏好，而是发现机制。一次运行中 </w:t>
      </w:r>
      <w:r>
        <w:rPr>
          <w:rFonts w:ascii="Consolas" w:hAnsi="Consolas"/>
          <w:color w:val="000080"/>
          <w:sz w:val="18"/>
        </w:rPr>
        <w:t>hit_wall</w:t>
      </w:r>
      <w:r>
        <w:rPr>
          <w:rFonts w:ascii="Times New Roman" w:hAnsi="Times New Roman" w:eastAsia="宋体"/>
          <w:b w:val="0"/>
          <w:sz w:val="18"/>
        </w:rPr>
        <w:t xml:space="preserve"> 报 0.00 s，而同一份日志里紧挨着它的 </w:t>
      </w:r>
      <w:r>
        <w:rPr>
          <w:rFonts w:ascii="Consolas" w:hAnsi="Consolas"/>
          <w:color w:val="000080"/>
          <w:sz w:val="18"/>
        </w:rPr>
        <w:t>pread_seconds</w:t>
      </w:r>
      <w:r>
        <w:rPr>
          <w:rFonts w:ascii="Times New Roman" w:hAnsi="Times New Roman" w:eastAsia="宋体"/>
          <w:b w:val="0"/>
          <w:sz w:val="18"/>
        </w:rPr>
        <w:t xml:space="preserve"> 是 1742.60 s，两数一望即知有误。反过来，把量分散在不同章节或不同输出里，它们就不会被对照，也就不会被发现。本轮若有若干字段当初未与邻居同屏，很可能至今仍在使用。</w:t>
      </w:r>
    </w:p>
    <w:p>
      <w:pPr>
        <w:spacing w:after="40" w:line="276" w:lineRule="auto"/>
        <w:ind w:firstLine="360"/>
      </w:pPr>
      <w:r>
        <w:rPr>
          <w:rFonts w:ascii="Times New Roman" w:hAnsi="Times New Roman" w:eastAsia="宋体"/>
          <w:b w:val="0"/>
          <w:sz w:val="18"/>
        </w:rPr>
        <w:t>该规程与模型无关，成本只是报告中多打印几个已有变量。</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本文从一次反常现象出发：按命中率将缓存优化至满格，端到端吞吐仍未达到应有水平。围绕该现象，本文给出可逐行回查的字节日志审计与一次真机测量：对存储受限主机上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作为对现象的阐释，本文将上述观察组织为经验规律"慢速层只读一次"：复用若落在数据能到达的最快层，每一更慢层的最小读取次数为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w:t>
      </w:r>
      <w:r>
        <w:rPr>
          <w:rFonts w:ascii="Consolas" w:hAnsi="Consolas"/>
          <w:color w:val="000080"/>
          <w:sz w:val="18"/>
        </w:rPr>
        <w:t>reports/gateab_ab/v58_mix/ratios.txt</w:t>
      </w:r>
      <w:r>
        <w:rPr>
          <w:rFonts w:ascii="Times New Roman" w:hAnsi="Times New Roman" w:eastAsia="宋体"/>
          <w:b w:val="0"/>
          <w:sz w:val="18"/>
        </w:rPr>
        <w:t>），机制已定位为算术与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4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