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须与独立量交叉校验并同屏打印；该规程是判据成立的前提，且不依赖所用的模型与介质。各项数字只对该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：凡派生量必须与一个独立的量交叉校验，并在报告中同屏打印；本轮六个曾产生错误结论的计数器字段全部由此发现，成因均属"探针的失败方式与真实故障同长，而探针不自检"。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 由此本文已记录的时间上界为 104.66 s/词元。</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判据的前提：仪表本身须先被校验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w:t>
      </w:r>
      <w:r>
        <w:rPr>
          <w:rFonts w:ascii="Times New Roman" w:hAnsi="Times New Roman" w:eastAsia="宋体"/>
          <w:b/>
          <w:sz w:val="18"/>
        </w:rPr>
        <w:t>其成因全属"探针的失败方式与真实故障同长，而探针不自检"</w:t>
      </w:r>
      <w:r>
        <w:rPr>
          <w:rFonts w:ascii="Times New Roman" w:hAnsi="Times New Roman" w:eastAsia="宋体"/>
          <w:b w:val="0"/>
          <w:sz w:val="18"/>
        </w:rPr>
        <w:t>，例如把两个语义不同的量相减（快照差混入了窗口期内其他线程的读），使分子与分母不描述同一批读；以及把 600 MB 顺序请求与 17.5 MB 散乱请求取平均。</w:t>
      </w:r>
      <w:r>
        <w:rPr>
          <w:rFonts w:ascii="Times New Roman" w:hAnsi="Times New Roman" w:eastAsia="宋体"/>
          <w:b/>
          <w:sz w:val="18"/>
        </w:rPr>
        <w:t>六个当中没有一个是自己暴露的，全部是与另一个独立的量对账才显形的。</w:t>
      </w:r>
    </w:p>
    <w:p>
      <w:pPr>
        <w:spacing w:after="40" w:line="276" w:lineRule="auto"/>
        <w:ind w:firstLine="360"/>
      </w:pPr>
      <w:r>
        <w:rPr>
          <w:rFonts w:ascii="Times New Roman" w:hAnsi="Times New Roman" w:eastAsia="宋体"/>
          <w:b w:val="0"/>
          <w:sz w:val="18"/>
        </w:rPr>
        <w:t>故本文将一条与负载无关的规程作为判据成立的前提：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：一次运行中 </w:t>
      </w:r>
      <w:r>
        <w:rPr>
          <w:rFonts w:ascii="Consolas" w:hAnsi="Consolas"/>
          <w:color w:val="000080"/>
          <w:sz w:val="18"/>
        </w:rPr>
        <w:t>hit_wall</w:t>
      </w:r>
      <w:r>
        <w:rPr>
          <w:rFonts w:ascii="Times New Roman" w:hAnsi="Times New Roman" w:eastAsia="宋体"/>
          <w:b w:val="0"/>
          <w:sz w:val="18"/>
        </w:rPr>
        <w:t xml:space="preserve"> 报 0.00 s，而同一份日志内紧邻的 </w:t>
      </w:r>
      <w:r>
        <w:rPr>
          <w:rFonts w:ascii="Consolas" w:hAnsi="Consolas"/>
          <w:color w:val="000080"/>
          <w:sz w:val="18"/>
        </w:rPr>
        <w:t>pread_seconds</w:t>
      </w:r>
      <w:r>
        <w:rPr>
          <w:rFonts w:ascii="Times New Roman" w:hAnsi="Times New Roman" w:eastAsia="宋体"/>
          <w:b w:val="0"/>
          <w:sz w:val="18"/>
        </w:rPr>
        <w:t xml:space="preserve"> 为 1742.60 s，两数一望即知有误。</w:t>
      </w:r>
      <w:r>
        <w:rPr>
          <w:rFonts w:ascii="Times New Roman" w:hAnsi="Times New Roman" w:eastAsia="宋体"/>
          <w:b/>
          <w:sz w:val="18"/>
        </w:rPr>
        <w:t>分散在不同章节或不同输出中的量不会被对照，因而不会被发现</w:t>
      </w:r>
      <w:r>
        <w:rPr>
          <w:rFonts w:ascii="Times New Roman" w:hAnsi="Times New Roman" w:eastAsia="宋体"/>
          <w:b w:val="0"/>
          <w:sz w:val="18"/>
        </w:rPr>
        <w:t>——本轮的字段若有若干未与邻居同屏，很可能至今仍在使用。</w:t>
      </w:r>
    </w:p>
    <w:p>
      <w:pPr>
        <w:spacing w:after="40" w:line="276" w:lineRule="auto"/>
        <w:ind w:firstLine="360"/>
      </w:pPr>
      <w:r>
        <w:rPr>
          <w:rFonts w:ascii="Times New Roman" w:hAnsi="Times New Roman" w:eastAsia="宋体"/>
          <w:b w:val="0"/>
          <w:sz w:val="18"/>
        </w:rPr>
        <w:t>该规程不依赖本文的模型、介质或判据，适用于任何以派生量验收的 I/O 路径；其成本仅是报告中多打印几个已有变量。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