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line="276" w:lineRule="auto"/>
        <w:ind w:firstLine="360"/>
      </w:pPr>
      <w:r>
        <w:rPr>
          <w:rFonts w:ascii="Times New Roman" w:hAnsi="Times New Roman" w:eastAsia="宋体"/>
          <w:b/>
          <w:sz w:val="18"/>
        </w:rPr>
        <w:t>该 −37% 的可复现性按字节与时间分别看待</w:t>
      </w:r>
      <w:r>
        <w:rPr>
          <w:rFonts w:ascii="Times New Roman" w:hAnsi="Times New Roman" w:eastAsia="宋体"/>
          <w:b w:val="0"/>
          <w:sz w:val="18"/>
        </w:rPr>
        <w:t>（详见 4.3 节末与 4.6 的方法学限度）：</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40%（§4.3 末的六次运行）。故该数字应读作</w:t>
      </w:r>
      <w:r>
        <w:rPr>
          <w:rFonts w:ascii="Times New Roman" w:hAnsi="Times New Roman" w:eastAsia="宋体"/>
          <w:b/>
          <w:sz w:val="18"/>
        </w:rPr>
        <w:t>方向一致的单次对照</w:t>
      </w:r>
      <w:r>
        <w:rPr>
          <w:rFonts w:ascii="Times New Roman" w:hAnsi="Times New Roman" w:eastAsia="宋体"/>
          <w:b w:val="0"/>
          <w:sz w:val="18"/>
        </w:rPr>
        <w:t>，不作为可引用的一次运行效果量。</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本表的正确读法分两步。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sz w:val="18"/>
        </w:rPr>
        <w:t>本节结论经四次修正，均为实测与已报告数字冲突所致：</w:t>
      </w:r>
    </w:p>
    <w:p>
      <w:pPr>
        <w:spacing w:after="40" w:line="276" w:lineRule="auto"/>
        <w:ind w:firstLine="360"/>
      </w:pPr>
      <w:r>
        <w:rPr>
          <w:rFonts w:ascii="Times New Roman" w:hAnsi="Times New Roman" w:eastAsia="宋体"/>
          <w:b w:val="0"/>
          <w:sz w:val="18"/>
        </w:rPr>
        <w:t>【2026-09-29 重建】末行由 3.11 降至 1.06。</w:t>
      </w:r>
      <w:r>
        <w:rPr>
          <w:rFonts w:ascii="Times New Roman" w:hAnsi="Times New Roman" w:eastAsia="宋体"/>
          <w:b/>
          <w:sz w:val="18"/>
        </w:rPr>
        <w:t>比值下降源于计价口径修正，不是设备变快。</w:t>
      </w:r>
    </w:p>
    <w:p>
      <w:pPr>
        <w:spacing w:after="40" w:line="276" w:lineRule="auto"/>
        <w:ind w:firstLine="360"/>
      </w:pPr>
      <w:r>
        <w:rPr>
          <w:rFonts w:ascii="Times New Roman" w:hAnsi="Times New Roman" w:eastAsia="宋体"/>
          <w:b w:val="0"/>
          <w:sz w:val="18"/>
        </w:rPr>
        <w:t>【2026-10-05 修正】1.06 不代表"已接近字节下界"，该档并未达到下界——该比值的分母取自引擎已实现的速率，而公式中该量定义为设备可用带宽；以引擎真实访问形态重测，比值为 1.3–1.6（</w:t>
      </w:r>
      <w:r>
        <w:rPr>
          <w:rFonts w:ascii="Consolas" w:hAnsi="Consolas"/>
          <w:color w:val="000080"/>
          <w:sz w:val="18"/>
        </w:rPr>
        <w:t>reports/gateab_ab/v58_mix/ratios.txt</w:t>
      </w:r>
      <w:r>
        <w:rPr>
          <w:rFonts w:ascii="Times New Roman" w:hAnsi="Times New Roman" w:eastAsia="宋体"/>
          <w:b w:val="0"/>
          <w:sz w:val="18"/>
        </w:rPr>
        <w:t>）。</w:t>
      </w: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上述两次修正的发现过程见附件 A.4.1、A.4.2。</w:t>
      </w:r>
    </w:p>
    <w:p>
      <w:pPr>
        <w:spacing w:after="40" w:line="276" w:lineRule="auto"/>
        <w:ind w:firstLine="360"/>
      </w:pPr>
      <w:r>
        <w:rPr>
          <w:rFonts w:ascii="Times New Roman" w:hAnsi="Times New Roman" w:eastAsia="宋体"/>
          <w:b w:val="0"/>
          <w:sz w:val="18"/>
        </w:rPr>
        <w:t>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上表两行速率由时间派生，不可复现；字节量才可复现。2026-10-07 两次独立复现（3 词元，墙钟 296.7 s 与 314.0 s）的字节量与本节逐项相同（4595 reqs、216.66 GB、group0 235 reqs / 140.16 GB、group1 4360 reqs / 76.51 GB、并发 9.1 与 9.0×、sleep 均 49%、queue 2.4% 与 2.7%），专家流每流速率为 30 与 29 MB/s，低于上表区间；主干流 833 与 745 MB/s，仍在区间内。两次复现的墙钟（98.90 与 104.66 s/词元）长于本节记录时段，字节除以更长的墙钟即得更低速率。</w:t>
      </w:r>
      <w:r>
        <w:rPr>
          <w:rFonts w:ascii="Times New Roman" w:hAnsi="Times New Roman" w:eastAsia="宋体"/>
          <w:b/>
          <w:sz w:val="18"/>
        </w:rPr>
        <w:t>验收应核对字节而非速率；本文已记录的时间上界为 104.66 s/词元。</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的成因已于 2026-10-07 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为观测量，该观测量在本平台的重复性随时段变化很大：2026-09-29 的三次（表 3，76.04 / 73.39 / 74.91 s/词元）跨度仅 3.6%，而 2026-09-30 同一配置、同一源码、同一脚本连续三轮为 65.21 / 75.62 / 79.91 s/词元，跨度 22.5%，19 次同类运行的合并跨度为 65.21–89.88。两个数都真实，因此不能引用某一时段的离散度充当本平台的重复性。实践结论是：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【2026-10-05 撤回】</w:t>
      </w:r>
      <w:r>
        <w:rPr>
          <w:rFonts w:ascii="Times New Roman" w:hAnsi="Times New Roman" w:eastAsia="宋体"/>
          <w:b w:val="0"/>
          <w:sz w:val="18"/>
        </w:rPr>
        <w:t xml:space="preserve"> 本节此前据 v54 写入的"主干顺序流与专家散乱流在同一设备上互相争抢"不成立：散乱 4M 读（1740 MB/s）快于顺序（1537 MB/s）。该次观测到的 arena 扩大导致 trunk 常驻由 22 层降至 15 层、75.5→126.2 s/词元，这一现象成立，机制尚未查明。发现过程见附件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