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b w:val="0"/>
        </w:rPr>
        <w:t>Allgemeine Anmerkungen</w:t>
      </w:r>
    </w:p>
    <w:p>
      <w:pPr>
        <w:spacing w:after="0" w:before="0" w:line="276" w:lineRule="auto"/>
      </w:pPr>
      <w:r>
        <w:rPr>
          <w:b/>
        </w:rPr>
        <w:t xml:space="preserve">1. Reihenfolge in den Acknowledgements (Dissertation): </w:t>
      </w:r>
      <w:r>
        <w:rPr>
          <w:b w:val="0"/>
        </w:rPr>
        <w:t>Dort heißt es „my parents, Chris Mandel and Renate Mandel“. Es ist höflicher und üblich, die Frau zuerst zu nennen. Empfehlung: „my parents, Renate Mandel and Christoph Mandel“.</w:t>
      </w:r>
    </w:p>
    <w:p>
      <w:pPr>
        <w:spacing w:after="0" w:before="0" w:line="276" w:lineRule="auto"/>
      </w:pPr>
      <w:r>
        <w:rPr>
          <w:b/>
        </w:rPr>
        <w:t xml:space="preserve">2. Vorname ausschreiben: </w:t>
      </w:r>
      <w:r>
        <w:rPr>
          <w:b w:val="0"/>
        </w:rPr>
        <w:t>Statt „Chris“ bitte den vollen Vornamen „Christoph“ verwenden (siehe Formulierung oben). In einer Dissertation wirkt der ausgeschriebene Name angemessener als eine Kurzform.</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5"/>
            <w:shd w:val="clear" w:color="auto" w:fill="D9E2F3"/>
          </w:tcPr>
          <w:p>
            <w:pPr>
              <w:spacing w:after="0" w:before="0" w:line="276" w:lineRule="auto"/>
            </w:pPr>
            <w:r>
              <w:rPr>
                <w:rFonts w:ascii="Aptos" w:hAnsi="Aptos"/>
                <w:b/>
                <w:sz w:val="22"/>
              </w:rPr>
            </w:r>
            <w:r>
              <w:rPr>
                <w:rFonts w:ascii="Aptos" w:hAnsi="Aptos"/>
                <w:b/>
                <w:sz w:val="22"/>
              </w:rPr>
              <w:t>Dokument</w:t>
            </w:r>
          </w:p>
        </w:tc>
        <w:tc>
          <w:tcPr>
            <w:tcW w:type="dxa" w:w="1152"/>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152"/>
            <w:shd w:val="clear" w:color="auto" w:fill="D9E2F3"/>
          </w:tcPr>
          <w:p>
            <w:pPr>
              <w:spacing w:after="0" w:before="0" w:line="276" w:lineRule="auto"/>
            </w:pPr>
            <w:r>
              <w:rPr>
                <w:rFonts w:ascii="Aptos" w:hAnsi="Aptos"/>
                <w:b/>
                <w:sz w:val="22"/>
              </w:rPr>
            </w:r>
            <w:r>
              <w:rPr>
                <w:rFonts w:ascii="Aptos" w:hAnsi="Aptos"/>
                <w:b/>
                <w:sz w:val="22"/>
              </w:rPr>
              <w:t>Grammatik</w:t>
            </w:r>
          </w:p>
        </w:tc>
        <w:tc>
          <w:tcPr>
            <w:tcW w:type="dxa" w:w="1152"/>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152"/>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152"/>
            <w:shd w:val="clear" w:color="auto" w:fill="D9E2F3"/>
          </w:tcPr>
          <w:p>
            <w:pPr>
              <w:spacing w:after="0" w:before="0" w:line="276" w:lineRule="auto"/>
            </w:pPr>
            <w:r>
              <w:rPr>
                <w:rFonts w:ascii="Aptos" w:hAnsi="Aptos"/>
                <w:b/>
                <w:sz w:val="22"/>
              </w:rPr>
            </w:r>
            <w:r>
              <w:rPr>
                <w:rFonts w:ascii="Aptos" w:hAnsi="Aptos"/>
                <w:b/>
                <w:sz w:val="22"/>
              </w:rPr>
              <w:t>Unsicher</w:t>
            </w:r>
          </w:p>
        </w:tc>
        <w:tc>
          <w:tcPr>
            <w:tcW w:type="dxa" w:w="1152"/>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2495"/>
          </w:tcPr>
          <w:p>
            <w:pPr>
              <w:spacing w:after="0" w:before="0" w:line="276" w:lineRule="auto"/>
            </w:pPr>
            <w:r>
              <w:rPr>
                <w:rFonts w:ascii="Aptos" w:hAnsi="Aptos"/>
                <w:sz w:val="22"/>
              </w:rPr>
            </w:r>
            <w:r>
              <w:rPr>
                <w:rFonts w:ascii="Aptos" w:hAnsi="Aptos"/>
                <w:sz w:val="22"/>
              </w:rPr>
              <w:t>Paper</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7</w:t>
            </w:r>
          </w:p>
        </w:tc>
        <w:tc>
          <w:tcPr>
            <w:tcW w:type="dxa" w:w="1152"/>
          </w:tcPr>
          <w:p>
            <w:pPr>
              <w:spacing w:after="0" w:before="0" w:line="276" w:lineRule="auto"/>
            </w:pPr>
            <w:r>
              <w:rPr>
                <w:rFonts w:ascii="Aptos" w:hAnsi="Aptos"/>
                <w:sz w:val="22"/>
              </w:rPr>
            </w:r>
            <w:r>
              <w:rPr>
                <w:rFonts w:ascii="Aptos" w:hAnsi="Aptos"/>
                <w:sz w:val="22"/>
              </w:rPr>
              <w:t>4</w:t>
            </w:r>
          </w:p>
        </w:tc>
        <w:tc>
          <w:tcPr>
            <w:tcW w:type="dxa" w:w="1152"/>
          </w:tcPr>
          <w:p>
            <w:pPr>
              <w:spacing w:after="0" w:before="0" w:line="276" w:lineRule="auto"/>
            </w:pPr>
            <w:r>
              <w:rPr>
                <w:rFonts w:ascii="Aptos" w:hAnsi="Aptos"/>
                <w:sz w:val="22"/>
              </w:rPr>
            </w:r>
            <w:r>
              <w:rPr>
                <w:rFonts w:ascii="Aptos" w:hAnsi="Aptos"/>
                <w:sz w:val="22"/>
              </w:rPr>
              <w:t>13</w:t>
            </w:r>
          </w:p>
        </w:tc>
      </w:tr>
      <w:tr>
        <w:tc>
          <w:tcPr>
            <w:tcW w:type="dxa" w:w="2495"/>
          </w:tcPr>
          <w:p>
            <w:pPr>
              <w:spacing w:after="0" w:before="0" w:line="276" w:lineRule="auto"/>
            </w:pPr>
            <w:r>
              <w:rPr>
                <w:rFonts w:ascii="Aptos" w:hAnsi="Aptos"/>
                <w:sz w:val="22"/>
              </w:rPr>
            </w:r>
            <w:r>
              <w:rPr>
                <w:rFonts w:ascii="Aptos" w:hAnsi="Aptos"/>
                <w:sz w:val="22"/>
              </w:rPr>
              <w:t>Dissertation</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14</w:t>
            </w:r>
          </w:p>
        </w:tc>
        <w:tc>
          <w:tcPr>
            <w:tcW w:type="dxa" w:w="1152"/>
          </w:tcPr>
          <w:p>
            <w:pPr>
              <w:spacing w:after="0" w:before="0" w:line="276" w:lineRule="auto"/>
            </w:pPr>
            <w:r>
              <w:rPr>
                <w:rFonts w:ascii="Aptos" w:hAnsi="Aptos"/>
                <w:sz w:val="22"/>
              </w:rPr>
            </w:r>
            <w:r>
              <w:rPr>
                <w:rFonts w:ascii="Aptos" w:hAnsi="Aptos"/>
                <w:sz w:val="22"/>
              </w:rPr>
              <w:t>3</w:t>
            </w:r>
          </w:p>
        </w:tc>
        <w:tc>
          <w:tcPr>
            <w:tcW w:type="dxa" w:w="1152"/>
          </w:tcPr>
          <w:p>
            <w:pPr>
              <w:spacing w:after="0" w:before="0" w:line="276" w:lineRule="auto"/>
            </w:pPr>
            <w:r>
              <w:rPr>
                <w:rFonts w:ascii="Aptos" w:hAnsi="Aptos"/>
                <w:sz w:val="22"/>
              </w:rPr>
            </w:r>
            <w:r>
              <w:rPr>
                <w:rFonts w:ascii="Aptos" w:hAnsi="Aptos"/>
                <w:sz w:val="22"/>
              </w:rPr>
              <w:t>19</w:t>
            </w:r>
          </w:p>
        </w:tc>
      </w:tr>
      <w:tr>
        <w:tc>
          <w:tcPr>
            <w:tcW w:type="dxa" w:w="2495"/>
          </w:tcPr>
          <w:p>
            <w:pPr>
              <w:spacing w:after="0" w:before="0" w:line="276" w:lineRule="auto"/>
            </w:pPr>
            <w:r>
              <w:rPr>
                <w:rFonts w:ascii="Aptos" w:hAnsi="Aptos"/>
                <w:b/>
                <w:sz w:val="22"/>
              </w:rPr>
            </w:r>
            <w:r>
              <w:rPr>
                <w:rFonts w:ascii="Aptos" w:hAnsi="Aptos"/>
                <w:b/>
                <w:sz w:val="22"/>
              </w:rPr>
              <w:t>Gesamt</w:t>
            </w:r>
          </w:p>
        </w:tc>
        <w:tc>
          <w:tcPr>
            <w:tcW w:type="dxa" w:w="1152"/>
          </w:tcPr>
          <w:p>
            <w:pPr>
              <w:spacing w:after="0" w:before="0" w:line="276" w:lineRule="auto"/>
            </w:pPr>
            <w:r>
              <w:rPr>
                <w:rFonts w:ascii="Aptos" w:hAnsi="Aptos"/>
                <w:b/>
                <w:sz w:val="22"/>
              </w:rPr>
            </w:r>
            <w:r>
              <w:rPr>
                <w:rFonts w:ascii="Aptos" w:hAnsi="Aptos"/>
                <w:b/>
                <w:sz w:val="22"/>
              </w:rPr>
              <w:t>2</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21</w:t>
            </w:r>
          </w:p>
        </w:tc>
        <w:tc>
          <w:tcPr>
            <w:tcW w:type="dxa" w:w="1152"/>
          </w:tcPr>
          <w:p>
            <w:pPr>
              <w:spacing w:after="0" w:before="0" w:line="276" w:lineRule="auto"/>
            </w:pPr>
            <w:r>
              <w:rPr>
                <w:rFonts w:ascii="Aptos" w:hAnsi="Aptos"/>
                <w:b/>
                <w:sz w:val="22"/>
              </w:rPr>
            </w:r>
            <w:r>
              <w:rPr>
                <w:rFonts w:ascii="Aptos" w:hAnsi="Aptos"/>
                <w:b/>
                <w:sz w:val="22"/>
              </w:rPr>
              <w:t>7</w:t>
            </w:r>
          </w:p>
        </w:tc>
        <w:tc>
          <w:tcPr>
            <w:tcW w:type="dxa" w:w="1152"/>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1.3 Diagnostic Gap, Absatz 2</w:t>
            </w:r>
          </w:p>
        </w:tc>
        <w:tc>
          <w:tcPr>
            <w:tcW w:type="dxa" w:w="360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2.1 Study Design and Ethics Approval, Absatz 1</w:t>
            </w:r>
          </w:p>
        </w:tc>
        <w:tc>
          <w:tcPr>
            <w:tcW w:type="dxa" w:w="360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2918"/>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360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360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Declarations, Absatz „Funding“</w:t>
            </w:r>
          </w:p>
        </w:tc>
        <w:tc>
          <w:tcPr>
            <w:tcW w:type="dxa" w:w="360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2918"/>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Declarations, Absatz „Acknowledgements“</w:t>
            </w:r>
          </w:p>
        </w:tc>
        <w:tc>
          <w:tcPr>
            <w:tcW w:type="dxa" w:w="360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2918"/>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113"/>
          </w:tcPr>
          <w:p>
            <w:pPr>
              <w:spacing w:after="0" w:before="0" w:line="276" w:lineRule="auto"/>
            </w:pPr>
            <w:r>
              <w:rPr>
                <w:rFonts w:ascii="Aptos" w:hAnsi="Aptos"/>
                <w:sz w:val="22"/>
              </w:rPr>
            </w:r>
            <w:r>
              <w:rPr>
                <w:rFonts w:ascii="Aptos" w:hAnsi="Aptos"/>
                <w:sz w:val="22"/>
              </w:rPr>
              <w:t>Zeichensetzung</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Überschrift „Table 2 — Discriminatory performance of …“</w:t>
            </w:r>
          </w:p>
        </w:tc>
        <w:tc>
          <w:tcPr>
            <w:tcW w:type="dxa" w:w="360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2918"/>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Literatur Nr. 7 (Finn et al. 1996)</w:t>
            </w:r>
          </w:p>
        </w:tc>
        <w:tc>
          <w:tcPr>
            <w:tcW w:type="dxa" w:w="360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Literatur Nr. 31 (Rinder et al.)</w:t>
            </w:r>
          </w:p>
        </w:tc>
        <w:tc>
          <w:tcPr>
            <w:tcW w:type="dxa" w:w="360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Literatur Nr. 41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Abkürzungsverzeichnis, Zeile DMEM/F12</w:t>
            </w:r>
          </w:p>
        </w:tc>
        <w:tc>
          <w:tcPr>
            <w:tcW w:type="dxa" w:w="360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Abkürzungsverzeichnis, Zeile SIRI</w:t>
            </w:r>
          </w:p>
        </w:tc>
        <w:tc>
          <w:tcPr>
            <w:tcW w:type="dxa" w:w="360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Abkürzungsverzeichnis, Zeile BMI</w:t>
            </w:r>
          </w:p>
        </w:tc>
        <w:tc>
          <w:tcPr>
            <w:tcW w:type="dxa" w:w="360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Abkürzungsverzeichnis, Zeile TLR</w:t>
            </w:r>
          </w:p>
        </w:tc>
        <w:tc>
          <w:tcPr>
            <w:tcW w:type="dxa" w:w="360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360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360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360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2.5 Sample Collection and Time Points, Absatz 7</w:t>
            </w:r>
          </w:p>
        </w:tc>
        <w:tc>
          <w:tcPr>
            <w:tcW w:type="dxa" w:w="360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2918"/>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2.9 Flow Cytometry (FACS) — Neutrophil Phenotype, Absatz 1</w:t>
            </w:r>
          </w:p>
        </w:tc>
        <w:tc>
          <w:tcPr>
            <w:tcW w:type="dxa" w:w="360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360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2.12.2 Stimulation Protocol, Absatz 2</w:t>
            </w:r>
          </w:p>
        </w:tc>
        <w:tc>
          <w:tcPr>
            <w:tcW w:type="dxa" w:w="360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3.1 Patient Characteristics, Absatz 2</w:t>
            </w:r>
          </w:p>
        </w:tc>
        <w:tc>
          <w:tcPr>
            <w:tcW w:type="dxa" w:w="360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360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14</w:t>
            </w:r>
          </w:p>
        </w:tc>
        <w:tc>
          <w:tcPr>
            <w:tcW w:type="dxa" w:w="1766"/>
          </w:tcPr>
          <w:p>
            <w:pPr>
              <w:spacing w:after="0" w:before="0" w:line="276" w:lineRule="auto"/>
            </w:pPr>
            <w:r>
              <w:rPr>
                <w:rFonts w:ascii="Aptos" w:hAnsi="Aptos"/>
                <w:sz w:val="22"/>
              </w:rPr>
            </w:r>
            <w:r>
              <w:rPr>
                <w:rFonts w:ascii="Aptos" w:hAnsi="Aptos"/>
                <w:sz w:val="22"/>
              </w:rPr>
              <w:t>Legende Tabelle 5</w:t>
            </w:r>
          </w:p>
        </w:tc>
        <w:tc>
          <w:tcPr>
            <w:tcW w:type="dxa" w:w="360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15</w:t>
            </w:r>
          </w:p>
        </w:tc>
        <w:tc>
          <w:tcPr>
            <w:tcW w:type="dxa" w:w="1766"/>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360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16</w:t>
            </w:r>
          </w:p>
        </w:tc>
        <w:tc>
          <w:tcPr>
            <w:tcW w:type="dxa" w:w="1766"/>
          </w:tcPr>
          <w:p>
            <w:pPr>
              <w:spacing w:after="0" w:before="0" w:line="276" w:lineRule="auto"/>
            </w:pPr>
            <w:r>
              <w:rPr>
                <w:rFonts w:ascii="Aptos" w:hAnsi="Aptos"/>
                <w:sz w:val="22"/>
              </w:rPr>
            </w:r>
            <w:r>
              <w:rPr>
                <w:rFonts w:ascii="Aptos" w:hAnsi="Aptos"/>
                <w:sz w:val="22"/>
              </w:rPr>
              <w:t>Legende Abb. 14</w:t>
            </w:r>
          </w:p>
        </w:tc>
        <w:tc>
          <w:tcPr>
            <w:tcW w:type="dxa" w:w="360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sCr – im Abkürzungsverzeichnis und überall sonst „sCr“.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17</w:t>
            </w:r>
          </w:p>
        </w:tc>
        <w:tc>
          <w:tcPr>
            <w:tcW w:type="dxa" w:w="1766"/>
          </w:tcPr>
          <w:p>
            <w:pPr>
              <w:spacing w:after="0" w:before="0" w:line="276" w:lineRule="auto"/>
            </w:pPr>
            <w:r>
              <w:rPr>
                <w:rFonts w:ascii="Aptos" w:hAnsi="Aptos"/>
                <w:sz w:val="22"/>
              </w:rPr>
            </w:r>
            <w:r>
              <w:rPr>
                <w:rFonts w:ascii="Aptos" w:hAnsi="Aptos"/>
                <w:sz w:val="22"/>
              </w:rPr>
              <w:t>4.7 Conclusions,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113"/>
          </w:tcPr>
          <w:p>
            <w:pPr>
              <w:spacing w:after="0" w:before="0" w:line="276" w:lineRule="auto"/>
            </w:pPr>
            <w:r>
              <w:rPr>
                <w:rFonts w:ascii="Aptos" w:hAnsi="Aptos"/>
                <w:sz w:val="22"/>
              </w:rPr>
            </w:r>
            <w:r>
              <w:rPr>
                <w:rFonts w:ascii="Aptos" w:hAnsi="Aptos"/>
                <w:sz w:val="22"/>
              </w:rPr>
              <w:t>Grammatik</w:t>
            </w:r>
          </w:p>
        </w:tc>
      </w:tr>
      <w:tr>
        <w:trPr>
          <w:cantSplit w:val="true"/>
        </w:trPr>
        <w:tc>
          <w:tcPr>
            <w:tcW w:type="dxa" w:w="460"/>
          </w:tcPr>
          <w:p>
            <w:pPr>
              <w:spacing w:after="0" w:before="0" w:line="276" w:lineRule="auto"/>
            </w:pPr>
            <w:r>
              <w:rPr>
                <w:rFonts w:ascii="Aptos" w:hAnsi="Aptos"/>
                <w:sz w:val="22"/>
              </w:rPr>
            </w:r>
            <w:r>
              <w:rPr>
                <w:rFonts w:ascii="Aptos" w:hAnsi="Aptos"/>
                <w:sz w:val="22"/>
              </w:rPr>
              <w:t>18</w:t>
            </w:r>
          </w:p>
        </w:tc>
        <w:tc>
          <w:tcPr>
            <w:tcW w:type="dxa" w:w="1766"/>
          </w:tcPr>
          <w:p>
            <w:pPr>
              <w:spacing w:after="0" w:before="0" w:line="276" w:lineRule="auto"/>
            </w:pPr>
            <w:r>
              <w:rPr>
                <w:rFonts w:ascii="Aptos" w:hAnsi="Aptos"/>
                <w:sz w:val="22"/>
              </w:rPr>
            </w:r>
            <w:r>
              <w:rPr>
                <w:rFonts w:ascii="Aptos" w:hAnsi="Aptos"/>
                <w:sz w:val="22"/>
              </w:rPr>
              <w:t>Literatur Nr. 43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19</w:t>
            </w:r>
          </w:p>
        </w:tc>
        <w:tc>
          <w:tcPr>
            <w:tcW w:type="dxa" w:w="1766"/>
          </w:tcPr>
          <w:p>
            <w:pPr>
              <w:spacing w:after="0" w:before="0" w:line="276" w:lineRule="auto"/>
            </w:pPr>
            <w:r>
              <w:rPr>
                <w:rFonts w:ascii="Aptos" w:hAnsi="Aptos"/>
                <w:sz w:val="22"/>
              </w:rPr>
            </w:r>
            <w:r>
              <w:rPr>
                <w:rFonts w:ascii="Aptos" w:hAnsi="Aptos"/>
                <w:sz w:val="22"/>
              </w:rPr>
              <w:t>Curriculum Vitae, Zeile Scholarship</w:t>
            </w:r>
          </w:p>
        </w:tc>
        <w:tc>
          <w:tcPr>
            <w:tcW w:type="dxa" w:w="360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