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76" w:lineRule="auto"/>
      </w:pPr>
      <w:r>
        <w:rPr>
          <w:rFonts w:ascii="Aptos" w:hAnsi="Aptos"/>
          <w:b/>
          <w:sz w:val="40"/>
        </w:rPr>
        <w:t>Rechtschreib- und Grammatikprüfung: Paper und Dissertation (CSA-AKI)</w:t>
      </w:r>
    </w:p>
    <w:p>
      <w:pPr>
        <w:spacing w:after="0" w:before="0" w:line="276" w:lineRule="auto"/>
      </w:pPr>
      <w:r>
        <w:rPr>
          <w:rFonts w:ascii="Aptos" w:hAnsi="Aptos"/>
          <w:sz w:val="22"/>
        </w:rPr>
        <w:t>Robin Mandel – englische Manuskripte, Stand der geprüften Dateien wie im Ordner „Dissertation“</w:t>
      </w:r>
    </w:p>
    <w:p>
      <w:pPr>
        <w:spacing w:after="0" w:before="0" w:line="276" w:lineRule="auto"/>
      </w:pPr>
      <w:r>
        <w:rPr>
          <w:rFonts w:ascii="Aptos" w:hAnsi="Aptos"/>
          <w:sz w:val="22"/>
        </w:rPr>
        <w:t>Datum: 07.10.2026</w:t>
      </w:r>
    </w:p>
    <w:p>
      <w:pPr>
        <w:pStyle w:val="Heading1"/>
        <w:spacing w:after="0" w:before="240" w:line="276" w:lineRule="auto"/>
      </w:pPr>
      <w:r>
        <w:rPr>
          <w:b w:val="0"/>
        </w:rPr>
        <w:t>Allgemeine Anmerkungen</w:t>
      </w:r>
    </w:p>
    <w:p>
      <w:pPr>
        <w:spacing w:after="0" w:before="0" w:line="276" w:lineRule="auto"/>
      </w:pPr>
      <w:r>
        <w:rPr>
          <w:b/>
        </w:rPr>
        <w:t xml:space="preserve">1. Reihenfolge in den Acknowledgements (Dissertation): </w:t>
      </w:r>
      <w:r>
        <w:rPr>
          <w:b w:val="0"/>
        </w:rPr>
        <w:t>Dort heißt es „my parents, Chris Mandel and Renate Mandel“. Es ist höflicher und üblich, die Frau zuerst zu nennen. Empfehlung: „my parents, Renate Mandel and Christoph Mandel“.</w:t>
      </w:r>
    </w:p>
    <w:p>
      <w:pPr>
        <w:spacing w:after="0" w:before="0" w:line="276" w:lineRule="auto"/>
      </w:pPr>
      <w:r>
        <w:rPr>
          <w:b/>
        </w:rPr>
        <w:t xml:space="preserve">2. Vorname ausschreiben: </w:t>
      </w:r>
      <w:r>
        <w:rPr>
          <w:b w:val="0"/>
        </w:rPr>
        <w:t>Statt „Chris“ bitte den vollen Vornamen „Christoph“ verwenden (siehe Formulierung oben). In einer Dissertation wirkt der ausgeschriebene Name angemessener als eine Kurzform.</w:t>
      </w:r>
    </w:p>
    <w:p>
      <w:pPr>
        <w:pStyle w:val="Heading1"/>
        <w:spacing w:after="0" w:before="240" w:line="276" w:lineRule="auto"/>
      </w:pPr>
      <w:r>
        <w:rPr>
          <w:rFonts w:ascii="Aptos" w:hAnsi="Aptos"/>
          <w:b/>
          <w:sz w:val="30"/>
        </w:rPr>
        <w:t>Zusammenfassung</w:t>
      </w:r>
    </w:p>
    <w:p>
      <w:pPr>
        <w:spacing w:after="0" w:before="0" w:line="276" w:lineRule="auto"/>
      </w:pPr>
      <w:r>
        <w:rPr>
          <w:rFonts w:ascii="Aptos" w:hAnsi="Aptos"/>
          <w:sz w:val="22"/>
        </w:rPr>
        <w:t>Geprüft wurden ausschließlich Rechtschreibung, Grammatik, Zeichensetzung und einheitliche Schreibweise – kein inhaltliches Gegenlesen, keine Stilvorschläge, keine Prüfung der Zahlen. Mitgeprüft: Fließtext, Überschriften, Tabellen, Abbildungs- und Tabellenlegenden, Abkürzungsverzeichnis, Lebenslauf und Literaturverzeichnis (dort nur offensichtliche Tippfehler). Beide Texte sind sprachlich sehr sauber: Echte Rechtschreib- oder Grammatikfehler sind selten. Die meisten Funde betreffen uneinheitliche Schreibweisen (Bindestriche, Abkürzungen, Apostrophe).</w:t>
      </w:r>
    </w:p>
    <w:p>
      <w:pPr>
        <w:spacing w:after="0" w:before="0" w:line="276" w:lineRule="auto"/>
      </w:pP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495"/>
            <w:shd w:val="clear" w:color="auto" w:fill="D9E2F3"/>
          </w:tcPr>
          <w:p>
            <w:pPr>
              <w:spacing w:after="0" w:before="0" w:line="276" w:lineRule="auto"/>
            </w:pPr>
            <w:r>
              <w:rPr>
                <w:rFonts w:ascii="Aptos" w:hAnsi="Aptos"/>
                <w:b/>
                <w:sz w:val="22"/>
              </w:rPr>
            </w:r>
            <w:r>
              <w:rPr>
                <w:rFonts w:ascii="Aptos" w:hAnsi="Aptos"/>
                <w:b/>
                <w:sz w:val="22"/>
              </w:rPr>
              <w:t>Dokument</w:t>
            </w:r>
          </w:p>
        </w:tc>
        <w:tc>
          <w:tcPr>
            <w:tcW w:type="dxa" w:w="1152"/>
            <w:shd w:val="clear" w:color="auto" w:fill="D9E2F3"/>
          </w:tcPr>
          <w:p>
            <w:pPr>
              <w:spacing w:after="0" w:before="0" w:line="276" w:lineRule="auto"/>
            </w:pPr>
            <w:r>
              <w:rPr>
                <w:rFonts w:ascii="Aptos" w:hAnsi="Aptos"/>
                <w:b/>
                <w:sz w:val="22"/>
              </w:rPr>
            </w:r>
            <w:r>
              <w:rPr>
                <w:rFonts w:ascii="Aptos" w:hAnsi="Aptos"/>
                <w:b/>
                <w:sz w:val="22"/>
              </w:rPr>
              <w:t>Rechtschreibung</w:t>
            </w:r>
          </w:p>
        </w:tc>
        <w:tc>
          <w:tcPr>
            <w:tcW w:type="dxa" w:w="1152"/>
            <w:shd w:val="clear" w:color="auto" w:fill="D9E2F3"/>
          </w:tcPr>
          <w:p>
            <w:pPr>
              <w:spacing w:after="0" w:before="0" w:line="276" w:lineRule="auto"/>
            </w:pPr>
            <w:r>
              <w:rPr>
                <w:rFonts w:ascii="Aptos" w:hAnsi="Aptos"/>
                <w:b/>
                <w:sz w:val="22"/>
              </w:rPr>
            </w:r>
            <w:r>
              <w:rPr>
                <w:rFonts w:ascii="Aptos" w:hAnsi="Aptos"/>
                <w:b/>
                <w:sz w:val="22"/>
              </w:rPr>
              <w:t>Grammatik</w:t>
            </w:r>
          </w:p>
        </w:tc>
        <w:tc>
          <w:tcPr>
            <w:tcW w:type="dxa" w:w="1152"/>
            <w:shd w:val="clear" w:color="auto" w:fill="D9E2F3"/>
          </w:tcPr>
          <w:p>
            <w:pPr>
              <w:spacing w:after="0" w:before="0" w:line="276" w:lineRule="auto"/>
            </w:pPr>
            <w:r>
              <w:rPr>
                <w:rFonts w:ascii="Aptos" w:hAnsi="Aptos"/>
                <w:b/>
                <w:sz w:val="22"/>
              </w:rPr>
            </w:r>
            <w:r>
              <w:rPr>
                <w:rFonts w:ascii="Aptos" w:hAnsi="Aptos"/>
                <w:b/>
                <w:sz w:val="22"/>
              </w:rPr>
              <w:t>Zeichensetzung</w:t>
            </w:r>
          </w:p>
        </w:tc>
        <w:tc>
          <w:tcPr>
            <w:tcW w:type="dxa" w:w="1152"/>
            <w:shd w:val="clear" w:color="auto" w:fill="D9E2F3"/>
          </w:tcPr>
          <w:p>
            <w:pPr>
              <w:spacing w:after="0" w:before="0" w:line="276" w:lineRule="auto"/>
            </w:pPr>
            <w:r>
              <w:rPr>
                <w:rFonts w:ascii="Aptos" w:hAnsi="Aptos"/>
                <w:b/>
                <w:sz w:val="22"/>
              </w:rPr>
            </w:r>
            <w:r>
              <w:rPr>
                <w:rFonts w:ascii="Aptos" w:hAnsi="Aptos"/>
                <w:b/>
                <w:sz w:val="22"/>
              </w:rPr>
              <w:t>Inkonsistenz</w:t>
            </w:r>
          </w:p>
        </w:tc>
        <w:tc>
          <w:tcPr>
            <w:tcW w:type="dxa" w:w="1152"/>
            <w:shd w:val="clear" w:color="auto" w:fill="D9E2F3"/>
          </w:tcPr>
          <w:p>
            <w:pPr>
              <w:spacing w:after="0" w:before="0" w:line="276" w:lineRule="auto"/>
            </w:pPr>
            <w:r>
              <w:rPr>
                <w:rFonts w:ascii="Aptos" w:hAnsi="Aptos"/>
                <w:b/>
                <w:sz w:val="22"/>
              </w:rPr>
            </w:r>
            <w:r>
              <w:rPr>
                <w:rFonts w:ascii="Aptos" w:hAnsi="Aptos"/>
                <w:b/>
                <w:sz w:val="22"/>
              </w:rPr>
              <w:t>Unsicher</w:t>
            </w:r>
          </w:p>
        </w:tc>
        <w:tc>
          <w:tcPr>
            <w:tcW w:type="dxa" w:w="1152"/>
            <w:shd w:val="clear" w:color="auto" w:fill="D9E2F3"/>
          </w:tcPr>
          <w:p>
            <w:pPr>
              <w:spacing w:after="0" w:before="0" w:line="276" w:lineRule="auto"/>
            </w:pPr>
            <w:r>
              <w:rPr>
                <w:rFonts w:ascii="Aptos" w:hAnsi="Aptos"/>
                <w:b/>
                <w:sz w:val="22"/>
              </w:rPr>
            </w:r>
            <w:r>
              <w:rPr>
                <w:rFonts w:ascii="Aptos" w:hAnsi="Aptos"/>
                <w:b/>
                <w:sz w:val="22"/>
              </w:rPr>
              <w:t>Summe</w:t>
            </w:r>
          </w:p>
        </w:tc>
      </w:tr>
      <w:tr>
        <w:tc>
          <w:tcPr>
            <w:tcW w:type="dxa" w:w="2495"/>
          </w:tcPr>
          <w:p>
            <w:pPr>
              <w:spacing w:after="0" w:before="0" w:line="276" w:lineRule="auto"/>
            </w:pPr>
            <w:r>
              <w:rPr>
                <w:rFonts w:ascii="Aptos" w:hAnsi="Aptos"/>
                <w:sz w:val="22"/>
              </w:rPr>
            </w:r>
            <w:r>
              <w:rPr>
                <w:rFonts w:ascii="Aptos" w:hAnsi="Aptos"/>
                <w:sz w:val="22"/>
              </w:rPr>
              <w:t>Paper</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7</w:t>
            </w:r>
          </w:p>
        </w:tc>
        <w:tc>
          <w:tcPr>
            <w:tcW w:type="dxa" w:w="1152"/>
          </w:tcPr>
          <w:p>
            <w:pPr>
              <w:spacing w:after="0" w:before="0" w:line="276" w:lineRule="auto"/>
            </w:pPr>
            <w:r>
              <w:rPr>
                <w:rFonts w:ascii="Aptos" w:hAnsi="Aptos"/>
                <w:sz w:val="22"/>
              </w:rPr>
            </w:r>
            <w:r>
              <w:rPr>
                <w:rFonts w:ascii="Aptos" w:hAnsi="Aptos"/>
                <w:sz w:val="22"/>
              </w:rPr>
              <w:t>4</w:t>
            </w:r>
          </w:p>
        </w:tc>
        <w:tc>
          <w:tcPr>
            <w:tcW w:type="dxa" w:w="1152"/>
          </w:tcPr>
          <w:p>
            <w:pPr>
              <w:spacing w:after="0" w:before="0" w:line="276" w:lineRule="auto"/>
            </w:pPr>
            <w:r>
              <w:rPr>
                <w:rFonts w:ascii="Aptos" w:hAnsi="Aptos"/>
                <w:sz w:val="22"/>
              </w:rPr>
            </w:r>
            <w:r>
              <w:rPr>
                <w:rFonts w:ascii="Aptos" w:hAnsi="Aptos"/>
                <w:sz w:val="22"/>
              </w:rPr>
              <w:t>13</w:t>
            </w:r>
          </w:p>
        </w:tc>
      </w:tr>
      <w:tr>
        <w:tc>
          <w:tcPr>
            <w:tcW w:type="dxa" w:w="2495"/>
          </w:tcPr>
          <w:p>
            <w:pPr>
              <w:spacing w:after="0" w:before="0" w:line="276" w:lineRule="auto"/>
            </w:pPr>
            <w:r>
              <w:rPr>
                <w:rFonts w:ascii="Aptos" w:hAnsi="Aptos"/>
                <w:sz w:val="22"/>
              </w:rPr>
            </w:r>
            <w:r>
              <w:rPr>
                <w:rFonts w:ascii="Aptos" w:hAnsi="Aptos"/>
                <w:sz w:val="22"/>
              </w:rPr>
              <w:t>Dissertation</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14</w:t>
            </w:r>
          </w:p>
        </w:tc>
        <w:tc>
          <w:tcPr>
            <w:tcW w:type="dxa" w:w="1152"/>
          </w:tcPr>
          <w:p>
            <w:pPr>
              <w:spacing w:after="0" w:before="0" w:line="276" w:lineRule="auto"/>
            </w:pPr>
            <w:r>
              <w:rPr>
                <w:rFonts w:ascii="Aptos" w:hAnsi="Aptos"/>
                <w:sz w:val="22"/>
              </w:rPr>
            </w:r>
            <w:r>
              <w:rPr>
                <w:rFonts w:ascii="Aptos" w:hAnsi="Aptos"/>
                <w:sz w:val="22"/>
              </w:rPr>
              <w:t>3</w:t>
            </w:r>
          </w:p>
        </w:tc>
        <w:tc>
          <w:tcPr>
            <w:tcW w:type="dxa" w:w="1152"/>
          </w:tcPr>
          <w:p>
            <w:pPr>
              <w:spacing w:after="0" w:before="0" w:line="276" w:lineRule="auto"/>
            </w:pPr>
            <w:r>
              <w:rPr>
                <w:rFonts w:ascii="Aptos" w:hAnsi="Aptos"/>
                <w:sz w:val="22"/>
              </w:rPr>
            </w:r>
            <w:r>
              <w:rPr>
                <w:rFonts w:ascii="Aptos" w:hAnsi="Aptos"/>
                <w:sz w:val="22"/>
              </w:rPr>
              <w:t>19</w:t>
            </w:r>
          </w:p>
        </w:tc>
      </w:tr>
      <w:tr>
        <w:tc>
          <w:tcPr>
            <w:tcW w:type="dxa" w:w="2495"/>
          </w:tcPr>
          <w:p>
            <w:pPr>
              <w:spacing w:after="0" w:before="0" w:line="276" w:lineRule="auto"/>
            </w:pPr>
            <w:r>
              <w:rPr>
                <w:rFonts w:ascii="Aptos" w:hAnsi="Aptos"/>
                <w:b/>
                <w:sz w:val="22"/>
              </w:rPr>
            </w:r>
            <w:r>
              <w:rPr>
                <w:rFonts w:ascii="Aptos" w:hAnsi="Aptos"/>
                <w:b/>
                <w:sz w:val="22"/>
              </w:rPr>
              <w:t>Gesamt</w:t>
            </w:r>
          </w:p>
        </w:tc>
        <w:tc>
          <w:tcPr>
            <w:tcW w:type="dxa" w:w="1152"/>
          </w:tcPr>
          <w:p>
            <w:pPr>
              <w:spacing w:after="0" w:before="0" w:line="276" w:lineRule="auto"/>
            </w:pPr>
            <w:r>
              <w:rPr>
                <w:rFonts w:ascii="Aptos" w:hAnsi="Aptos"/>
                <w:b/>
                <w:sz w:val="22"/>
              </w:rPr>
            </w:r>
            <w:r>
              <w:rPr>
                <w:rFonts w:ascii="Aptos" w:hAnsi="Aptos"/>
                <w:b/>
                <w:sz w:val="22"/>
              </w:rPr>
              <w:t>2</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21</w:t>
            </w:r>
          </w:p>
        </w:tc>
        <w:tc>
          <w:tcPr>
            <w:tcW w:type="dxa" w:w="1152"/>
          </w:tcPr>
          <w:p>
            <w:pPr>
              <w:spacing w:after="0" w:before="0" w:line="276" w:lineRule="auto"/>
            </w:pPr>
            <w:r>
              <w:rPr>
                <w:rFonts w:ascii="Aptos" w:hAnsi="Aptos"/>
                <w:b/>
                <w:sz w:val="22"/>
              </w:rPr>
            </w:r>
            <w:r>
              <w:rPr>
                <w:rFonts w:ascii="Aptos" w:hAnsi="Aptos"/>
                <w:b/>
                <w:sz w:val="22"/>
              </w:rPr>
              <w:t>7</w:t>
            </w:r>
          </w:p>
        </w:tc>
        <w:tc>
          <w:tcPr>
            <w:tcW w:type="dxa" w:w="1152"/>
          </w:tcPr>
          <w:p>
            <w:pPr>
              <w:spacing w:after="0" w:before="0" w:line="276" w:lineRule="auto"/>
            </w:pPr>
            <w:r>
              <w:rPr>
                <w:rFonts w:ascii="Aptos" w:hAnsi="Aptos"/>
                <w:b/>
                <w:sz w:val="22"/>
              </w:rPr>
            </w:r>
            <w:r>
              <w:rPr>
                <w:rFonts w:ascii="Aptos" w:hAnsi="Aptos"/>
                <w:b/>
                <w:sz w:val="22"/>
              </w:rPr>
              <w:t>32</w:t>
            </w:r>
          </w:p>
        </w:tc>
      </w:tr>
    </w:tbl>
    <w:p>
      <w:pPr>
        <w:spacing w:after="0" w:before="0" w:line="276" w:lineRule="auto"/>
      </w:pPr>
    </w:p>
    <w:p>
      <w:pPr>
        <w:spacing w:after="0" w:before="0" w:line="276" w:lineRule="auto"/>
      </w:pPr>
      <w:r>
        <w:rPr>
          <w:rFonts w:ascii="Aptos" w:hAnsi="Aptos"/>
          <w:sz w:val="22"/>
        </w:rPr>
        <w:t>Legende: Im Originaltext ist die fehlerhafte Stelle rot und fett markiert. „…“ bedeutet, dass das Zitat aus einem längeren Absatz stammt. „Absatz n“ zählt die Textabsätze (inkl. Legenden und Tabellen) innerhalb des genannten Abschnitts. „Unsicher“ = bitte selbst prüfen, ggf. kein Fehler. Inkonsistenzen sind jeweils nur einmal (an der ersten bzw. abweichenden Stelle) eingetragen; die übrigen Fundstellen stehen in der Spalte „Korrektur“.</w:t>
      </w:r>
    </w:p>
    <w:p>
      <w:r>
        <w:br w:type="page"/>
      </w:r>
    </w:p>
    <w:p>
      <w:pPr>
        <w:pStyle w:val="Heading1"/>
        <w:spacing w:after="0" w:before="0" w:line="276" w:lineRule="auto"/>
      </w:pPr>
      <w:r>
        <w:rPr>
          <w:rFonts w:ascii="Aptos" w:hAnsi="Aptos"/>
          <w:b/>
          <w:sz w:val="30"/>
        </w:rPr>
        <w:t>01_Paper_EN_Mandel_CSA-AKI_Manuscript.docx (Paper, ca. 10.900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1.3 Diagnostic Gap, Absatz 2</w:t>
            </w:r>
          </w:p>
        </w:tc>
        <w:tc>
          <w:tcPr>
            <w:tcW w:type="dxa" w:w="3609"/>
          </w:tcPr>
          <w:p>
            <w:pPr>
              <w:spacing w:after="0" w:before="0" w:line="276" w:lineRule="auto"/>
            </w:pPr>
            <w:r>
              <w:rPr>
                <w:rFonts w:ascii="Aptos" w:hAnsi="Aptos"/>
                <w:sz w:val="22"/>
              </w:rPr>
              <w:t>Pre-operative risk scores such as the Cleveland Clinic Score [33] stratify baseline susceptibility but cannot capture the dynamic intra- and early-</w:t>
            </w:r>
            <w:r>
              <w:rPr>
                <w:rFonts w:ascii="Aptos" w:hAnsi="Aptos"/>
                <w:b/>
                <w:color w:val="C00000"/>
                <w:sz w:val="22"/>
              </w:rPr>
              <w:t>postoperative</w:t>
            </w:r>
            <w:r>
              <w:rPr>
                <w:rFonts w:ascii="Aptos" w:hAnsi="Aptos"/>
                <w:sz w:val="22"/>
              </w:rPr>
              <w:t xml:space="preserve"> immune–renal response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early-post-operative (oder überall ohne Bindestrich). Das Paper schreibt sonst „pre-operative“ (19×) und „post-operative“ (1.2, 3.6, Abb. 6), aber „postoperative“ hier, in 3.2 („early-postoperative signal“) und 4.3 („postoperative day 5“).</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2.1 Study Design and Ethics Approval, Absatz 1</w:t>
            </w:r>
          </w:p>
        </w:tc>
        <w:tc>
          <w:tcPr>
            <w:tcW w:type="dxa" w:w="3609"/>
          </w:tcPr>
          <w:p>
            <w:pPr>
              <w:spacing w:after="0" w:before="0" w:line="276" w:lineRule="auto"/>
            </w:pPr>
            <w:r>
              <w:rPr>
                <w:rFonts w:ascii="Aptos" w:hAnsi="Aptos"/>
                <w:sz w:val="22"/>
              </w:rPr>
              <w:t xml:space="preserve">… </w:t>
            </w:r>
            <w:r>
              <w:rPr>
                <w:rFonts w:ascii="Aptos" w:hAnsi="Aptos"/>
                <w:sz w:val="22"/>
              </w:rPr>
              <w:t xml:space="preserve">the Standards for Reporting of Diagnostic Accuracy </w:t>
            </w:r>
            <w:r>
              <w:rPr>
                <w:rFonts w:ascii="Aptos" w:hAnsi="Aptos"/>
                <w:b/>
                <w:color w:val="C00000"/>
                <w:sz w:val="22"/>
              </w:rPr>
              <w:t>(STARD)</w:t>
            </w:r>
            <w:r>
              <w:rPr>
                <w:rFonts w:ascii="Aptos" w:hAnsi="Aptos"/>
                <w:sz w:val="22"/>
              </w:rPr>
              <w:t xml:space="preserve"> 2015 guideline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the Standards for Reporting of Diagnostic Accuracy Studies (STARD) 2015 guideline – im Abkürzungsverzeichnis steht „Standards for Reporting of Diagnostic Accuracy Studies“.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whole-cohort heat map in Supplementary Figure S4; the FDR-significant pairs with subgroup values in Supplementary Table S9). </w:t>
            </w:r>
            <w:r>
              <w:rPr>
                <w:rFonts w:ascii="Aptos" w:hAnsi="Aptos"/>
                <w:b/>
                <w:color w:val="C00000"/>
                <w:sz w:val="22"/>
              </w:rPr>
              <w:t>The whole-cohort heat map is shown in Supplementary Figure S4</w:t>
            </w:r>
            <w:r>
              <w:rPr>
                <w:rFonts w:ascii="Aptos" w:hAnsi="Aptos"/>
                <w:sz w:val="22"/>
              </w:rPr>
              <w:t xml:space="preserve"> and the strongest pairs of the exploratory screen in Supplementary Table S8.</w:t>
            </w:r>
          </w:p>
        </w:tc>
        <w:tc>
          <w:tcPr>
            <w:tcW w:type="dxa" w:w="2918"/>
          </w:tcPr>
          <w:p>
            <w:pPr>
              <w:spacing w:after="0" w:before="0" w:line="276" w:lineRule="auto"/>
            </w:pPr>
            <w:r>
              <w:rPr>
                <w:rFonts w:ascii="Aptos" w:hAnsi="Aptos"/>
                <w:sz w:val="22"/>
              </w:rPr>
            </w:r>
            <w:r>
              <w:rPr>
                <w:rFonts w:ascii="Aptos" w:hAnsi="Aptos"/>
                <w:sz w:val="22"/>
              </w:rPr>
              <w:t>Doppelte Angabe: Die Heatmap (Suppl. Fig. S4) wird im selben Absatz zweimal genannt – vermutlich ist ein Satzteil beim Überarbeiten stehen geblieben. Bitte prüfen, ggf. Dopplung streichen.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2</w:t>
            </w:r>
          </w:p>
        </w:tc>
        <w:tc>
          <w:tcPr>
            <w:tcW w:type="dxa" w:w="3609"/>
          </w:tcPr>
          <w:p>
            <w:pPr>
              <w:spacing w:after="0" w:before="0" w:line="276" w:lineRule="auto"/>
            </w:pPr>
            <w:r>
              <w:rPr>
                <w:rFonts w:ascii="Aptos" w:hAnsi="Aptos"/>
                <w:sz w:val="22"/>
              </w:rPr>
              <w:t xml:space="preserve">… </w:t>
            </w:r>
            <w:r>
              <w:rPr>
                <w:rFonts w:ascii="Aptos" w:hAnsi="Aptos"/>
                <w:sz w:val="22"/>
              </w:rPr>
              <w:t xml:space="preserve">r = 0.80 </w:t>
            </w:r>
            <w:r>
              <w:rPr>
                <w:rFonts w:ascii="Aptos" w:hAnsi="Aptos"/>
                <w:b/>
                <w:color w:val="C00000"/>
                <w:sz w:val="22"/>
              </w:rPr>
              <w:t>(Figure 5A</w:t>
            </w:r>
            <w:r>
              <w:rPr>
                <w:rFonts w:ascii="Aptos" w:hAnsi="Aptos"/>
                <w:sz w:val="22"/>
              </w:rPr>
              <w:t>; n = 25; p = 1.5 × 10⁻⁶</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(Figure 5a; … – Abbildungsfelder werden sonst klein geschrieben: „(a)–(f)“ in Abb. 2–4, „Figure 4a/4c“. In Abb. 5 (Legende „(A)“, „(B)“) und hier/„Figure 5B“ stehen Großbuchstaben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3.6 Timing of the KDIGO Diagnosis Relative to the Signatures, Absatz 4</w:t>
            </w:r>
          </w:p>
        </w:tc>
        <w:tc>
          <w:tcPr>
            <w:tcW w:type="dxa" w:w="3609"/>
          </w:tcPr>
          <w:p>
            <w:pPr>
              <w:spacing w:after="0" w:before="0" w:line="276" w:lineRule="auto"/>
            </w:pPr>
            <w:r>
              <w:rPr>
                <w:rFonts w:ascii="Aptos" w:hAnsi="Aptos"/>
                <w:sz w:val="22"/>
              </w:rPr>
              <w:t xml:space="preserve">… </w:t>
            </w:r>
            <w:r>
              <w:rPr>
                <w:rFonts w:ascii="Aptos" w:hAnsi="Aptos"/>
                <w:sz w:val="22"/>
              </w:rPr>
              <w:t>(b) calprotectin (</w:t>
            </w:r>
            <w:r>
              <w:rPr>
                <w:rFonts w:ascii="Aptos" w:hAnsi="Aptos"/>
                <w:b/>
                <w:color w:val="C00000"/>
                <w:sz w:val="22"/>
              </w:rPr>
              <w:t>MRP8-14</w:t>
            </w:r>
            <w:r>
              <w:rPr>
                <w:rFonts w:ascii="Aptos" w:hAnsi="Aptos"/>
                <w:sz w:val="22"/>
              </w:rPr>
              <w:t>, S100A8/A9) and (c) osteopontin</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MRP8/14 – im Abkürzungsverzeichnis und überall sonst „myeloid-related protein 8/14“; gilt auch für „MRP8-14, myeloid-related protein 8/14“ am Ende derselben Legende.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Declarations, Absatz „Funding“</w:t>
            </w:r>
          </w:p>
        </w:tc>
        <w:tc>
          <w:tcPr>
            <w:tcW w:type="dxa" w:w="3609"/>
          </w:tcPr>
          <w:p>
            <w:pPr>
              <w:spacing w:after="0" w:before="0" w:line="276" w:lineRule="auto"/>
            </w:pPr>
            <w:r>
              <w:rPr>
                <w:rFonts w:ascii="Aptos" w:hAnsi="Aptos"/>
                <w:sz w:val="22"/>
              </w:rPr>
              <w:t xml:space="preserve">Funding. </w:t>
            </w:r>
            <w:r>
              <w:rPr>
                <w:rFonts w:ascii="Aptos" w:hAnsi="Aptos"/>
                <w:b/>
                <w:color w:val="C00000"/>
                <w:sz w:val="22"/>
              </w:rPr>
              <w:t>[TODO: insert funding statement (DFG consortium / other grant numbers)]</w:t>
            </w:r>
          </w:p>
        </w:tc>
        <w:tc>
          <w:tcPr>
            <w:tcW w:type="dxa" w:w="2918"/>
          </w:tcPr>
          <w:p>
            <w:pPr>
              <w:spacing w:after="0" w:before="0" w:line="276" w:lineRule="auto"/>
            </w:pPr>
            <w:r>
              <w:rPr>
                <w:rFonts w:ascii="Aptos" w:hAnsi="Aptos"/>
                <w:sz w:val="22"/>
              </w:rPr>
            </w:r>
            <w:r>
              <w:rPr>
                <w:rFonts w:ascii="Aptos" w:hAnsi="Aptos"/>
                <w:sz w:val="22"/>
              </w:rPr>
              <w:t>Platzhalter noch offen – Förderhinweis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Declarations, Absatz „Acknowledgements“</w:t>
            </w:r>
          </w:p>
        </w:tc>
        <w:tc>
          <w:tcPr>
            <w:tcW w:type="dxa" w:w="3609"/>
          </w:tcPr>
          <w:p>
            <w:pPr>
              <w:spacing w:after="0" w:before="0" w:line="276" w:lineRule="auto"/>
            </w:pPr>
            <w:r>
              <w:rPr>
                <w:rFonts w:ascii="Aptos" w:hAnsi="Aptos"/>
                <w:sz w:val="22"/>
              </w:rPr>
              <w:t xml:space="preserve">Acknowledgements. </w:t>
            </w:r>
            <w:r>
              <w:rPr>
                <w:rFonts w:ascii="Aptos" w:hAnsi="Aptos"/>
                <w:b/>
                <w:color w:val="C00000"/>
                <w:sz w:val="22"/>
              </w:rPr>
              <w:t>[TODO: list study nurses, KIZ biometrics, study participants, and the Ulm cardiac-surgery team by name]</w:t>
            </w:r>
          </w:p>
        </w:tc>
        <w:tc>
          <w:tcPr>
            <w:tcW w:type="dxa" w:w="2918"/>
          </w:tcPr>
          <w:p>
            <w:pPr>
              <w:spacing w:after="0" w:before="0" w:line="276" w:lineRule="auto"/>
            </w:pPr>
            <w:r>
              <w:rPr>
                <w:rFonts w:ascii="Aptos" w:hAnsi="Aptos"/>
                <w:sz w:val="22"/>
              </w:rPr>
            </w:r>
            <w:r>
              <w:rPr>
                <w:rFonts w:ascii="Aptos" w:hAnsi="Aptos"/>
                <w:sz w:val="22"/>
              </w:rPr>
              <w:t>Platzhalter noch offen – Danksagung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EuroSCORE II (predicted </w:t>
            </w:r>
            <w:r>
              <w:rPr>
                <w:rFonts w:ascii="Aptos" w:hAnsi="Aptos"/>
                <w:b/>
                <w:color w:val="C00000"/>
                <w:sz w:val="22"/>
              </w:rPr>
              <w:t>mortality%</w:t>
            </w:r>
            <w:r>
              <w:rPr>
                <w:rFonts w:ascii="Aptos" w:hAnsi="Aptos"/>
                <w:sz w:val="22"/>
              </w:rPr>
              <w:t>,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predicted mortality, % (Leerzeichen/Komma vor dem Prozentzeichen fehlt)</w:t>
            </w:r>
          </w:p>
        </w:tc>
        <w:tc>
          <w:tcPr>
            <w:tcW w:type="dxa" w:w="1113"/>
          </w:tcPr>
          <w:p>
            <w:pPr>
              <w:spacing w:after="0" w:before="0" w:line="276" w:lineRule="auto"/>
            </w:pPr>
            <w:r>
              <w:rPr>
                <w:rFonts w:ascii="Aptos" w:hAnsi="Aptos"/>
                <w:sz w:val="22"/>
              </w:rPr>
            </w:r>
            <w:r>
              <w:rPr>
                <w:rFonts w:ascii="Aptos" w:hAnsi="Aptos"/>
                <w:sz w:val="22"/>
              </w:rPr>
              <w:t>Zeichensetzung</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Cleveland Clinic </w:t>
            </w:r>
            <w:r>
              <w:rPr>
                <w:rFonts w:ascii="Aptos" w:hAnsi="Aptos"/>
                <w:b/>
                <w:color w:val="C00000"/>
                <w:sz w:val="22"/>
              </w:rPr>
              <w:t>score</w:t>
            </w:r>
            <w:r>
              <w:rPr>
                <w:rFonts w:ascii="Aptos" w:hAnsi="Aptos"/>
                <w:sz w:val="22"/>
              </w:rPr>
              <w:t xml:space="preserve"> (Thakar; points,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Cleveland Clinic Score – im übrigen Paper (Text, Tabelle 2) 5× mit großem „S“.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Überschrift „Table 2 — Discriminatory performance of …“</w:t>
            </w:r>
          </w:p>
        </w:tc>
        <w:tc>
          <w:tcPr>
            <w:tcW w:type="dxa" w:w="3609"/>
          </w:tcPr>
          <w:p>
            <w:pPr>
              <w:spacing w:after="0" w:before="0" w:line="276" w:lineRule="auto"/>
            </w:pPr>
            <w:r>
              <w:rPr>
                <w:rFonts w:ascii="Aptos" w:hAnsi="Aptos"/>
                <w:sz w:val="22"/>
              </w:rPr>
              <w:t>Table 2 — Discriminatory performance of the signatures and their comparators (AUC, sensitivity, specificity, Youden index)</w:t>
            </w:r>
            <w:r>
              <w:rPr>
                <w:rFonts w:ascii="Aptos" w:hAnsi="Aptos"/>
                <w:b/>
                <w:color w:val="C00000"/>
                <w:sz w:val="22"/>
              </w:rPr>
              <w:t>.</w:t>
            </w:r>
          </w:p>
        </w:tc>
        <w:tc>
          <w:tcPr>
            <w:tcW w:type="dxa" w:w="2918"/>
          </w:tcPr>
          <w:p>
            <w:pPr>
              <w:spacing w:after="0" w:before="0" w:line="276" w:lineRule="auto"/>
            </w:pPr>
            <w:r>
              <w:rPr>
                <w:rFonts w:ascii="Aptos" w:hAnsi="Aptos"/>
                <w:sz w:val="22"/>
              </w:rPr>
            </w:r>
            <w:r>
              <w:rPr>
                <w:rFonts w:ascii="Aptos" w:hAnsi="Aptos"/>
                <w:sz w:val="22"/>
              </w:rPr>
              <w:t>Punkt am Ende streichen – die Überschrift von Tabelle 1 endet ohne Punkt.</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Literatur Nr. 7 (Finn et al. 1996)</w:t>
            </w:r>
          </w:p>
        </w:tc>
        <w:tc>
          <w:tcPr>
            <w:tcW w:type="dxa" w:w="3609"/>
          </w:tcPr>
          <w:p>
            <w:pPr>
              <w:spacing w:after="0" w:before="0" w:line="276" w:lineRule="auto"/>
            </w:pPr>
            <w:r>
              <w:rPr>
                <w:rFonts w:ascii="Aptos" w:hAnsi="Aptos"/>
                <w:sz w:val="22"/>
              </w:rPr>
              <w:t xml:space="preserve">… </w:t>
            </w:r>
            <w:r>
              <w:rPr>
                <w:rFonts w:ascii="Aptos" w:hAnsi="Aptos"/>
                <w:sz w:val="22"/>
              </w:rPr>
              <w:t xml:space="preserve">on neutrophil CD11b/CD18 and </w:t>
            </w:r>
            <w:r>
              <w:rPr>
                <w:rFonts w:ascii="Aptos" w:hAnsi="Aptos"/>
                <w:b/>
                <w:color w:val="C00000"/>
                <w:sz w:val="22"/>
              </w:rPr>
              <w:t>l-selectin</w:t>
            </w:r>
            <w:r>
              <w:rPr>
                <w:rFonts w:ascii="Aptos" w:hAnsi="Aptos"/>
                <w:sz w:val="22"/>
              </w:rPr>
              <w:t xml:space="preserve"> expression and release of interleukin-8</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L-selectin (großes „L“, so auch im Haupttext „CD62L“/„L-selectin“ der Dissertation)</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Literatur Nr. 31 (Rinder et al.)</w:t>
            </w:r>
          </w:p>
        </w:tc>
        <w:tc>
          <w:tcPr>
            <w:tcW w:type="dxa" w:w="3609"/>
          </w:tcPr>
          <w:p>
            <w:pPr>
              <w:spacing w:after="0" w:before="0" w:line="276" w:lineRule="auto"/>
            </w:pPr>
            <w:r>
              <w:rPr>
                <w:rFonts w:ascii="Aptos" w:hAnsi="Aptos"/>
                <w:b/>
                <w:color w:val="C00000"/>
                <w:sz w:val="22"/>
              </w:rPr>
              <w:t>31. Rinder CS</w:t>
            </w:r>
            <w:r>
              <w:rPr>
                <w:rFonts w:ascii="Aptos" w:hAnsi="Aptos"/>
                <w:sz w:val="22"/>
              </w:rPr>
              <w:t>, Fontes M, Mathew JP</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Nach „31.“ fehlt der Tabulator, den alle anderen Einträge haben → Eintrag ist anders eingerückt (Formatierung).</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Literatur Nr. 41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(Lancet 2025) steht vermutlich ein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03_Dissertation_EN_Mandel_CSA-AKI.docx (Dissertation, ca. 29.500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Abkürzungsverzeichnis, Zeile DMEM/F12</w:t>
            </w:r>
          </w:p>
        </w:tc>
        <w:tc>
          <w:tcPr>
            <w:tcW w:type="dxa" w:w="3609"/>
          </w:tcPr>
          <w:p>
            <w:pPr>
              <w:spacing w:after="0" w:before="0" w:line="276" w:lineRule="auto"/>
            </w:pPr>
            <w:r>
              <w:rPr>
                <w:rFonts w:ascii="Aptos" w:hAnsi="Aptos"/>
                <w:sz w:val="22"/>
              </w:rPr>
              <w:t xml:space="preserve">… </w:t>
            </w:r>
            <w:r>
              <w:rPr>
                <w:rFonts w:ascii="Aptos" w:hAnsi="Aptos"/>
                <w:b/>
                <w:color w:val="C00000"/>
                <w:sz w:val="22"/>
              </w:rPr>
              <w:t>Dulbecco's</w:t>
            </w:r>
            <w:r>
              <w:rPr>
                <w:rFonts w:ascii="Aptos" w:hAnsi="Aptos"/>
                <w:sz w:val="22"/>
              </w:rPr>
              <w:t xml:space="preserve"> modified Eagle medium/Ham's F-12</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Dulbecco’s – Apostrophe sind gemischt: gerade (') in „Dulbecco's“, „Ham's“, „Hanks'“, „manufacturer's“ (2.11), „DeLong's test“ (2.13), „patients'“ (3.2) vs. typografisch (’) in „Dunn’s“, „Tukey’s“, „Fisher’s“ → einheitlich (Word: Suchen/Ersetzen ' → ’).</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Abkürzungsverzeichnis, Zeile SIRI</w:t>
            </w:r>
          </w:p>
        </w:tc>
        <w:tc>
          <w:tcPr>
            <w:tcW w:type="dxa" w:w="3609"/>
          </w:tcPr>
          <w:p>
            <w:pPr>
              <w:spacing w:after="0" w:before="0" w:line="276" w:lineRule="auto"/>
            </w:pPr>
            <w:r>
              <w:rPr>
                <w:rFonts w:ascii="Aptos" w:hAnsi="Aptos"/>
                <w:sz w:val="22"/>
              </w:rPr>
              <w:t xml:space="preserve">… </w:t>
            </w:r>
            <w:r>
              <w:rPr>
                <w:rFonts w:ascii="Aptos" w:hAnsi="Aptos"/>
                <w:sz w:val="22"/>
              </w:rPr>
              <w:t xml:space="preserve">SIRI │ systemic </w:t>
            </w:r>
            <w:r>
              <w:rPr>
                <w:rFonts w:ascii="Aptos" w:hAnsi="Aptos"/>
                <w:b/>
                <w:color w:val="C00000"/>
                <w:sz w:val="22"/>
              </w:rPr>
              <w:t>inflammation</w:t>
            </w:r>
            <w:r>
              <w:rPr>
                <w:rFonts w:ascii="Aptos" w:hAnsi="Aptos"/>
                <w:sz w:val="22"/>
              </w:rPr>
              <w:t xml:space="preserve"> response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Uneinheitlich zum Paper: dort „systemic inflammatory response index“ (so auch Titel von Lit. 40, Xie et al.). Innerhalb der Dissertation einheitlich „inflammation“ (auch in 1.6). Beide Varianten existieren in der Literatur – eine Form für beide Dokumente wählen.</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Abkürzungsverzeichnis, Zeile BMI</w:t>
            </w:r>
          </w:p>
        </w:tc>
        <w:tc>
          <w:tcPr>
            <w:tcW w:type="dxa" w:w="3609"/>
          </w:tcPr>
          <w:p>
            <w:pPr>
              <w:spacing w:after="0" w:before="0" w:line="276" w:lineRule="auto"/>
            </w:pPr>
            <w:r>
              <w:rPr>
                <w:rFonts w:ascii="Aptos" w:hAnsi="Aptos"/>
                <w:sz w:val="22"/>
              </w:rPr>
              <w:t xml:space="preserve">… </w:t>
            </w:r>
            <w:r>
              <w:rPr>
                <w:rFonts w:ascii="Aptos" w:hAnsi="Aptos"/>
                <w:sz w:val="22"/>
              </w:rPr>
              <w:t xml:space="preserve">BMI │ </w:t>
            </w:r>
            <w:r>
              <w:rPr>
                <w:rFonts w:ascii="Aptos" w:hAnsi="Aptos"/>
                <w:b/>
                <w:color w:val="C00000"/>
                <w:sz w:val="22"/>
              </w:rPr>
              <w:t>body-mass</w:t>
            </w:r>
            <w:r>
              <w:rPr>
                <w:rFonts w:ascii="Aptos" w:hAnsi="Aptos"/>
                <w:sz w:val="22"/>
              </w:rPr>
              <w:t xml:space="preserv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Dissertation durchgehend „body-mass index“ (4×), Paper „body mass index“ (3×) → für beide Dokumente eine Form wählen (üblich: body mass index).</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Abkürzungsverzeichnis, Zeile TLR</w:t>
            </w:r>
          </w:p>
        </w:tc>
        <w:tc>
          <w:tcPr>
            <w:tcW w:type="dxa" w:w="3609"/>
          </w:tcPr>
          <w:p>
            <w:pPr>
              <w:spacing w:after="0" w:before="0" w:line="276" w:lineRule="auto"/>
            </w:pPr>
            <w:r>
              <w:rPr>
                <w:rFonts w:ascii="Aptos" w:hAnsi="Aptos"/>
                <w:sz w:val="22"/>
              </w:rPr>
              <w:t xml:space="preserve">… </w:t>
            </w:r>
            <w:r>
              <w:rPr>
                <w:rFonts w:ascii="Aptos" w:hAnsi="Aptos"/>
                <w:sz w:val="22"/>
              </w:rPr>
              <w:t xml:space="preserve">TLR │ </w:t>
            </w:r>
            <w:r>
              <w:rPr>
                <w:rFonts w:ascii="Aptos" w:hAnsi="Aptos"/>
                <w:b/>
                <w:color w:val="C00000"/>
                <w:sz w:val="22"/>
              </w:rPr>
              <w:t>toll-like</w:t>
            </w:r>
            <w:r>
              <w:rPr>
                <w:rFonts w:ascii="Aptos" w:hAnsi="Aptos"/>
                <w:sz w:val="22"/>
              </w:rPr>
              <w:t xml:space="preserve"> receptor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Toll-like receptor (großes „T“, nach dem Toll-Gen benannt); ebenso in der Legende von Abb. 14 („TLR, toll-like receptor“).</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1.5 The Neutrophil Granulocyte as Effector Cell, Absatz 3</w:t>
            </w:r>
          </w:p>
        </w:tc>
        <w:tc>
          <w:tcPr>
            <w:tcW w:type="dxa" w:w="3609"/>
          </w:tcPr>
          <w:p>
            <w:pPr>
              <w:spacing w:after="0" w:before="0" w:line="276" w:lineRule="auto"/>
            </w:pPr>
            <w:r>
              <w:rPr>
                <w:rFonts w:ascii="Aptos" w:hAnsi="Aptos"/>
                <w:sz w:val="22"/>
              </w:rPr>
              <w:t xml:space="preserve">… </w:t>
            </w:r>
            <w:r>
              <w:rPr>
                <w:rFonts w:ascii="Aptos" w:hAnsi="Aptos"/>
                <w:sz w:val="22"/>
              </w:rPr>
              <w:t xml:space="preserve">The reciprocal pattern of CD11b </w:t>
            </w:r>
            <w:r>
              <w:rPr>
                <w:rFonts w:ascii="Aptos" w:hAnsi="Aptos"/>
                <w:b/>
                <w:color w:val="C00000"/>
                <w:sz w:val="22"/>
              </w:rPr>
              <w:t>upregulation</w:t>
            </w:r>
            <w:r>
              <w:rPr>
                <w:rFonts w:ascii="Aptos" w:hAnsi="Aptos"/>
                <w:sz w:val="22"/>
              </w:rPr>
              <w:t xml:space="preserve"> and CD62L shedding</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up-regulation – sonst durchgehend mit Bindestrich („up-regulate“ in 1.4, „up-regulation“/„down-regulation“ in 1.8).</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1</w:t>
            </w:r>
          </w:p>
        </w:tc>
        <w:tc>
          <w:tcPr>
            <w:tcW w:type="dxa" w:w="3609"/>
          </w:tcPr>
          <w:p>
            <w:pPr>
              <w:spacing w:after="0" w:before="0" w:line="276" w:lineRule="auto"/>
            </w:pPr>
            <w:r>
              <w:rPr>
                <w:rFonts w:ascii="Aptos" w:hAnsi="Aptos"/>
                <w:sz w:val="22"/>
              </w:rPr>
              <w:t xml:space="preserve">… </w:t>
            </w:r>
            <w:r>
              <w:rPr>
                <w:rFonts w:ascii="Aptos" w:hAnsi="Aptos"/>
                <w:sz w:val="22"/>
              </w:rPr>
              <w:t xml:space="preserve">an increase in serum creatinine by ≥ 0.3 mg/dL (≥ 26.5 µmol/L) within 48 </w:t>
            </w:r>
            <w:r>
              <w:rPr>
                <w:rFonts w:ascii="Aptos" w:hAnsi="Aptos"/>
                <w:b/>
                <w:color w:val="C00000"/>
                <w:sz w:val="22"/>
              </w:rPr>
              <w:t>hours</w:t>
            </w:r>
            <w:r>
              <w:rPr>
                <w:rFonts w:ascii="Aptos" w:hAnsi="Aptos"/>
                <w:sz w:val="22"/>
              </w:rPr>
              <w:t xml:space="preserve">, or (ii) an increase to ≥ 1.5-fold the baseline value within 7 days, or (iii) urine output &lt; 0.5 mL/kg/h for 6–12 consecutive </w:t>
            </w:r>
            <w:r>
              <w:rPr>
                <w:rFonts w:ascii="Aptos" w:hAnsi="Aptos"/>
                <w:b/>
                <w:color w:val="C00000"/>
                <w:sz w:val="22"/>
              </w:rPr>
              <w:t>hours</w:t>
            </w:r>
            <w:r>
              <w:rPr>
                <w:rFonts w:ascii="Aptos" w:hAnsi="Aptos"/>
                <w:sz w:val="22"/>
              </w:rPr>
              <w:t xml:space="preserve"> (stage 1), &lt; 0.5 mL/kg/h for ≥ 12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 h … 6–12 consecutive h – im selben Satz werden „hours“ und „h“ gemischt; im Methodenteil sonst „h“.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2</w:t>
            </w:r>
          </w:p>
        </w:tc>
        <w:tc>
          <w:tcPr>
            <w:tcW w:type="dxa" w:w="3609"/>
          </w:tcPr>
          <w:p>
            <w:pPr>
              <w:spacing w:after="0" w:before="0" w:line="276" w:lineRule="auto"/>
            </w:pPr>
            <w:r>
              <w:rPr>
                <w:rFonts w:ascii="Aptos" w:hAnsi="Aptos"/>
                <w:sz w:val="22"/>
              </w:rPr>
              <w:t xml:space="preserve">… </w:t>
            </w:r>
            <w:r>
              <w:rPr>
                <w:rFonts w:ascii="Aptos" w:hAnsi="Aptos"/>
                <w:sz w:val="22"/>
              </w:rPr>
              <w:t xml:space="preserve">could not be confirmed within a 48-h window; it was attributed to the </w:t>
            </w:r>
            <w:r>
              <w:rPr>
                <w:rFonts w:ascii="Aptos" w:hAnsi="Aptos"/>
                <w:b/>
                <w:color w:val="C00000"/>
                <w:sz w:val="22"/>
              </w:rPr>
              <w:t>48–120 h interval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48–120-h interval (wie „48-h window“ im selben Satz und im Paper „48–120-h interval“); ebenso in der Legende von Tabelle 10.</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2.5 Sample Collection and Time Points, Absatz 7</w:t>
            </w:r>
          </w:p>
        </w:tc>
        <w:tc>
          <w:tcPr>
            <w:tcW w:type="dxa" w:w="3609"/>
          </w:tcPr>
          <w:p>
            <w:pPr>
              <w:spacing w:after="0" w:before="0" w:line="276" w:lineRule="auto"/>
            </w:pPr>
            <w:r>
              <w:rPr>
                <w:rFonts w:ascii="Aptos" w:hAnsi="Aptos"/>
                <w:sz w:val="22"/>
              </w:rPr>
              <w:t xml:space="preserve">… </w:t>
            </w:r>
            <w:r>
              <w:rPr>
                <w:rFonts w:ascii="Aptos" w:hAnsi="Aptos"/>
                <w:sz w:val="22"/>
              </w:rPr>
              <w:t xml:space="preserve">The study design is summarised in </w:t>
            </w:r>
            <w:r>
              <w:rPr>
                <w:rFonts w:ascii="Aptos" w:hAnsi="Aptos"/>
                <w:b/>
                <w:color w:val="C00000"/>
                <w:sz w:val="22"/>
              </w:rPr>
              <w:t>Fig. 1</w:t>
            </w:r>
            <w:r>
              <w:rPr>
                <w:rFonts w:ascii="Aptos" w:hAnsi="Aptos"/>
                <w:sz w:val="22"/>
              </w:rPr>
              <w:t>.</w:t>
            </w:r>
          </w:p>
        </w:tc>
        <w:tc>
          <w:tcPr>
            <w:tcW w:type="dxa" w:w="2918"/>
          </w:tcPr>
          <w:p>
            <w:pPr>
              <w:spacing w:after="0" w:before="0" w:line="276" w:lineRule="auto"/>
            </w:pPr>
            <w:r>
              <w:rPr>
                <w:rFonts w:ascii="Aptos" w:hAnsi="Aptos"/>
                <w:sz w:val="22"/>
              </w:rPr>
            </w:r>
            <w:r>
              <w:rPr>
                <w:rFonts w:ascii="Aptos" w:hAnsi="Aptos"/>
                <w:sz w:val="22"/>
              </w:rPr>
              <w:t>Abbildungsverweise im Text gemischt: meist „Fig. N“ (42×), aber „Figures 8c, 10, 11 and 12“ / „Figures 1, 2, 13 and 14“ (2.15, Tab. 1) und „Figures 3–7 … Figure 11 … Figure 12“ (Legende Abb. 13) → einheitlich eine Form.</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2.9 Flow Cytometry (FACS) — Neutrophil Phenotype, Absatz 1</w:t>
            </w:r>
          </w:p>
        </w:tc>
        <w:tc>
          <w:tcPr>
            <w:tcW w:type="dxa" w:w="3609"/>
          </w:tcPr>
          <w:p>
            <w:pPr>
              <w:spacing w:after="0" w:before="0" w:line="276" w:lineRule="auto"/>
            </w:pPr>
            <w:r>
              <w:rPr>
                <w:rFonts w:ascii="Aptos" w:hAnsi="Aptos"/>
                <w:sz w:val="22"/>
              </w:rPr>
              <w:t xml:space="preserve">… </w:t>
            </w:r>
            <w:r>
              <w:rPr>
                <w:rFonts w:ascii="Aptos" w:hAnsi="Aptos"/>
                <w:sz w:val="22"/>
              </w:rPr>
              <w:t xml:space="preserve">(a cocktail-stimulated sample was additionally run but is not reported); the </w:t>
            </w:r>
            <w:r>
              <w:rPr>
                <w:rFonts w:ascii="Aptos" w:hAnsi="Aptos"/>
                <w:b/>
                <w:color w:val="C00000"/>
                <w:sz w:val="22"/>
              </w:rPr>
              <w:t>readout</w:t>
            </w:r>
            <w:r>
              <w:rPr>
                <w:rFonts w:ascii="Aptos" w:hAnsi="Aptos"/>
                <w:sz w:val="22"/>
              </w:rPr>
              <w:t xml:space="preserve"> reported here is the unstimulated antibody-stained sample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read-out – die Dissertation schreibt sonst „read-out“ (10×); „readout“ auch in 2.11 („the panel readout was not evaluable“).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2.12 In Vitro Model of the Neutrophil–Tubule Axis, Absatz 1</w:t>
            </w:r>
          </w:p>
        </w:tc>
        <w:tc>
          <w:tcPr>
            <w:tcW w:type="dxa" w:w="3609"/>
          </w:tcPr>
          <w:p>
            <w:pPr>
              <w:spacing w:after="0" w:before="0" w:line="276" w:lineRule="auto"/>
            </w:pPr>
            <w:r>
              <w:rPr>
                <w:rFonts w:ascii="Aptos" w:hAnsi="Aptos"/>
                <w:sz w:val="22"/>
              </w:rPr>
              <w:t xml:space="preserve">To test the postulated renal–immune </w:t>
            </w:r>
            <w:r>
              <w:rPr>
                <w:rFonts w:ascii="Aptos" w:hAnsi="Aptos"/>
                <w:b/>
                <w:color w:val="C00000"/>
                <w:sz w:val="22"/>
              </w:rPr>
              <w:t>crosstalk</w:t>
            </w:r>
            <w:r>
              <w:rPr>
                <w:rFonts w:ascii="Aptos" w:hAnsi="Aptos"/>
                <w:sz w:val="22"/>
              </w:rPr>
              <w:t xml:space="preserve"> axis experimentally</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cross-talk – in 1.4 und im Paper „cross-talk“; „crosstalk“ zusätzlich in 4.4 („renal–immune crosstalk“)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2.12.2 Stimulation Protocol, Absatz 2</w:t>
            </w:r>
          </w:p>
        </w:tc>
        <w:tc>
          <w:tcPr>
            <w:tcW w:type="dxa" w:w="3609"/>
          </w:tcPr>
          <w:p>
            <w:pPr>
              <w:spacing w:after="0" w:before="0" w:line="276" w:lineRule="auto"/>
            </w:pPr>
            <w:r>
              <w:rPr>
                <w:rFonts w:ascii="Aptos" w:hAnsi="Aptos"/>
                <w:sz w:val="22"/>
              </w:rPr>
              <w:t xml:space="preserve">… </w:t>
            </w:r>
            <w:r>
              <w:rPr>
                <w:rFonts w:ascii="Aptos" w:hAnsi="Aptos"/>
                <w:sz w:val="22"/>
              </w:rPr>
              <w:t xml:space="preserve">before </w:t>
            </w:r>
            <w:r>
              <w:rPr>
                <w:rFonts w:ascii="Aptos" w:hAnsi="Aptos"/>
                <w:b/>
                <w:color w:val="C00000"/>
                <w:sz w:val="22"/>
              </w:rPr>
              <w:t>ex-vivo</w:t>
            </w:r>
            <w:r>
              <w:rPr>
                <w:rFonts w:ascii="Aptos" w:hAnsi="Aptos"/>
                <w:sz w:val="22"/>
              </w:rPr>
              <w:t xml:space="preserve"> ageing of the isolate becomes relevant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ex vivo (ohne Bindestrich, wie „in vitro“/„in vivo“ in der ganzen Arbeit und „ex vivo“ im Paper)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3.1 Patient Characteristics, Absatz 2</w:t>
            </w:r>
          </w:p>
        </w:tc>
        <w:tc>
          <w:tcPr>
            <w:tcW w:type="dxa" w:w="3609"/>
          </w:tcPr>
          <w:p>
            <w:pPr>
              <w:spacing w:after="0" w:before="0" w:line="276" w:lineRule="auto"/>
            </w:pPr>
            <w:r>
              <w:rPr>
                <w:rFonts w:ascii="Aptos" w:hAnsi="Aptos"/>
                <w:sz w:val="22"/>
              </w:rPr>
              <w:t xml:space="preserve">… </w:t>
            </w:r>
            <w:r>
              <w:rPr>
                <w:rFonts w:ascii="Aptos" w:hAnsi="Aptos"/>
                <w:sz w:val="22"/>
              </w:rPr>
              <w:t xml:space="preserve">CSA-AKI patients were numerically older (median 66.5 </w:t>
            </w:r>
            <w:r>
              <w:rPr>
                <w:rFonts w:ascii="Aptos" w:hAnsi="Aptos"/>
                <w:b/>
                <w:color w:val="C00000"/>
                <w:sz w:val="22"/>
              </w:rPr>
              <w:t>vs.</w:t>
            </w:r>
            <w:r>
              <w:rPr>
                <w:rFonts w:ascii="Aptos" w:hAnsi="Aptos"/>
                <w:sz w:val="22"/>
              </w:rPr>
              <w:t xml:space="preserve"> 60.0 years, p = 0.16)</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„vs.“ (44×) und „versus“ (38×) werden in der Dissertation gemischt, teils im selben Absatz (z. B. 3.3.1) → einheitlich; das Paper verwendet nur „versus“.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3.2 Hypothesis 1 — Perioperative Neutrophil Reprogramming (Fig. 3), Absatz 3</w:t>
            </w:r>
          </w:p>
        </w:tc>
        <w:tc>
          <w:tcPr>
            <w:tcW w:type="dxa" w:w="3609"/>
          </w:tcPr>
          <w:p>
            <w:pPr>
              <w:spacing w:after="0" w:before="0" w:line="276" w:lineRule="auto"/>
            </w:pPr>
            <w:r>
              <w:rPr>
                <w:rFonts w:ascii="Aptos" w:hAnsi="Aptos"/>
                <w:sz w:val="22"/>
              </w:rPr>
              <w:t xml:space="preserve">Maturation </w:t>
            </w:r>
            <w:r>
              <w:rPr>
                <w:rFonts w:ascii="Aptos" w:hAnsi="Aptos"/>
                <w:b/>
                <w:color w:val="C00000"/>
                <w:sz w:val="22"/>
              </w:rPr>
              <w:t>left-shift</w:t>
            </w:r>
            <w:r>
              <w:rPr>
                <w:rFonts w:ascii="Aptos" w:hAnsi="Aptos"/>
                <w:sz w:val="22"/>
              </w:rPr>
              <w:t xml:space="preserve"> (24–48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Maturation left shift – sonst überall ohne Bindestrich (7×, z. B. 1.8, 4.2).</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14</w:t>
            </w:r>
          </w:p>
        </w:tc>
        <w:tc>
          <w:tcPr>
            <w:tcW w:type="dxa" w:w="1766"/>
          </w:tcPr>
          <w:p>
            <w:pPr>
              <w:spacing w:after="0" w:before="0" w:line="276" w:lineRule="auto"/>
            </w:pPr>
            <w:r>
              <w:rPr>
                <w:rFonts w:ascii="Aptos" w:hAnsi="Aptos"/>
                <w:sz w:val="22"/>
              </w:rPr>
            </w:r>
            <w:r>
              <w:rPr>
                <w:rFonts w:ascii="Aptos" w:hAnsi="Aptos"/>
                <w:sz w:val="22"/>
              </w:rPr>
              <w:t>Legende Tabelle 5</w:t>
            </w:r>
          </w:p>
        </w:tc>
        <w:tc>
          <w:tcPr>
            <w:tcW w:type="dxa" w:w="3609"/>
          </w:tcPr>
          <w:p>
            <w:pPr>
              <w:spacing w:after="0" w:before="0" w:line="276" w:lineRule="auto"/>
            </w:pPr>
            <w:r>
              <w:rPr>
                <w:rFonts w:ascii="Aptos" w:hAnsi="Aptos"/>
                <w:sz w:val="22"/>
              </w:rPr>
              <w:t xml:space="preserve">… </w:t>
            </w:r>
            <w:r>
              <w:rPr>
                <w:rFonts w:ascii="Aptos" w:hAnsi="Aptos"/>
                <w:sz w:val="22"/>
              </w:rPr>
              <w:t xml:space="preserve">Friedman test across the five patient time points (complete cases, n = 26; CD66b n = 24) with Dunn–Bonferroni </w:t>
            </w:r>
            <w:r>
              <w:rPr>
                <w:rFonts w:ascii="Aptos" w:hAnsi="Aptos"/>
                <w:b/>
                <w:color w:val="C00000"/>
                <w:sz w:val="22"/>
              </w:rPr>
              <w:t>post-hoc</w:t>
            </w:r>
            <w:r>
              <w:rPr>
                <w:rFonts w:ascii="Aptos" w:hAnsi="Aptos"/>
                <w:sz w:val="22"/>
              </w:rPr>
              <w: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with Dunn–Bonferroni post-hoc test; – „post-hoc“ ist ein Adjektiv, das Substantiv fehlt. Gleiche Formulierung in den Legenden von Tab. 6, 7, 8 und Abb. 4, 5, 6 (in 2.13 korrekt „Dunn’s post-hoc test“).</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15</w:t>
            </w:r>
          </w:p>
        </w:tc>
        <w:tc>
          <w:tcPr>
            <w:tcW w:type="dxa" w:w="1766"/>
          </w:tcPr>
          <w:p>
            <w:pPr>
              <w:spacing w:after="0" w:before="0" w:line="276" w:lineRule="auto"/>
            </w:pPr>
            <w:r>
              <w:rPr>
                <w:rFonts w:ascii="Aptos" w:hAnsi="Aptos"/>
                <w:sz w:val="22"/>
              </w:rPr>
            </w:r>
            <w:r>
              <w:rPr>
                <w:rFonts w:ascii="Aptos" w:hAnsi="Aptos"/>
                <w:sz w:val="22"/>
              </w:rPr>
              <w:t>3.4.4 RPTEC Supernatant after Exposure to PMN Supernatant (Fig. 12c), Absatz 6</w:t>
            </w:r>
          </w:p>
        </w:tc>
        <w:tc>
          <w:tcPr>
            <w:tcW w:type="dxa" w:w="3609"/>
          </w:tcPr>
          <w:p>
            <w:pPr>
              <w:spacing w:after="0" w:before="0" w:line="276" w:lineRule="auto"/>
            </w:pPr>
            <w:r>
              <w:rPr>
                <w:rFonts w:ascii="Aptos" w:hAnsi="Aptos"/>
                <w:sz w:val="22"/>
              </w:rPr>
              <w:t xml:space="preserve">… </w:t>
            </w:r>
            <w:r>
              <w:rPr>
                <w:rFonts w:ascii="Aptos" w:hAnsi="Aptos"/>
                <w:sz w:val="22"/>
              </w:rPr>
              <w:t xml:space="preserve">so these </w:t>
            </w:r>
            <w:r>
              <w:rPr>
                <w:rFonts w:ascii="Aptos" w:hAnsi="Aptos"/>
                <w:b/>
                <w:color w:val="C00000"/>
                <w:sz w:val="22"/>
              </w:rPr>
              <w:t>p values</w:t>
            </w:r>
            <w:r>
              <w:rPr>
                <w:rFonts w:ascii="Aptos" w:hAnsi="Aptos"/>
                <w:sz w:val="22"/>
              </w:rPr>
              <w:t xml:space="preserve"> are not interpretable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p-values – sonst durchgehend „p-value(s)“ (12×); ebenso 3.4.5 „an adjusted p value above 0.99“.</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16</w:t>
            </w:r>
          </w:p>
        </w:tc>
        <w:tc>
          <w:tcPr>
            <w:tcW w:type="dxa" w:w="1766"/>
          </w:tcPr>
          <w:p>
            <w:pPr>
              <w:spacing w:after="0" w:before="0" w:line="276" w:lineRule="auto"/>
            </w:pPr>
            <w:r>
              <w:rPr>
                <w:rFonts w:ascii="Aptos" w:hAnsi="Aptos"/>
                <w:sz w:val="22"/>
              </w:rPr>
            </w:r>
            <w:r>
              <w:rPr>
                <w:rFonts w:ascii="Aptos" w:hAnsi="Aptos"/>
                <w:sz w:val="22"/>
              </w:rPr>
              <w:t>Legende Abb. 14</w:t>
            </w:r>
          </w:p>
        </w:tc>
        <w:tc>
          <w:tcPr>
            <w:tcW w:type="dxa" w:w="3609"/>
          </w:tcPr>
          <w:p>
            <w:pPr>
              <w:spacing w:after="0" w:before="0" w:line="276" w:lineRule="auto"/>
            </w:pPr>
            <w:r>
              <w:rPr>
                <w:rFonts w:ascii="Aptos" w:hAnsi="Aptos"/>
                <w:sz w:val="22"/>
              </w:rPr>
              <w:t xml:space="preserve">… </w:t>
            </w:r>
            <w:r>
              <w:rPr>
                <w:rFonts w:ascii="Aptos" w:hAnsi="Aptos"/>
                <w:sz w:val="22"/>
              </w:rPr>
              <w:t xml:space="preserve">sCD40L, soluble CD40 ligand; </w:t>
            </w:r>
            <w:r>
              <w:rPr>
                <w:rFonts w:ascii="Aptos" w:hAnsi="Aptos"/>
                <w:b/>
                <w:color w:val="C00000"/>
                <w:sz w:val="22"/>
              </w:rPr>
              <w:t>sCrea</w:t>
            </w:r>
            <w:r>
              <w:rPr>
                <w:rFonts w:ascii="Aptos" w:hAnsi="Aptos"/>
                <w:sz w:val="22"/>
              </w:rPr>
              <w:t>, serum creatinine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sCr – im Abkürzungsverzeichnis und überall sonst „sCr“.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17</w:t>
            </w:r>
          </w:p>
        </w:tc>
        <w:tc>
          <w:tcPr>
            <w:tcW w:type="dxa" w:w="1766"/>
          </w:tcPr>
          <w:p>
            <w:pPr>
              <w:spacing w:after="0" w:before="0" w:line="276" w:lineRule="auto"/>
            </w:pPr>
            <w:r>
              <w:rPr>
                <w:rFonts w:ascii="Aptos" w:hAnsi="Aptos"/>
                <w:sz w:val="22"/>
              </w:rPr>
            </w:r>
            <w:r>
              <w:rPr>
                <w:rFonts w:ascii="Aptos" w:hAnsi="Aptos"/>
                <w:sz w:val="22"/>
              </w:rPr>
              <w:t>4.7 Conclusions,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whether it carries renal prognostic information and whether these hypothesis-generating findings can serve as an earlier trigger for biomarker-guided KDIGO bundles </w:t>
            </w:r>
            <w:r>
              <w:rPr>
                <w:rFonts w:ascii="Aptos" w:hAnsi="Aptos"/>
                <w:b/>
                <w:color w:val="C00000"/>
                <w:sz w:val="22"/>
              </w:rPr>
              <w:t>has</w:t>
            </w:r>
            <w:r>
              <w:rPr>
                <w:rFonts w:ascii="Aptos" w:hAnsi="Aptos"/>
                <w:sz w:val="22"/>
              </w:rPr>
              <w:t xml:space="preserve"> to be shown in an independent cohort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 have to be shown … – zwei mit „and“ verbundene „whether“-Sätze bilden ein Subjekt im Plural.</w:t>
            </w:r>
          </w:p>
        </w:tc>
        <w:tc>
          <w:tcPr>
            <w:tcW w:type="dxa" w:w="1113"/>
          </w:tcPr>
          <w:p>
            <w:pPr>
              <w:spacing w:after="0" w:before="0" w:line="276" w:lineRule="auto"/>
            </w:pPr>
            <w:r>
              <w:rPr>
                <w:rFonts w:ascii="Aptos" w:hAnsi="Aptos"/>
                <w:sz w:val="22"/>
              </w:rPr>
            </w:r>
            <w:r>
              <w:rPr>
                <w:rFonts w:ascii="Aptos" w:hAnsi="Aptos"/>
                <w:sz w:val="22"/>
              </w:rPr>
              <w:t>Grammatik</w:t>
            </w:r>
          </w:p>
        </w:tc>
      </w:tr>
      <w:tr>
        <w:trPr>
          <w:cantSplit w:val="true"/>
        </w:trPr>
        <w:tc>
          <w:tcPr>
            <w:tcW w:type="dxa" w:w="460"/>
          </w:tcPr>
          <w:p>
            <w:pPr>
              <w:spacing w:after="0" w:before="0" w:line="276" w:lineRule="auto"/>
            </w:pPr>
            <w:r>
              <w:rPr>
                <w:rFonts w:ascii="Aptos" w:hAnsi="Aptos"/>
                <w:sz w:val="22"/>
              </w:rPr>
            </w:r>
            <w:r>
              <w:rPr>
                <w:rFonts w:ascii="Aptos" w:hAnsi="Aptos"/>
                <w:sz w:val="22"/>
              </w:rPr>
              <w:t>18</w:t>
            </w:r>
          </w:p>
        </w:tc>
        <w:tc>
          <w:tcPr>
            <w:tcW w:type="dxa" w:w="1766"/>
          </w:tcPr>
          <w:p>
            <w:pPr>
              <w:spacing w:after="0" w:before="0" w:line="276" w:lineRule="auto"/>
            </w:pPr>
            <w:r>
              <w:rPr>
                <w:rFonts w:ascii="Aptos" w:hAnsi="Aptos"/>
                <w:sz w:val="22"/>
              </w:rPr>
            </w:r>
            <w:r>
              <w:rPr>
                <w:rFonts w:ascii="Aptos" w:hAnsi="Aptos"/>
                <w:sz w:val="22"/>
              </w:rPr>
              <w:t>Literatur Nr. 43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vermutlich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19</w:t>
            </w:r>
          </w:p>
        </w:tc>
        <w:tc>
          <w:tcPr>
            <w:tcW w:type="dxa" w:w="1766"/>
          </w:tcPr>
          <w:p>
            <w:pPr>
              <w:spacing w:after="0" w:before="0" w:line="276" w:lineRule="auto"/>
            </w:pPr>
            <w:r>
              <w:rPr>
                <w:rFonts w:ascii="Aptos" w:hAnsi="Aptos"/>
                <w:sz w:val="22"/>
              </w:rPr>
            </w:r>
            <w:r>
              <w:rPr>
                <w:rFonts w:ascii="Aptos" w:hAnsi="Aptos"/>
                <w:sz w:val="22"/>
              </w:rPr>
              <w:t>Curriculum Vitae, Zeile Scholarship</w:t>
            </w:r>
          </w:p>
        </w:tc>
        <w:tc>
          <w:tcPr>
            <w:tcW w:type="dxa" w:w="3609"/>
          </w:tcPr>
          <w:p>
            <w:pPr>
              <w:spacing w:after="0" w:before="0" w:line="276" w:lineRule="auto"/>
            </w:pPr>
            <w:r>
              <w:rPr>
                <w:rFonts w:ascii="Aptos" w:hAnsi="Aptos"/>
                <w:sz w:val="22"/>
              </w:rPr>
              <w:t xml:space="preserve">… </w:t>
            </w:r>
            <w:r>
              <w:rPr>
                <w:rFonts w:ascii="Aptos" w:hAnsi="Aptos"/>
                <w:b/>
                <w:color w:val="C00000"/>
                <w:sz w:val="22"/>
              </w:rPr>
              <w:t>Scholarship</w:t>
            </w:r>
            <w:r>
              <w:rPr>
                <w:rFonts w:ascii="Aptos" w:hAnsi="Aptos"/>
                <w:sz w:val="22"/>
              </w:rPr>
              <w:t xml:space="preserve"> │ Doctoral programme “Experimental Medicine”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Scholarships – es folgen zwei Stipendien (Promotionsprogramm und PROMOS).</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Hinweise zur Prüfung</w:t>
      </w:r>
    </w:p>
    <w:p>
      <w:pPr>
        <w:spacing w:after="0" w:before="0" w:line="276" w:lineRule="auto"/>
      </w:pPr>
      <w:r>
        <w:rPr>
          <w:rFonts w:ascii="Aptos" w:hAnsi="Aptos"/>
          <w:sz w:val="22"/>
        </w:rPr>
        <w:t>• Der Text beider Dateien ließ sich vollständig auslesen (Paper ca. 10.900, Dissertation ca. 29.500 Wörter inkl. Tabellen und Literatur). Fußnoten und Änderungsverfolgung sind nicht vorhanden.</w:t>
      </w:r>
    </w:p>
    <w:p>
      <w:pPr>
        <w:spacing w:after="0" w:before="0" w:line="276" w:lineRule="auto"/>
      </w:pPr>
      <w:r>
        <w:rPr>
          <w:rFonts w:ascii="Aptos" w:hAnsi="Aptos"/>
          <w:sz w:val="22"/>
        </w:rPr>
        <w:t>• Bilder und Beschriftungen innerhalb der Abbildungen wurden wie vereinbart nicht geprüft (im Paper enthalten die vier Textfelder nur die Feldbuchstaben a/b).</w:t>
      </w:r>
    </w:p>
    <w:p>
      <w:pPr>
        <w:spacing w:after="0" w:before="0" w:line="276" w:lineRule="auto"/>
      </w:pPr>
      <w:r>
        <w:rPr>
          <w:rFonts w:ascii="Aptos" w:hAnsi="Aptos"/>
          <w:sz w:val="22"/>
        </w:rPr>
        <w:t>• Abbildungs- und Tabellennummern der Dissertation sind automatische Word-Felder; sie wurden über das Abbildungs- und Tabellenverzeichnis abgeglichen und sind lückenlos (Abb. 1–14, Tab. 1–11).</w:t>
      </w:r>
    </w:p>
    <w:p>
      <w:pPr>
        <w:spacing w:after="0" w:before="0" w:line="276" w:lineRule="auto"/>
      </w:pPr>
      <w:r>
        <w:rPr>
          <w:rFonts w:ascii="Aptos" w:hAnsi="Aptos"/>
          <w:sz w:val="22"/>
        </w:rPr>
        <w:t>• Bewusst nicht gemeldet: korrekte Fachbegriffe, Gen-/Proteinnamen und Abkürzungen, britische Schreibweise (durchgehend einheitlich: haemoglobin, ischaemia, centre, normalise, programme), die CRediT-Fachbegriffe „Conceptualization“/„Visualization“ (feste Bezeichnungen), sowie Titel im Literaturverzeichnis, die so im Original erscheinen.</w:t>
      </w:r>
    </w:p>
    <w:p>
      <w:pPr>
        <w:spacing w:after="0" w:before="0" w:line="276" w:lineRule="auto"/>
      </w:pPr>
      <w:r>
        <w:rPr>
          <w:rFonts w:ascii="Aptos" w:hAnsi="Aptos"/>
          <w:sz w:val="22"/>
        </w:rPr>
        <w:t>• Unterschied zwischen den Dokumenten ohne Fehlerwert: Das Paper schreibt Prozent ohne Leerzeichen („30.8%“), die Dissertation mit Leerzeichen („30.8 %“) – jeweils in sich einheitlich.</w:t>
      </w:r>
    </w:p>
    <w:p>
      <w:r>
        <w:br w:type="page"/>
      </w:r>
    </w:p>
    <w:p>
      <w:pPr>
        <w:pStyle w:val="Heading1"/>
        <w:spacing w:before="0" w:after="0" w:line="276" w:lineRule="auto"/>
      </w:pPr>
      <w:r>
        <w:rPr>
          <w:rFonts w:ascii="Aptos" w:hAnsi="Aptos"/>
          <w:b/>
          <w:sz w:val="40"/>
        </w:rPr>
        <w:t>Formatierungsprüfung (Stand 07.10.2026)</w:t>
      </w:r>
    </w:p>
    <w:p>
      <w:pPr>
        <w:spacing w:before="0" w:after="0" w:line="276" w:lineRule="auto"/>
      </w:pPr>
      <w:r>
        <w:rPr>
          <w:rFonts w:ascii="Aptos" w:hAnsi="Aptos"/>
          <w:b w:val="0"/>
          <w:sz w:val="22"/>
        </w:rPr>
        <w:t>Geprüft wurden Absatzausrichtung (Blocksatz), Schriftart/-größe, Zeilenabstand, Überschriften-Nummerierung, Leerzeichen, leere Absätze, Tabellen, Hervorhebungen und Seitenränder in beiden Dateien. Die Originale wurden nicht verändert.</w:t>
      </w:r>
    </w:p>
    <w:p>
      <w:pPr>
        <w:spacing w:before="0" w:after="0" w:line="276" w:lineRule="auto"/>
      </w:pPr>
      <w:r>
        <w:rPr>
          <w:rFonts w:ascii="Aptos" w:hAnsi="Aptos"/>
          <w:b w:val="0"/>
          <w:sz w:val="22"/>
        </w:rPr>
      </w:r>
    </w:p>
    <w:p>
      <w:pPr>
        <w:pStyle w:val="Heading1"/>
        <w:spacing w:before="0" w:after="0" w:line="276" w:lineRule="auto"/>
      </w:pPr>
      <w:r>
        <w:rPr>
          <w:rFonts w:ascii="Aptos" w:hAnsi="Aptos"/>
          <w:b/>
          <w:sz w:val="30"/>
        </w:rPr>
        <w:t>A. Dissertation: Absätze ohne Blocksatz</w:t>
      </w:r>
    </w:p>
    <w:p>
      <w:pPr>
        <w:spacing w:before="0" w:after="0" w:line="276" w:lineRule="auto"/>
      </w:pPr>
      <w:r>
        <w:rPr>
          <w:rFonts w:ascii="Aptos" w:hAnsi="Aptos"/>
          <w:b w:val="0"/>
          <w:sz w:val="22"/>
        </w:rPr>
        <w:t>Der übrige Fließtext der Dissertation steht im Blocksatz, diese 38 Textabsätze nicht (Standard-Ausrichtung = linksbündig). Lösung: Absatz markieren und Strg+J drücken (oder Start → Blocksatz). Das Literaturverzeichnis ist linksbündig und das ist in Ordnung. Das Paper hat diesen Fehler nicht.</w:t>
      </w:r>
    </w:p>
    <w:p>
      <w:pPr>
        <w:spacing w:before="0" w:after="0" w:line="276" w:lineRule="auto"/>
      </w:pPr>
      <w:r>
        <w:rPr>
          <w:rFonts w:ascii="Aptos" w:hAnsi="Aptos"/>
          <w:b w:val="0"/>
          <w:sz w:val="22"/>
        </w:rPr>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trPr>
        <w:tc>
          <w:tcPr>
            <w:tcW w:type="dxa" w:w="510"/>
            <w:shd w:val="clear" w:color="auto" w:fill="D9E2F3"/>
          </w:tcPr>
          <w:p>
            <w:pPr>
              <w:spacing w:before="0" w:after="0" w:line="276" w:lineRule="auto"/>
            </w:pPr>
            <w:r/>
            <w:r>
              <w:rPr>
                <w:rFonts w:ascii="Aptos" w:hAnsi="Aptos"/>
                <w:b/>
                <w:sz w:val="20"/>
              </w:rPr>
              <w:t>Nr.</w:t>
            </w:r>
          </w:p>
        </w:tc>
        <w:tc>
          <w:tcPr>
            <w:tcW w:type="dxa" w:w="2381"/>
            <w:shd w:val="clear" w:color="auto" w:fill="D9E2F3"/>
          </w:tcPr>
          <w:p>
            <w:pPr>
              <w:spacing w:before="0" w:after="0" w:line="276" w:lineRule="auto"/>
            </w:pPr>
            <w:r/>
            <w:r>
              <w:rPr>
                <w:rFonts w:ascii="Aptos" w:hAnsi="Aptos"/>
                <w:b/>
                <w:sz w:val="20"/>
              </w:rPr>
              <w:t>Abschnitt</w:t>
            </w:r>
          </w:p>
        </w:tc>
        <w:tc>
          <w:tcPr>
            <w:tcW w:type="dxa" w:w="907"/>
            <w:shd w:val="clear" w:color="auto" w:fill="D9E2F3"/>
          </w:tcPr>
          <w:p>
            <w:pPr>
              <w:spacing w:before="0" w:after="0" w:line="276" w:lineRule="auto"/>
            </w:pPr>
            <w:r/>
            <w:r>
              <w:rPr>
                <w:rFonts w:ascii="Aptos" w:hAnsi="Aptos"/>
                <w:b/>
                <w:sz w:val="20"/>
              </w:rPr>
              <w:t>Absatz im Abschnitt</w:t>
            </w:r>
          </w:p>
        </w:tc>
        <w:tc>
          <w:tcPr>
            <w:tcW w:type="dxa" w:w="4535"/>
            <w:shd w:val="clear" w:color="auto" w:fill="D9E2F3"/>
          </w:tcPr>
          <w:p>
            <w:pPr>
              <w:spacing w:before="0" w:after="0" w:line="276" w:lineRule="auto"/>
            </w:pPr>
            <w:r/>
            <w:r>
              <w:rPr>
                <w:rFonts w:ascii="Aptos" w:hAnsi="Aptos"/>
                <w:b/>
                <w:sz w:val="20"/>
              </w:rPr>
              <w:t>Textanfang</w:t>
            </w:r>
          </w:p>
        </w:tc>
        <w:tc>
          <w:tcPr>
            <w:tcW w:type="dxa" w:w="1871"/>
            <w:shd w:val="clear" w:color="auto" w:fill="D9E2F3"/>
          </w:tcPr>
          <w:p>
            <w:pPr>
              <w:spacing w:before="0" w:after="0" w:line="276" w:lineRule="auto"/>
            </w:pPr>
            <w:r/>
            <w:r>
              <w:rPr>
                <w:rFonts w:ascii="Aptos" w:hAnsi="Aptos"/>
                <w:b/>
                <w:sz w:val="20"/>
              </w:rPr>
              <w:t>Hinweis</w:t>
            </w:r>
          </w:p>
        </w:tc>
      </w:tr>
      <w:tr>
        <w:tc>
          <w:tcPr>
            <w:tcW w:type="dxa" w:w="510"/>
          </w:tcPr>
          <w:p>
            <w:pPr>
              <w:spacing w:before="0" w:after="0" w:line="276" w:lineRule="auto"/>
            </w:pPr>
            <w:r/>
            <w:r>
              <w:rPr>
                <w:rFonts w:ascii="Aptos" w:hAnsi="Aptos"/>
                <w:b w:val="0"/>
                <w:sz w:val="20"/>
              </w:rPr>
              <w:t>1</w:t>
            </w:r>
          </w:p>
        </w:tc>
        <w:tc>
          <w:tcPr>
            <w:tcW w:type="dxa" w:w="2381"/>
          </w:tcPr>
          <w:p>
            <w:pPr>
              <w:spacing w:before="0" w:after="0" w:line="276" w:lineRule="auto"/>
            </w:pPr>
            <w:r/>
            <w:r>
              <w:rPr>
                <w:rFonts w:ascii="Aptos" w:hAnsi="Aptos"/>
                <w:b w:val="0"/>
                <w:sz w:val="20"/>
              </w:rPr>
              <w:t>Titelseite / Vorspann</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Mandel R, Jovanovski D, Wohlgemuth L, Jovanovska M, Hasaj A, Schütte L…</w:t>
            </w:r>
          </w:p>
        </w:tc>
        <w:tc>
          <w:tcPr>
            <w:tcW w:type="dxa" w:w="1871"/>
          </w:tcPr>
          <w:p>
            <w:pPr>
              <w:spacing w:before="0" w:after="0" w:line="276" w:lineRule="auto"/>
            </w:pPr>
            <w:r/>
            <w:r>
              <w:rPr>
                <w:rFonts w:ascii="Aptos" w:hAnsi="Aptos"/>
                <w:b w:val="0"/>
                <w:sz w:val="20"/>
              </w:rPr>
              <w:t>Titelseite/Publikationsangabe – ggf. bewusst linksbündig</w:t>
            </w:r>
          </w:p>
        </w:tc>
      </w:tr>
      <w:tr>
        <w:tc>
          <w:tcPr>
            <w:tcW w:type="dxa" w:w="510"/>
          </w:tcPr>
          <w:p>
            <w:pPr>
              <w:spacing w:before="0" w:after="0" w:line="276" w:lineRule="auto"/>
            </w:pPr>
            <w:r/>
            <w:r>
              <w:rPr>
                <w:rFonts w:ascii="Aptos" w:hAnsi="Aptos"/>
                <w:b w:val="0"/>
                <w:sz w:val="20"/>
              </w:rPr>
              <w:t>2</w:t>
            </w:r>
          </w:p>
        </w:tc>
        <w:tc>
          <w:tcPr>
            <w:tcW w:type="dxa" w:w="2381"/>
          </w:tcPr>
          <w:p>
            <w:pPr>
              <w:spacing w:before="0" w:after="0" w:line="276" w:lineRule="auto"/>
            </w:pPr>
            <w:r/>
            <w:r>
              <w:rPr>
                <w:rFonts w:ascii="Aptos" w:hAnsi="Aptos"/>
                <w:b w:val="0"/>
                <w:sz w:val="20"/>
              </w:rPr>
              <w:t>2.1 Materials, Instruments and Software</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Reagents, cell culture materials, instruments and software of both par…</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w:t>
            </w:r>
          </w:p>
        </w:tc>
        <w:tc>
          <w:tcPr>
            <w:tcW w:type="dxa" w:w="2381"/>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Kidney Function Panel 1 (9 analytes): IGFBP-7, β2-microglobulin, cysta…</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4</w:t>
            </w:r>
          </w:p>
        </w:tc>
        <w:tc>
          <w:tcPr>
            <w:tcW w:type="dxa" w:w="2381"/>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Vascular Inflammation Panel 1-S/P (BioLegend 740590, 13-plex): myoglob…</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5</w:t>
            </w:r>
          </w:p>
        </w:tc>
        <w:tc>
          <w:tcPr>
            <w:tcW w:type="dxa" w:w="2381"/>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3</w:t>
            </w:r>
          </w:p>
        </w:tc>
        <w:tc>
          <w:tcPr>
            <w:tcW w:type="dxa" w:w="4535"/>
          </w:tcPr>
          <w:p>
            <w:pPr>
              <w:spacing w:before="0" w:after="0" w:line="276" w:lineRule="auto"/>
            </w:pPr>
            <w:r/>
            <w:r>
              <w:rPr>
                <w:rFonts w:ascii="Aptos" w:hAnsi="Aptos"/>
                <w:b w:val="0"/>
                <w:sz w:val="20"/>
              </w:rPr>
              <w:t>Thrombosis Panel, 7-plex (BioLegend 740906): P-selectin, D-dimer, PSGL…</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6</w:t>
            </w:r>
          </w:p>
        </w:tc>
        <w:tc>
          <w:tcPr>
            <w:tcW w:type="dxa" w:w="2381"/>
          </w:tcPr>
          <w:p>
            <w:pPr>
              <w:spacing w:before="0" w:after="0" w:line="276" w:lineRule="auto"/>
            </w:pPr>
            <w:r/>
            <w:r>
              <w:rPr>
                <w:rFonts w:ascii="Aptos" w:hAnsi="Aptos"/>
                <w:b w:val="0"/>
                <w:sz w:val="20"/>
              </w:rPr>
              <w:t>2.12 In Vitro Model of the Neutrophil–Tubule Axis</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To test the postulated renal–immune crosstalk axis experimentally (ups…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7</w:t>
            </w:r>
          </w:p>
        </w:tc>
        <w:tc>
          <w:tcPr>
            <w:tcW w:type="dxa" w:w="2381"/>
          </w:tcPr>
          <w:p>
            <w:pPr>
              <w:spacing w:before="0" w:after="0" w:line="276" w:lineRule="auto"/>
            </w:pPr>
            <w:r/>
            <w:r>
              <w:rPr>
                <w:rFonts w:ascii="Aptos" w:hAnsi="Aptos"/>
                <w:b w:val="0"/>
                <w:sz w:val="20"/>
              </w:rPr>
              <w:t>2.12.1 Isolation of Polymorphonuclear Neutrophil Granulocytes (PMNs)</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PMNs were isolated from citrated venous whole blood of healthy volunte…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8</w:t>
            </w:r>
          </w:p>
        </w:tc>
        <w:tc>
          <w:tcPr>
            <w:tcW w:type="dxa" w:w="2381"/>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Each reaction (250,000 PMNs in 125 µL; § 2.12.1) was incubated in a 37…</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9</w:t>
            </w:r>
          </w:p>
        </w:tc>
        <w:tc>
          <w:tcPr>
            <w:tcW w:type="dxa" w:w="2381"/>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Three time series were acquired and must be kept apart. The stimulatio…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10</w:t>
            </w:r>
          </w:p>
        </w:tc>
        <w:tc>
          <w:tcPr>
            <w:tcW w:type="dxa" w:w="2381"/>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Staining, washing and fixation followed a fixed sequence. After the in…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11</w:t>
            </w:r>
          </w:p>
        </w:tc>
        <w:tc>
          <w:tcPr>
            <w:tcW w:type="dxa" w:w="2381"/>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The stimulation and feedback series (runs V3.1–V3.7 and U1–U4) were st…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12</w:t>
            </w:r>
          </w:p>
        </w:tc>
        <w:tc>
          <w:tcPr>
            <w:tcW w:type="dxa" w:w="2381"/>
          </w:tcPr>
          <w:p>
            <w:pPr>
              <w:spacing w:before="0" w:after="0" w:line="276" w:lineRule="auto"/>
            </w:pPr>
            <w:r/>
            <w:r>
              <w:rPr>
                <w:rFonts w:ascii="Aptos" w:hAnsi="Aptos"/>
                <w:b w:val="0"/>
                <w:sz w:val="20"/>
              </w:rPr>
              <w:t>2.12.4 ELISA of PMN Supernatant</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For the supernatant read-out, separate tubes of the cocktail and fMLF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13</w:t>
            </w:r>
          </w:p>
        </w:tc>
        <w:tc>
          <w:tcPr>
            <w:tcW w:type="dxa" w:w="2381"/>
          </w:tcPr>
          <w:p>
            <w:pPr>
              <w:spacing w:before="0" w:after="0" w:line="276" w:lineRule="auto"/>
            </w:pPr>
            <w:r/>
            <w:r>
              <w:rPr>
                <w:rFonts w:ascii="Aptos" w:hAnsi="Aptos"/>
                <w:b w:val="0"/>
                <w:sz w:val="20"/>
              </w:rPr>
              <w:t>2.12.5 RPTEC Exposure and LEGENDplex Kidney Function Panel</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RPTEC/TERT1 cells (Evercyte, Vienna, Austria) were maintained in ProxU…</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14</w:t>
            </w:r>
          </w:p>
        </w:tc>
        <w:tc>
          <w:tcPr>
            <w:tcW w:type="dxa" w:w="2381"/>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The conditioned media from § 2.12.5 were applied to freshly isolated,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15</w:t>
            </w:r>
          </w:p>
        </w:tc>
        <w:tc>
          <w:tcPr>
            <w:tcW w:type="dxa" w:w="2381"/>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The primary contrast of this step is RPTEC-M (c) against RPTEC-M (r),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16</w:t>
            </w:r>
          </w:p>
        </w:tc>
        <w:tc>
          <w:tcPr>
            <w:tcW w:type="dxa" w:w="2381"/>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3</w:t>
            </w:r>
          </w:p>
        </w:tc>
        <w:tc>
          <w:tcPr>
            <w:tcW w:type="dxa" w:w="4535"/>
          </w:tcPr>
          <w:p>
            <w:pPr>
              <w:spacing w:before="0" w:after="0" w:line="276" w:lineRule="auto"/>
            </w:pPr>
            <w:r/>
            <w:r>
              <w:rPr>
                <w:rFonts w:ascii="Aptos" w:hAnsi="Aptos"/>
                <w:b w:val="0"/>
                <w:sz w:val="20"/>
              </w:rPr>
              <w:t>Read-out: CD11b and CD62L median fluorescence intensity at 0, 5, 15 an…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17</w:t>
            </w:r>
          </w:p>
        </w:tc>
        <w:tc>
          <w:tcPr>
            <w:tcW w:type="dxa" w:w="2381"/>
          </w:tcPr>
          <w:p>
            <w:pPr>
              <w:spacing w:before="0" w:after="0" w:line="276" w:lineRule="auto"/>
            </w:pPr>
            <w:r/>
            <w:r>
              <w:rPr>
                <w:rFonts w:ascii="Aptos" w:hAnsi="Aptos"/>
                <w:b w:val="0"/>
                <w:sz w:val="20"/>
              </w:rPr>
              <w:t>2.12.7 Statistical Analysis of the In Vitro Data</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ELISA data: two-way repeated-measures ANOVA with matching on both fact…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18</w:t>
            </w:r>
          </w:p>
        </w:tc>
        <w:tc>
          <w:tcPr>
            <w:tcW w:type="dxa" w:w="2381"/>
          </w:tcPr>
          <w:p>
            <w:pPr>
              <w:spacing w:before="0" w:after="0" w:line="276" w:lineRule="auto"/>
            </w:pPr>
            <w:r/>
            <w:r>
              <w:rPr>
                <w:rFonts w:ascii="Aptos" w:hAnsi="Aptos"/>
                <w:b w:val="0"/>
                <w:sz w:val="20"/>
              </w:rPr>
              <w:t>2.14 Own Contribution and Collaborations</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The clinical study was conducted within the parent study (§ 2.2). Pati…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19</w:t>
            </w:r>
          </w:p>
        </w:tc>
        <w:tc>
          <w:tcPr>
            <w:tcW w:type="dxa" w:w="2381"/>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Stimulation of isolated PMNs with the cardiac inflammatory cocktail ra…</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20</w:t>
            </w:r>
          </w:p>
        </w:tc>
        <w:tc>
          <w:tcPr>
            <w:tcW w:type="dxa" w:w="2381"/>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In the two-way repeated-measures model for CD11b (5, 15 and 30 min) bo…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21</w:t>
            </w:r>
          </w:p>
        </w:tc>
        <w:tc>
          <w:tcPr>
            <w:tcW w:type="dxa" w:w="2381"/>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ELISA of the PMN supernatant (six sets, 30 min and 1 h of stimulation)…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22</w:t>
            </w:r>
          </w:p>
        </w:tc>
        <w:tc>
          <w:tcPr>
            <w:tcW w:type="dxa" w:w="2381"/>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None of these differences was carried by the omnibus test. In the two-…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23</w:t>
            </w:r>
          </w:p>
        </w:tc>
        <w:tc>
          <w:tcPr>
            <w:tcW w:type="dxa" w:w="2381"/>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3</w:t>
            </w:r>
          </w:p>
        </w:tc>
        <w:tc>
          <w:tcPr>
            <w:tcW w:type="dxa" w:w="4535"/>
          </w:tcPr>
          <w:p>
            <w:pPr>
              <w:spacing w:before="0" w:after="0" w:line="276" w:lineRule="auto"/>
            </w:pPr>
            <w:r/>
            <w:r>
              <w:rPr>
                <w:rFonts w:ascii="Aptos" w:hAnsi="Aptos"/>
                <w:b w:val="0"/>
                <w:sz w:val="20"/>
              </w:rPr>
              <w:t>None of the four analytes is a constituent of the cocktail (§ 2.12.2).…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24</w:t>
            </w:r>
          </w:p>
        </w:tc>
        <w:tc>
          <w:tcPr>
            <w:tcW w:type="dxa" w:w="2381"/>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The multiplex panel did not show a tubular stress response to the neut…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25</w:t>
            </w:r>
          </w:p>
        </w:tc>
        <w:tc>
          <w:tcPr>
            <w:tcW w:type="dxa" w:w="2381"/>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Three analytes could not be compared at all. β2-microglobulin exceeded…</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26</w:t>
            </w:r>
          </w:p>
        </w:tc>
        <w:tc>
          <w:tcPr>
            <w:tcW w:type="dxa" w:w="2381"/>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3</w:t>
            </w:r>
          </w:p>
        </w:tc>
        <w:tc>
          <w:tcPr>
            <w:tcW w:type="dxa" w:w="4535"/>
          </w:tcPr>
          <w:p>
            <w:pPr>
              <w:spacing w:before="0" w:after="0" w:line="276" w:lineRule="auto"/>
            </w:pPr>
            <w:r/>
            <w:r>
              <w:rPr>
                <w:rFonts w:ascii="Aptos" w:hAnsi="Aptos"/>
                <w:b w:val="0"/>
                <w:sz w:val="20"/>
              </w:rPr>
              <w:t>The remaining three analytes differed between the arms. Clusterin was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27</w:t>
            </w:r>
          </w:p>
        </w:tc>
        <w:tc>
          <w:tcPr>
            <w:tcW w:type="dxa" w:w="2381"/>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4</w:t>
            </w:r>
          </w:p>
        </w:tc>
        <w:tc>
          <w:tcPr>
            <w:tcW w:type="dxa" w:w="4535"/>
          </w:tcPr>
          <w:p>
            <w:pPr>
              <w:spacing w:before="0" w:after="0" w:line="276" w:lineRule="auto"/>
            </w:pPr>
            <w:r/>
            <w:r>
              <w:rPr>
                <w:rFonts w:ascii="Aptos" w:hAnsi="Aptos"/>
                <w:b w:val="0"/>
                <w:sz w:val="20"/>
              </w:rPr>
              <w:t>The arm exposed to the supernatant of vehicle-held PMNs moved in the 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28</w:t>
            </w:r>
          </w:p>
        </w:tc>
        <w:tc>
          <w:tcPr>
            <w:tcW w:type="dxa" w:w="2381"/>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The feedback step did not reproduce the activation pattern of the dire…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29</w:t>
            </w:r>
          </w:p>
        </w:tc>
        <w:tc>
          <w:tcPr>
            <w:tcW w:type="dxa" w:w="2381"/>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In the primary contrast, RPTEC-M (c) against RPTEC-M (r) (§ 2.12.6), 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30</w:t>
            </w:r>
          </w:p>
        </w:tc>
        <w:tc>
          <w:tcPr>
            <w:tcW w:type="dxa" w:w="2381"/>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3</w:t>
            </w:r>
          </w:p>
        </w:tc>
        <w:tc>
          <w:tcPr>
            <w:tcW w:type="dxa" w:w="4535"/>
          </w:tcPr>
          <w:p>
            <w:pPr>
              <w:spacing w:before="0" w:after="0" w:line="276" w:lineRule="auto"/>
            </w:pPr>
            <w:r/>
            <w:r>
              <w:rPr>
                <w:rFonts w:ascii="Aptos" w:hAnsi="Aptos"/>
                <w:b w:val="0"/>
                <w:sz w:val="20"/>
              </w:rPr>
              <w:t>For comparison, in the upstream experiment the cocktail had raised CD1…</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31</w:t>
            </w:r>
          </w:p>
        </w:tc>
        <w:tc>
          <w:tcPr>
            <w:tcW w:type="dxa" w:w="2381"/>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4</w:t>
            </w:r>
          </w:p>
        </w:tc>
        <w:tc>
          <w:tcPr>
            <w:tcW w:type="dxa" w:w="4535"/>
          </w:tcPr>
          <w:p>
            <w:pPr>
              <w:spacing w:before="0" w:after="0" w:line="276" w:lineRule="auto"/>
            </w:pPr>
            <w:r/>
            <w:r>
              <w:rPr>
                <w:rFonts w:ascii="Aptos" w:hAnsi="Aptos"/>
                <w:b w:val="0"/>
                <w:sz w:val="20"/>
              </w:rPr>
              <w:t>One arm did respond: RPTEC-M (f) raised CD11b to 6,234 MFI, roughly 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32</w:t>
            </w:r>
          </w:p>
        </w:tc>
        <w:tc>
          <w:tcPr>
            <w:tcW w:type="dxa" w:w="2381"/>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The in vitro experiments (§ 3.4.2–3.4.5) were designed as a causal bri…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33</w:t>
            </w:r>
          </w:p>
        </w:tc>
        <w:tc>
          <w:tcPr>
            <w:tcW w:type="dxa" w:w="2381"/>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The in vitro setup has limitations of its own. The tubular compartment…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34</w:t>
            </w:r>
          </w:p>
        </w:tc>
        <w:tc>
          <w:tcPr>
            <w:tcW w:type="dxa" w:w="2381"/>
          </w:tcPr>
          <w:p>
            <w:pPr>
              <w:spacing w:before="0" w:after="0" w:line="276" w:lineRule="auto"/>
            </w:pPr>
            <w:r/>
            <w:r>
              <w:rPr>
                <w:rFonts w:ascii="Aptos" w:hAnsi="Aptos"/>
                <w:b w:val="0"/>
                <w:sz w:val="20"/>
              </w:rPr>
              <w:t>4.6 Clinical Implications and Outlook</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Two hypotheses for validation emerge. The first is intraoperative rule…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35</w:t>
            </w:r>
          </w:p>
        </w:tc>
        <w:tc>
          <w:tcPr>
            <w:tcW w:type="dxa" w:w="2381"/>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1</w:t>
            </w:r>
          </w:p>
        </w:tc>
        <w:tc>
          <w:tcPr>
            <w:tcW w:type="dxa" w:w="4535"/>
          </w:tcPr>
          <w:p>
            <w:pPr>
              <w:spacing w:before="0" w:after="0" w:line="276" w:lineRule="auto"/>
            </w:pPr>
            <w:r/>
            <w:r>
              <w:rPr>
                <w:rFonts w:ascii="Aptos" w:hAnsi="Aptos"/>
                <w:b w:val="0"/>
                <w:sz w:val="20"/>
              </w:rPr>
              <w:t>Cardiac surgery-associated acute kidney injury (CSA-AKI) occurs in 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36</w:t>
            </w:r>
          </w:p>
        </w:tc>
        <w:tc>
          <w:tcPr>
            <w:tcW w:type="dxa" w:w="2381"/>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2</w:t>
            </w:r>
          </w:p>
        </w:tc>
        <w:tc>
          <w:tcPr>
            <w:tcW w:type="dxa" w:w="4535"/>
          </w:tcPr>
          <w:p>
            <w:pPr>
              <w:spacing w:before="0" w:after="0" w:line="276" w:lineRule="auto"/>
            </w:pPr>
            <w:r/>
            <w:r>
              <w:rPr>
                <w:rFonts w:ascii="Aptos" w:hAnsi="Aptos"/>
                <w:b w:val="0"/>
                <w:sz w:val="20"/>
              </w:rPr>
              <w:t>In a prospective single-centre observational study, 26 adult patients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37</w:t>
            </w:r>
          </w:p>
        </w:tc>
        <w:tc>
          <w:tcPr>
            <w:tcW w:type="dxa" w:w="2381"/>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3</w:t>
            </w:r>
          </w:p>
        </w:tc>
        <w:tc>
          <w:tcPr>
            <w:tcW w:type="dxa" w:w="4535"/>
          </w:tcPr>
          <w:p>
            <w:pPr>
              <w:spacing w:before="0" w:after="0" w:line="276" w:lineRule="auto"/>
            </w:pPr>
            <w:r/>
            <w:r>
              <w:rPr>
                <w:rFonts w:ascii="Aptos" w:hAnsi="Aptos"/>
                <w:b w:val="0"/>
                <w:sz w:val="20"/>
              </w:rPr>
              <w:t>Eight of 26 patients (30.8 %) developed CSA-AKI. CPB induced an intrao…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38</w:t>
            </w:r>
          </w:p>
        </w:tc>
        <w:tc>
          <w:tcPr>
            <w:tcW w:type="dxa" w:w="2381"/>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4</w:t>
            </w:r>
          </w:p>
        </w:tc>
        <w:tc>
          <w:tcPr>
            <w:tcW w:type="dxa" w:w="4535"/>
          </w:tcPr>
          <w:p>
            <w:pPr>
              <w:spacing w:before="0" w:after="0" w:line="276" w:lineRule="auto"/>
            </w:pPr>
            <w:r/>
            <w:r>
              <w:rPr>
                <w:rFonts w:ascii="Aptos" w:hAnsi="Aptos"/>
                <w:b w:val="0"/>
                <w:sz w:val="20"/>
              </w:rPr>
              <w:t>This work characterises a two-phase neutrophil reprogramming during ca…</w:t>
            </w:r>
          </w:p>
        </w:tc>
        <w:tc>
          <w:tcPr>
            <w:tcW w:type="dxa" w:w="1871"/>
          </w:tcPr>
          <w:p>
            <w:pPr>
              <w:spacing w:before="0" w:after="0" w:line="276" w:lineRule="auto"/>
            </w:pPr>
            <w:r/>
            <w:r>
              <w:rPr>
                <w:rFonts w:ascii="Aptos" w:hAnsi="Aptos"/>
                <w:b w:val="0"/>
                <w:sz w:val="20"/>
              </w:rPr>
            </w:r>
          </w:p>
        </w:tc>
      </w:tr>
    </w:tbl>
    <w:p>
      <w:pPr>
        <w:spacing w:before="0" w:after="0" w:line="276" w:lineRule="auto"/>
      </w:pPr>
      <w:r>
        <w:rPr>
          <w:rFonts w:ascii="Aptos" w:hAnsi="Aptos"/>
          <w:b w:val="0"/>
          <w:sz w:val="22"/>
        </w:rPr>
      </w:r>
    </w:p>
    <w:p>
      <w:pPr>
        <w:pStyle w:val="Heading1"/>
        <w:spacing w:before="0" w:after="0" w:line="276" w:lineRule="auto"/>
      </w:pPr>
      <w:r>
        <w:rPr>
          <w:rFonts w:ascii="Aptos" w:hAnsi="Aptos"/>
          <w:b/>
          <w:sz w:val="30"/>
        </w:rPr>
        <w:t>B. Weitere Formatierungsbefunde</w:t>
      </w:r>
    </w:p>
    <w:p>
      <w:pPr>
        <w:spacing w:before="0" w:after="0" w:line="276" w:lineRule="auto"/>
      </w:pPr>
      <w:r>
        <w:rPr>
          <w:rFonts w:ascii="Aptos" w:hAnsi="Aptos"/>
          <w:b w:val="0"/>
          <w:sz w:val="22"/>
        </w:rPr>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trPr>
        <w:tc>
          <w:tcPr>
            <w:tcW w:type="dxa" w:w="1247"/>
            <w:shd w:val="clear" w:color="auto" w:fill="D9E2F3"/>
          </w:tcPr>
          <w:p>
            <w:pPr>
              <w:spacing w:before="0" w:after="0" w:line="276" w:lineRule="auto"/>
            </w:pPr>
            <w:r/>
            <w:r>
              <w:rPr>
                <w:rFonts w:ascii="Aptos" w:hAnsi="Aptos"/>
                <w:b/>
                <w:sz w:val="20"/>
              </w:rPr>
              <w:t>Datei</w:t>
            </w:r>
          </w:p>
        </w:tc>
        <w:tc>
          <w:tcPr>
            <w:tcW w:type="dxa" w:w="3742"/>
            <w:shd w:val="clear" w:color="auto" w:fill="D9E2F3"/>
          </w:tcPr>
          <w:p>
            <w:pPr>
              <w:spacing w:before="0" w:after="0" w:line="276" w:lineRule="auto"/>
            </w:pPr>
            <w:r/>
            <w:r>
              <w:rPr>
                <w:rFonts w:ascii="Aptos" w:hAnsi="Aptos"/>
                <w:b/>
                <w:sz w:val="20"/>
              </w:rPr>
              <w:t>Stelle</w:t>
            </w:r>
          </w:p>
        </w:tc>
        <w:tc>
          <w:tcPr>
            <w:tcW w:type="dxa" w:w="2438"/>
            <w:shd w:val="clear" w:color="auto" w:fill="D9E2F3"/>
          </w:tcPr>
          <w:p>
            <w:pPr>
              <w:spacing w:before="0" w:after="0" w:line="276" w:lineRule="auto"/>
            </w:pPr>
            <w:r/>
            <w:r>
              <w:rPr>
                <w:rFonts w:ascii="Aptos" w:hAnsi="Aptos"/>
                <w:b/>
                <w:sz w:val="20"/>
              </w:rPr>
              <w:t>Befund</w:t>
            </w:r>
          </w:p>
        </w:tc>
        <w:tc>
          <w:tcPr>
            <w:tcW w:type="dxa" w:w="2778"/>
            <w:shd w:val="clear" w:color="auto" w:fill="D9E2F3"/>
          </w:tcPr>
          <w:p>
            <w:pPr>
              <w:spacing w:before="0" w:after="0" w:line="276" w:lineRule="auto"/>
            </w:pPr>
            <w:r/>
            <w:r>
              <w:rPr>
                <w:rFonts w:ascii="Aptos" w:hAnsi="Aptos"/>
                <w:b/>
                <w:sz w:val="20"/>
              </w:rPr>
              <w:t>Empfehlung</w:t>
            </w:r>
          </w:p>
        </w:tc>
      </w:tr>
      <w:tr>
        <w:tc>
          <w:tcPr>
            <w:tcW w:type="dxa" w:w="1247"/>
          </w:tcPr>
          <w:p>
            <w:pPr>
              <w:spacing w:before="0" w:after="0" w:line="276" w:lineRule="auto"/>
            </w:pPr>
            <w:r/>
            <w:r>
              <w:rPr>
                <w:rFonts w:ascii="Aptos" w:hAnsi="Aptos"/>
                <w:b w:val="0"/>
                <w:sz w:val="20"/>
              </w:rPr>
              <w:t>Dissertation</w:t>
            </w:r>
          </w:p>
        </w:tc>
        <w:tc>
          <w:tcPr>
            <w:tcW w:type="dxa" w:w="3742"/>
          </w:tcPr>
          <w:p>
            <w:pPr>
              <w:spacing w:before="0" w:after="0" w:line="276" w:lineRule="auto"/>
            </w:pPr>
            <w:r/>
            <w:r>
              <w:rPr>
                <w:rFonts w:ascii="Aptos" w:hAnsi="Aptos"/>
                <w:b w:val="0"/>
                <w:sz w:val="20"/>
              </w:rPr>
              <w:t>Titelseite: Publikationsangabe „[Manuscript in preparation … journal, volume, pages and DOI …]“</w:t>
            </w:r>
          </w:p>
        </w:tc>
        <w:tc>
          <w:tcPr>
            <w:tcW w:type="dxa" w:w="2438"/>
          </w:tcPr>
          <w:p>
            <w:pPr>
              <w:spacing w:before="0" w:after="0" w:line="276" w:lineRule="auto"/>
            </w:pPr>
            <w:r/>
            <w:r>
              <w:rPr>
                <w:rFonts w:ascii="Aptos" w:hAnsi="Aptos"/>
                <w:b w:val="0"/>
                <w:sz w:val="20"/>
              </w:rPr>
              <w:t>Gelb markierter Platzhalter</w:t>
            </w:r>
          </w:p>
        </w:tc>
        <w:tc>
          <w:tcPr>
            <w:tcW w:type="dxa" w:w="2778"/>
          </w:tcPr>
          <w:p>
            <w:pPr>
              <w:spacing w:before="0" w:after="0" w:line="276" w:lineRule="auto"/>
            </w:pPr>
            <w:r/>
            <w:r>
              <w:rPr>
                <w:rFonts w:ascii="Aptos" w:hAnsi="Aptos"/>
                <w:b w:val="0"/>
                <w:sz w:val="20"/>
              </w:rPr>
              <w:t>Vor Abgabe ausfüllen und Markierung entfernen</w:t>
            </w:r>
          </w:p>
        </w:tc>
      </w:tr>
      <w:tr>
        <w:tc>
          <w:tcPr>
            <w:tcW w:type="dxa" w:w="1247"/>
          </w:tcPr>
          <w:p>
            <w:pPr>
              <w:spacing w:before="0" w:after="0" w:line="276" w:lineRule="auto"/>
            </w:pPr>
            <w:r/>
            <w:r>
              <w:rPr>
                <w:rFonts w:ascii="Aptos" w:hAnsi="Aptos"/>
                <w:b w:val="0"/>
                <w:sz w:val="20"/>
              </w:rPr>
              <w:t>Dissertation</w:t>
            </w:r>
          </w:p>
        </w:tc>
        <w:tc>
          <w:tcPr>
            <w:tcW w:type="dxa" w:w="3742"/>
          </w:tcPr>
          <w:p>
            <w:pPr>
              <w:spacing w:before="0" w:after="0" w:line="276" w:lineRule="auto"/>
            </w:pPr>
            <w:r/>
            <w:r>
              <w:rPr>
                <w:rFonts w:ascii="Aptos" w:hAnsi="Aptos"/>
                <w:b w:val="0"/>
                <w:sz w:val="20"/>
              </w:rPr>
              <w:t>Legenden zu 3 Abbildungen (Perioperative kinetics of four urinary…, …of the…, Cut-off stratification…)</w:t>
            </w:r>
          </w:p>
        </w:tc>
        <w:tc>
          <w:tcPr>
            <w:tcW w:type="dxa" w:w="2438"/>
          </w:tcPr>
          <w:p>
            <w:pPr>
              <w:spacing w:before="0" w:after="0" w:line="276" w:lineRule="auto"/>
            </w:pPr>
            <w:r/>
            <w:r>
              <w:rPr>
                <w:rFonts w:ascii="Aptos" w:hAnsi="Aptos"/>
                <w:b w:val="0"/>
                <w:sz w:val="20"/>
              </w:rPr>
              <w:t>Legende beginnt mit einem Leerzeichen</w:t>
            </w:r>
          </w:p>
        </w:tc>
        <w:tc>
          <w:tcPr>
            <w:tcW w:type="dxa" w:w="2778"/>
          </w:tcPr>
          <w:p>
            <w:pPr>
              <w:spacing w:before="0" w:after="0" w:line="276" w:lineRule="auto"/>
            </w:pPr>
            <w:r/>
            <w:r>
              <w:rPr>
                <w:rFonts w:ascii="Aptos" w:hAnsi="Aptos"/>
                <w:b w:val="0"/>
                <w:sz w:val="20"/>
              </w:rPr>
              <w:t>Führendes Leerzeichen löschen</w:t>
            </w:r>
          </w:p>
        </w:tc>
      </w:tr>
      <w:tr>
        <w:tc>
          <w:tcPr>
            <w:tcW w:type="dxa" w:w="1247"/>
          </w:tcPr>
          <w:p>
            <w:pPr>
              <w:spacing w:before="0" w:after="0" w:line="276" w:lineRule="auto"/>
            </w:pPr>
            <w:r/>
            <w:r>
              <w:rPr>
                <w:rFonts w:ascii="Aptos" w:hAnsi="Aptos"/>
                <w:b w:val="0"/>
                <w:sz w:val="20"/>
              </w:rPr>
              <w:t>Dissertation</w:t>
            </w:r>
          </w:p>
        </w:tc>
        <w:tc>
          <w:tcPr>
            <w:tcW w:type="dxa" w:w="3742"/>
          </w:tcPr>
          <w:p>
            <w:pPr>
              <w:spacing w:before="0" w:after="0" w:line="276" w:lineRule="auto"/>
            </w:pPr>
            <w:r>
              <w:t>Leere Absätze im Vorspann (zwischen Titelseite und „List of Abbreviations“), vor „List of Tables“ (2), vor „Acknowledgements“ (2) und am Dateiende (1)</w:t>
            </w:r>
          </w:p>
        </w:tc>
        <w:tc>
          <w:tcPr>
            <w:tcW w:type="dxa" w:w="2438"/>
          </w:tcPr>
          <w:p>
            <w:pPr>
              <w:spacing w:before="0" w:after="0" w:line="276" w:lineRule="auto"/>
            </w:pPr>
            <w:r/>
            <w:r>
              <w:rPr>
                <w:rFonts w:ascii="Aptos" w:hAnsi="Aptos"/>
                <w:b w:val="0"/>
                <w:sz w:val="20"/>
              </w:rPr>
              <w:t>Leere Absätze als Abstandshalter</w:t>
            </w:r>
          </w:p>
        </w:tc>
        <w:tc>
          <w:tcPr>
            <w:tcW w:type="dxa" w:w="2778"/>
          </w:tcPr>
          <w:p>
            <w:pPr>
              <w:spacing w:before="0" w:after="0" w:line="276" w:lineRule="auto"/>
            </w:pPr>
            <w:r/>
            <w:r>
              <w:rPr>
                <w:rFonts w:ascii="Aptos" w:hAnsi="Aptos"/>
                <w:b w:val="0"/>
                <w:sz w:val="20"/>
              </w:rPr>
              <w:t>Durch Seitenumbruch bzw. Absatzabstand ersetzen (kosmetisch)</w:t>
            </w:r>
          </w:p>
        </w:tc>
      </w:tr>
      <w:tr>
        <w:tc>
          <w:tcPr>
            <w:tcW w:type="dxa" w:w="1247"/>
          </w:tcPr>
          <w:p>
            <w:pPr>
              <w:spacing w:before="0" w:after="0" w:line="276" w:lineRule="auto"/>
            </w:pPr>
            <w:r/>
            <w:r>
              <w:rPr>
                <w:rFonts w:ascii="Aptos" w:hAnsi="Aptos"/>
                <w:b w:val="0"/>
                <w:sz w:val="20"/>
              </w:rPr>
              <w:t>Dissertation</w:t>
            </w:r>
          </w:p>
        </w:tc>
        <w:tc>
          <w:tcPr>
            <w:tcW w:type="dxa" w:w="3742"/>
          </w:tcPr>
          <w:p>
            <w:pPr>
              <w:spacing w:before="0" w:after="0" w:line="276" w:lineRule="auto"/>
            </w:pPr>
            <w:r/>
            <w:r>
              <w:rPr>
                <w:rFonts w:ascii="Aptos" w:hAnsi="Aptos"/>
                <w:b w:val="0"/>
                <w:sz w:val="20"/>
              </w:rPr>
              <w:t>Tabellenschrift uneinheitlich</w:t>
            </w:r>
          </w:p>
        </w:tc>
        <w:tc>
          <w:tcPr>
            <w:tcW w:type="dxa" w:w="2438"/>
          </w:tcPr>
          <w:p>
            <w:pPr>
              <w:spacing w:before="0" w:after="0" w:line="276" w:lineRule="auto"/>
            </w:pPr>
            <w:r/>
            <w:r>
              <w:rPr>
                <w:rFonts w:ascii="Aptos" w:hAnsi="Aptos"/>
                <w:b w:val="0"/>
                <w:sz w:val="20"/>
              </w:rPr>
              <w:t>Abkürzungsverzeichnis 11 pt, Materialtabelle 9 pt ohne größere Kopfzeile, Lebenslauf 10 pt, übrige Tabellen 9 pt (Kopf 10 pt)</w:t>
            </w:r>
          </w:p>
        </w:tc>
        <w:tc>
          <w:tcPr>
            <w:tcW w:type="dxa" w:w="2778"/>
          </w:tcPr>
          <w:p>
            <w:pPr>
              <w:spacing w:before="0" w:after="0" w:line="276" w:lineRule="auto"/>
            </w:pPr>
            <w:r/>
            <w:r>
              <w:rPr>
                <w:rFonts w:ascii="Aptos" w:hAnsi="Aptos"/>
                <w:b w:val="0"/>
                <w:sz w:val="20"/>
              </w:rPr>
              <w:t>Prüfen, ob gewollt; sonst angleichen (kosmetisch)</w:t>
            </w:r>
          </w:p>
        </w:tc>
      </w:tr>
      <w:tr>
        <w:tc>
          <w:tcPr>
            <w:tcW w:type="dxa" w:w="1247"/>
          </w:tcPr>
          <w:p>
            <w:pPr>
              <w:spacing w:before="0" w:after="0" w:line="276" w:lineRule="auto"/>
            </w:pPr>
            <w:r/>
            <w:r>
              <w:rPr>
                <w:rFonts w:ascii="Aptos" w:hAnsi="Aptos"/>
                <w:b w:val="0"/>
                <w:sz w:val="20"/>
              </w:rPr>
              <w:t>Dissertation</w:t>
            </w:r>
          </w:p>
        </w:tc>
        <w:tc>
          <w:tcPr>
            <w:tcW w:type="dxa" w:w="3742"/>
          </w:tcPr>
          <w:p>
            <w:pPr>
              <w:spacing w:before="0" w:after="0" w:line="276" w:lineRule="auto"/>
            </w:pPr>
            <w:r/>
            <w:r>
              <w:rPr>
                <w:rFonts w:ascii="Aptos" w:hAnsi="Aptos"/>
                <w:b w:val="0"/>
                <w:sz w:val="20"/>
              </w:rPr>
              <w:t>Abbildungs- und Tabellennummern</w:t>
            </w:r>
          </w:p>
        </w:tc>
        <w:tc>
          <w:tcPr>
            <w:tcW w:type="dxa" w:w="2438"/>
          </w:tcPr>
          <w:p>
            <w:pPr>
              <w:spacing w:before="0" w:after="0" w:line="276" w:lineRule="auto"/>
            </w:pPr>
            <w:r/>
            <w:r>
              <w:rPr>
                <w:rFonts w:ascii="Aptos" w:hAnsi="Aptos"/>
                <w:b w:val="0"/>
                <w:sz w:val="20"/>
              </w:rPr>
              <w:t>Automatische Felder, beim Auslesen ohne Zahl sichtbar</w:t>
            </w:r>
          </w:p>
        </w:tc>
        <w:tc>
          <w:tcPr>
            <w:tcW w:type="dxa" w:w="2778"/>
          </w:tcPr>
          <w:p>
            <w:pPr>
              <w:spacing w:before="0" w:after="0" w:line="276" w:lineRule="auto"/>
            </w:pPr>
            <w:r/>
            <w:r>
              <w:rPr>
                <w:rFonts w:ascii="Aptos" w:hAnsi="Aptos"/>
                <w:b w:val="0"/>
                <w:sz w:val="20"/>
              </w:rPr>
              <w:t>Kein Fehler. In Word einmal Strg+A, F9 drücken, damit alles aktuell ist</w:t>
            </w:r>
          </w:p>
        </w:tc>
      </w:tr>
      <w:tr>
        <w:tc>
          <w:tcPr>
            <w:tcW w:type="dxa" w:w="1247"/>
          </w:tcPr>
          <w:p>
            <w:pPr>
              <w:spacing w:before="0" w:after="0" w:line="276" w:lineRule="auto"/>
            </w:pPr>
            <w:r/>
            <w:r>
              <w:rPr>
                <w:rFonts w:ascii="Aptos" w:hAnsi="Aptos"/>
                <w:b w:val="0"/>
                <w:sz w:val="20"/>
              </w:rPr>
              <w:t>Paper</w:t>
            </w:r>
          </w:p>
        </w:tc>
        <w:tc>
          <w:tcPr>
            <w:tcW w:type="dxa" w:w="3742"/>
          </w:tcPr>
          <w:p>
            <w:pPr>
              <w:spacing w:before="0" w:after="0" w:line="276" w:lineRule="auto"/>
            </w:pPr>
            <w:r/>
            <w:r>
              <w:rPr>
                <w:rFonts w:ascii="Aptos" w:hAnsi="Aptos"/>
                <w:b w:val="0"/>
                <w:sz w:val="20"/>
              </w:rPr>
              <w:t>Declarations: „Funding. [TODO: insert funding statement (DFG consortium / other grant numbers)]“</w:t>
            </w:r>
          </w:p>
        </w:tc>
        <w:tc>
          <w:tcPr>
            <w:tcW w:type="dxa" w:w="2438"/>
          </w:tcPr>
          <w:p>
            <w:pPr>
              <w:spacing w:before="0" w:after="0" w:line="276" w:lineRule="auto"/>
            </w:pPr>
            <w:r/>
            <w:r>
              <w:rPr>
                <w:rFonts w:ascii="Aptos" w:hAnsi="Aptos"/>
                <w:b w:val="0"/>
                <w:sz w:val="20"/>
              </w:rPr>
              <w:t>Gelb markierter Platzhalter</w:t>
            </w:r>
          </w:p>
        </w:tc>
        <w:tc>
          <w:tcPr>
            <w:tcW w:type="dxa" w:w="2778"/>
          </w:tcPr>
          <w:p>
            <w:pPr>
              <w:spacing w:before="0" w:after="0" w:line="276" w:lineRule="auto"/>
            </w:pPr>
            <w:r/>
            <w:r>
              <w:rPr>
                <w:rFonts w:ascii="Aptos" w:hAnsi="Aptos"/>
                <w:b w:val="0"/>
                <w:sz w:val="20"/>
              </w:rPr>
              <w:t>Text ergänzen, Markierung entfernen</w:t>
            </w:r>
          </w:p>
        </w:tc>
      </w:tr>
      <w:tr>
        <w:tc>
          <w:tcPr>
            <w:tcW w:type="dxa" w:w="1247"/>
          </w:tcPr>
          <w:p>
            <w:pPr>
              <w:spacing w:before="0" w:after="0" w:line="276" w:lineRule="auto"/>
            </w:pPr>
            <w:r/>
            <w:r>
              <w:rPr>
                <w:rFonts w:ascii="Aptos" w:hAnsi="Aptos"/>
                <w:b w:val="0"/>
                <w:sz w:val="20"/>
              </w:rPr>
              <w:t>Paper</w:t>
            </w:r>
          </w:p>
        </w:tc>
        <w:tc>
          <w:tcPr>
            <w:tcW w:type="dxa" w:w="3742"/>
          </w:tcPr>
          <w:p>
            <w:pPr>
              <w:spacing w:before="0" w:after="0" w:line="276" w:lineRule="auto"/>
            </w:pPr>
            <w:r/>
            <w:r>
              <w:rPr>
                <w:rFonts w:ascii="Aptos" w:hAnsi="Aptos"/>
                <w:b w:val="0"/>
                <w:sz w:val="20"/>
              </w:rPr>
              <w:t>Declarations: „Acknowledgements. [TODO: list study nurses, KIZ biometrics, …]“</w:t>
            </w:r>
          </w:p>
        </w:tc>
        <w:tc>
          <w:tcPr>
            <w:tcW w:type="dxa" w:w="2438"/>
          </w:tcPr>
          <w:p>
            <w:pPr>
              <w:spacing w:before="0" w:after="0" w:line="276" w:lineRule="auto"/>
            </w:pPr>
            <w:r/>
            <w:r>
              <w:rPr>
                <w:rFonts w:ascii="Aptos" w:hAnsi="Aptos"/>
                <w:b w:val="0"/>
                <w:sz w:val="20"/>
              </w:rPr>
              <w:t>Gelb markierter Platzhalter</w:t>
            </w:r>
          </w:p>
        </w:tc>
        <w:tc>
          <w:tcPr>
            <w:tcW w:type="dxa" w:w="2778"/>
          </w:tcPr>
          <w:p>
            <w:pPr>
              <w:spacing w:before="0" w:after="0" w:line="276" w:lineRule="auto"/>
            </w:pPr>
            <w:r/>
            <w:r>
              <w:rPr>
                <w:rFonts w:ascii="Aptos" w:hAnsi="Aptos"/>
                <w:b w:val="0"/>
                <w:sz w:val="20"/>
              </w:rPr>
              <w:t>Text ergänzen, Markierung entfernen</w:t>
            </w:r>
          </w:p>
        </w:tc>
      </w:tr>
      <w:tr>
        <w:tc>
          <w:tcPr>
            <w:tcW w:type="dxa" w:w="1247"/>
          </w:tcPr>
          <w:p>
            <w:pPr>
              <w:spacing w:before="0" w:after="0" w:line="276" w:lineRule="auto"/>
            </w:pPr>
            <w:r/>
            <w:r>
              <w:rPr>
                <w:rFonts w:ascii="Aptos" w:hAnsi="Aptos"/>
                <w:b w:val="0"/>
                <w:sz w:val="20"/>
              </w:rPr>
              <w:t>Paper</w:t>
            </w:r>
          </w:p>
        </w:tc>
        <w:tc>
          <w:tcPr>
            <w:tcW w:type="dxa" w:w="3742"/>
          </w:tcPr>
          <w:p>
            <w:pPr>
              <w:spacing w:before="0" w:after="0" w:line="276" w:lineRule="auto"/>
            </w:pPr>
            <w:r>
              <w:t>Vier leere Absätze im Tabellenbereich und am Dateiende</w:t>
            </w:r>
          </w:p>
        </w:tc>
        <w:tc>
          <w:tcPr>
            <w:tcW w:type="dxa" w:w="2438"/>
          </w:tcPr>
          <w:p>
            <w:pPr>
              <w:spacing w:before="0" w:after="0" w:line="276" w:lineRule="auto"/>
            </w:pPr>
            <w:r/>
            <w:r>
              <w:rPr>
                <w:rFonts w:ascii="Aptos" w:hAnsi="Aptos"/>
                <w:b w:val="0"/>
                <w:sz w:val="20"/>
              </w:rPr>
              <w:t>Leere Absätze als Abstandshalter</w:t>
            </w:r>
          </w:p>
        </w:tc>
        <w:tc>
          <w:tcPr>
            <w:tcW w:type="dxa" w:w="2778"/>
          </w:tcPr>
          <w:p>
            <w:pPr>
              <w:spacing w:before="0" w:after="0" w:line="276" w:lineRule="auto"/>
            </w:pPr>
            <w:r/>
            <w:r>
              <w:rPr>
                <w:rFonts w:ascii="Aptos" w:hAnsi="Aptos"/>
                <w:b w:val="0"/>
                <w:sz w:val="20"/>
              </w:rPr>
              <w:t>Durch Seitenumbruch bzw. Absatzabstand ersetzen (kosmetisch)</w:t>
            </w:r>
          </w:p>
        </w:tc>
      </w:tr>
      <w:tr>
        <w:tc>
          <w:tcPr>
            <w:tcW w:type="dxa" w:w="1247"/>
          </w:tcPr>
          <w:p>
            <w:pPr>
              <w:spacing w:before="0" w:after="0" w:line="276" w:lineRule="auto"/>
            </w:pPr>
            <w:r/>
            <w:r>
              <w:rPr>
                <w:rFonts w:ascii="Aptos" w:hAnsi="Aptos"/>
                <w:b w:val="0"/>
                <w:sz w:val="20"/>
              </w:rPr>
              <w:t>Paper</w:t>
            </w:r>
          </w:p>
        </w:tc>
        <w:tc>
          <w:tcPr>
            <w:tcW w:type="dxa" w:w="3742"/>
          </w:tcPr>
          <w:p>
            <w:pPr>
              <w:spacing w:before="0" w:after="0" w:line="276" w:lineRule="auto"/>
            </w:pPr>
            <w:r/>
            <w:r>
              <w:rPr>
                <w:rFonts w:ascii="Aptos" w:hAnsi="Aptos"/>
                <w:b w:val="0"/>
                <w:sz w:val="20"/>
              </w:rPr>
              <w:t>Autorenadresse (¹ Institute …), Überschrift „Table 2 — …“, Literatureintrag Nr. 31</w:t>
            </w:r>
          </w:p>
        </w:tc>
        <w:tc>
          <w:tcPr>
            <w:tcW w:type="dxa" w:w="2438"/>
          </w:tcPr>
          <w:p>
            <w:pPr>
              <w:spacing w:before="0" w:after="0" w:line="276" w:lineRule="auto"/>
            </w:pPr>
            <w:r/>
            <w:r>
              <w:rPr>
                <w:rFonts w:ascii="Aptos" w:hAnsi="Aptos"/>
                <w:b w:val="0"/>
                <w:sz w:val="20"/>
              </w:rPr>
              <w:t>Leerzeichen am Zeilenende</w:t>
            </w:r>
          </w:p>
        </w:tc>
        <w:tc>
          <w:tcPr>
            <w:tcW w:type="dxa" w:w="2778"/>
          </w:tcPr>
          <w:p>
            <w:pPr>
              <w:spacing w:before="0" w:after="0" w:line="276" w:lineRule="auto"/>
            </w:pPr>
            <w:r/>
            <w:r>
              <w:rPr>
                <w:rFonts w:ascii="Aptos" w:hAnsi="Aptos"/>
                <w:b w:val="0"/>
                <w:sz w:val="20"/>
              </w:rPr>
              <w:t>Löschen (unsichtbar, kosmetisch)</w:t>
            </w:r>
          </w:p>
        </w:tc>
      </w:tr>
      <w:tr>
        <w:tc>
          <w:tcPr>
            <w:tcW w:type="dxa" w:w="1247"/>
          </w:tcPr>
          <w:p>
            <w:pPr>
              <w:spacing w:before="0" w:after="0" w:line="276" w:lineRule="auto"/>
            </w:pPr>
            <w:r/>
            <w:r>
              <w:rPr>
                <w:rFonts w:ascii="Aptos" w:hAnsi="Aptos"/>
                <w:b w:val="0"/>
                <w:sz w:val="20"/>
              </w:rPr>
              <w:t>Paper</w:t>
            </w:r>
          </w:p>
        </w:tc>
        <w:tc>
          <w:tcPr>
            <w:tcW w:type="dxa" w:w="3742"/>
          </w:tcPr>
          <w:p>
            <w:pPr>
              <w:spacing w:before="0" w:after="0" w:line="276" w:lineRule="auto"/>
            </w:pPr>
            <w:r/>
            <w:r>
              <w:rPr>
                <w:rFonts w:ascii="Aptos" w:hAnsi="Aptos"/>
                <w:b w:val="0"/>
                <w:sz w:val="20"/>
              </w:rPr>
              <w:t>Seitenformat US Letter (21,59 × 27,94 cm), Dissertation A4</w:t>
            </w:r>
          </w:p>
        </w:tc>
        <w:tc>
          <w:tcPr>
            <w:tcW w:type="dxa" w:w="2438"/>
          </w:tcPr>
          <w:p>
            <w:pPr>
              <w:spacing w:before="0" w:after="0" w:line="276" w:lineRule="auto"/>
            </w:pPr>
            <w:r/>
            <w:r>
              <w:rPr>
                <w:rFonts w:ascii="Aptos" w:hAnsi="Aptos"/>
                <w:b w:val="0"/>
                <w:sz w:val="20"/>
              </w:rPr>
              <w:t>Unterschiedliche Formate</w:t>
            </w:r>
          </w:p>
        </w:tc>
        <w:tc>
          <w:tcPr>
            <w:tcW w:type="dxa" w:w="2778"/>
          </w:tcPr>
          <w:p>
            <w:pPr>
              <w:spacing w:before="0" w:after="0" w:line="276" w:lineRule="auto"/>
            </w:pPr>
            <w:r/>
            <w:r>
              <w:rPr>
                <w:rFonts w:ascii="Aptos" w:hAnsi="Aptos"/>
                <w:b w:val="0"/>
                <w:sz w:val="20"/>
              </w:rPr>
              <w:t>Kein Fehler, für das Journal richtig. Nur beachten, falls beide zusammen gedruckt werden</w:t>
            </w:r>
          </w:p>
        </w:tc>
      </w:tr>
      <w:tr>
        <w:tc>
          <w:tcPr>
            <w:tcW w:type="dxa" w:w="1247"/>
          </w:tcPr>
          <w:p>
            <w:pPr>
              <w:spacing w:before="0" w:after="0" w:line="276" w:lineRule="auto"/>
            </w:pPr>
            <w:r/>
            <w:r>
              <w:rPr>
                <w:rFonts w:ascii="Aptos" w:hAnsi="Aptos"/>
                <w:b w:val="0"/>
                <w:sz w:val="20"/>
              </w:rPr>
              <w:t>Paper</w:t>
            </w:r>
          </w:p>
        </w:tc>
        <w:tc>
          <w:tcPr>
            <w:tcW w:type="dxa" w:w="3742"/>
          </w:tcPr>
          <w:p>
            <w:pPr>
              <w:spacing w:before="0" w:after="0" w:line="276" w:lineRule="auto"/>
            </w:pPr>
            <w:r/>
            <w:r>
              <w:rPr>
                <w:rFonts w:ascii="Aptos" w:hAnsi="Aptos"/>
                <w:b w:val="0"/>
                <w:sz w:val="20"/>
              </w:rPr>
              <w:t>Textfarbe fast schwarz (#1A1A2E) im Fließtext, Tabellenüberschriften reines Schwarz</w:t>
            </w:r>
          </w:p>
        </w:tc>
        <w:tc>
          <w:tcPr>
            <w:tcW w:type="dxa" w:w="2438"/>
          </w:tcPr>
          <w:p>
            <w:pPr>
              <w:spacing w:before="0" w:after="0" w:line="276" w:lineRule="auto"/>
            </w:pPr>
            <w:r/>
            <w:r>
              <w:rPr>
                <w:rFonts w:ascii="Aptos" w:hAnsi="Aptos"/>
                <w:b w:val="0"/>
                <w:sz w:val="20"/>
              </w:rPr>
              <w:t>Minimaler Farbunterschied</w:t>
            </w:r>
          </w:p>
        </w:tc>
        <w:tc>
          <w:tcPr>
            <w:tcW w:type="dxa" w:w="2778"/>
          </w:tcPr>
          <w:p>
            <w:pPr>
              <w:spacing w:before="0" w:after="0" w:line="276" w:lineRule="auto"/>
            </w:pPr>
            <w:r/>
            <w:r>
              <w:rPr>
                <w:rFonts w:ascii="Aptos" w:hAnsi="Aptos"/>
                <w:b w:val="0"/>
                <w:sz w:val="20"/>
              </w:rPr>
              <w:t>Praktisch nicht sichtbar, nur zur Info</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Ohne Befund: Schriftart und Größe im Fließtext, Zeilenabstand, Absatzabstände und Einzüge (Dissertation Times New Roman, 1,5-fach; Paper Calibri), Überschriften-Nummerierung ohne Lücken oder Doppelungen, Tabellenausrichtung, Seitenränder (Dissertation links 3,0 cm, übrige 2,5 cm; Paper 2,0 cm), Blocksatz im Paper, Doppelleerzeichen im Fließtext, Satzzeichenabstände.</w:t>
      </w:r>
    </w:p>
    <w:p>
      <w:pPr>
        <w:spacing w:before="0" w:after="0" w:line="276" w:lineRule="auto"/>
      </w:pPr>
      <w:r>
        <w:rPr>
          <w:rFonts w:ascii="Aptos" w:hAnsi="Aptos"/>
          <w:b w:val="0"/>
          <w:sz w:val="22"/>
        </w:rPr>
        <w:t>Nicht geprüft: Bilder, Abbildungsinhalte, Seitenzahlen, Kopf- und Fußzeilen sowie das Inhaltsverzeichnis in Word selbst (Seitenzahlen im Verzeichnis ggf. mit F9 aktualisieren).</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Aptos" w:hAnsi="Aptos" w:cs="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Aptos" w:hAnsi="Aptos" w:cs="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Aptos" w:hAnsi="Aptos" w:cs="Aptos" w:eastAsia="Aptos"/>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Aptos" w:hAnsi="Aptos" w:cs="Aptos" w:eastAsia="Aptos"/>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cs="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