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276" w:lineRule="auto"/>
      </w:pPr>
      <w:r>
        <w:rPr>
          <w:rFonts w:ascii="Aptos" w:hAnsi="Aptos"/>
          <w:b/>
          <w:sz w:val="40"/>
        </w:rPr>
        <w:t>Rechtschreib- und Grammatikprüfung: Paper und Dissertation (CSA-AKI)</w:t>
      </w:r>
    </w:p>
    <w:p>
      <w:pPr>
        <w:spacing w:after="0" w:before="0" w:line="276" w:lineRule="auto"/>
      </w:pPr>
      <w:r>
        <w:rPr>
          <w:rFonts w:ascii="Aptos" w:hAnsi="Aptos"/>
          <w:sz w:val="22"/>
        </w:rPr>
        <w:t>Robin Mandel – englische Manuskripte, Stand der geprüften Dateien wie im Ordner „Dissertation“</w:t>
      </w:r>
    </w:p>
    <w:p>
      <w:pPr>
        <w:spacing w:after="0" w:before="0" w:line="276" w:lineRule="auto"/>
      </w:pPr>
      <w:r>
        <w:rPr>
          <w:rFonts w:ascii="Aptos" w:hAnsi="Aptos"/>
          <w:sz w:val="22"/>
        </w:rPr>
        <w:t>Datum: 07.10.2026</w:t>
      </w:r>
    </w:p>
    <w:p>
      <w:pPr>
        <w:pStyle w:val="Heading1"/>
        <w:spacing w:after="0" w:before="240" w:line="276" w:lineRule="auto"/>
      </w:pPr>
      <w:r>
        <w:rPr>
          <w:rFonts w:ascii="Aptos" w:hAnsi="Aptos"/>
          <w:b/>
          <w:sz w:val="30"/>
        </w:rPr>
        <w:t>Zusammenfassung</w:t>
      </w:r>
    </w:p>
    <w:p>
      <w:pPr>
        <w:spacing w:after="0" w:before="0" w:line="276" w:lineRule="auto"/>
      </w:pPr>
      <w:r>
        <w:rPr>
          <w:rFonts w:ascii="Aptos" w:hAnsi="Aptos"/>
          <w:sz w:val="22"/>
        </w:rPr>
        <w:t>Geprüft wurden ausschließlich Rechtschreibung, Grammatik, Zeichensetzung und einheitliche Schreibweise – kein inhaltliches Gegenlesen, keine Stilvorschläge, keine Prüfung der Zahlen. Mitgeprüft: Fließtext, Überschriften, Tabellen, Abbildungs- und Tabellenlegenden, Abkürzungsverzeichnis, Lebenslauf und Literaturverzeichnis (dort nur offensichtliche Tippfehler). Beide Texte sind sprachlich sehr sauber: Echte Rechtschreib- oder Grammatikfehler sind selten. Die meisten Funde betreffen uneinheitliche Schreibweisen (Bindestriche, Abkürzungen, Apostrophe).</w:t>
      </w:r>
    </w:p>
    <w:p>
      <w:pPr>
        <w:spacing w:after="0" w:before="0" w:line="276" w:lineRule="auto"/>
      </w:pPr>
    </w:p>
    <w:tbl>
      <w:tblPr>
        <w:tblStyle w:val="TableGrid"/>
        <w:tblW w:type="auto" w:w="0"/>
        <w:tblLook w:firstColumn="1" w:firstRow="1" w:lastColumn="0" w:lastRow="0" w:noHBand="0" w:noVBand="1" w:val="04A0"/>
      </w:tblPr>
      <w:tblGrid>
        <w:gridCol w:w="2081"/>
        <w:gridCol w:w="2081"/>
        <w:gridCol w:w="2081"/>
        <w:gridCol w:w="2081"/>
        <w:gridCol w:w="2081"/>
        <w:gridCol w:w="2081"/>
        <w:gridCol w:w="2081"/>
      </w:tblGrid>
      <w:tr>
        <w:trPr>
          <w:tblHeader w:val="true"/>
        </w:trPr>
        <w:tc>
          <w:tcPr>
            <w:tcW w:type="dxa" w:w="3685"/>
            <w:shd w:val="clear" w:color="auto" w:fill="D9E2F3"/>
          </w:tcPr>
          <w:p>
            <w:pPr>
              <w:spacing w:after="0" w:before="0" w:line="276" w:lineRule="auto"/>
            </w:pPr>
            <w:r>
              <w:rPr>
                <w:rFonts w:ascii="Aptos" w:hAnsi="Aptos"/>
                <w:b/>
                <w:sz w:val="22"/>
              </w:rPr>
            </w:r>
            <w:r>
              <w:rPr>
                <w:rFonts w:ascii="Aptos" w:hAnsi="Aptos"/>
                <w:b/>
                <w:sz w:val="22"/>
              </w:rPr>
              <w:t>Dokument</w:t>
            </w:r>
          </w:p>
        </w:tc>
        <w:tc>
          <w:tcPr>
            <w:tcW w:type="dxa" w:w="1701"/>
            <w:shd w:val="clear" w:color="auto" w:fill="D9E2F3"/>
          </w:tcPr>
          <w:p>
            <w:pPr>
              <w:spacing w:after="0" w:before="0" w:line="276" w:lineRule="auto"/>
            </w:pPr>
            <w:r>
              <w:rPr>
                <w:rFonts w:ascii="Aptos" w:hAnsi="Aptos"/>
                <w:b/>
                <w:sz w:val="22"/>
              </w:rPr>
            </w:r>
            <w:r>
              <w:rPr>
                <w:rFonts w:ascii="Aptos" w:hAnsi="Aptos"/>
                <w:b/>
                <w:sz w:val="22"/>
              </w:rPr>
              <w:t>Rechtschreibung</w:t>
            </w:r>
          </w:p>
        </w:tc>
        <w:tc>
          <w:tcPr>
            <w:tcW w:type="dxa" w:w="1701"/>
            <w:shd w:val="clear" w:color="auto" w:fill="D9E2F3"/>
          </w:tcPr>
          <w:p>
            <w:pPr>
              <w:spacing w:after="0" w:before="0" w:line="276" w:lineRule="auto"/>
            </w:pPr>
            <w:r>
              <w:rPr>
                <w:rFonts w:ascii="Aptos" w:hAnsi="Aptos"/>
                <w:b/>
                <w:sz w:val="22"/>
              </w:rPr>
            </w:r>
            <w:r>
              <w:rPr>
                <w:rFonts w:ascii="Aptos" w:hAnsi="Aptos"/>
                <w:b/>
                <w:sz w:val="22"/>
              </w:rPr>
              <w:t>Grammatik</w:t>
            </w:r>
          </w:p>
        </w:tc>
        <w:tc>
          <w:tcPr>
            <w:tcW w:type="dxa" w:w="1701"/>
            <w:shd w:val="clear" w:color="auto" w:fill="D9E2F3"/>
          </w:tcPr>
          <w:p>
            <w:pPr>
              <w:spacing w:after="0" w:before="0" w:line="276" w:lineRule="auto"/>
            </w:pPr>
            <w:r>
              <w:rPr>
                <w:rFonts w:ascii="Aptos" w:hAnsi="Aptos"/>
                <w:b/>
                <w:sz w:val="22"/>
              </w:rPr>
            </w:r>
            <w:r>
              <w:rPr>
                <w:rFonts w:ascii="Aptos" w:hAnsi="Aptos"/>
                <w:b/>
                <w:sz w:val="22"/>
              </w:rPr>
              <w:t>Zeichensetzung</w:t>
            </w:r>
          </w:p>
        </w:tc>
        <w:tc>
          <w:tcPr>
            <w:tcW w:type="dxa" w:w="1701"/>
            <w:shd w:val="clear" w:color="auto" w:fill="D9E2F3"/>
          </w:tcPr>
          <w:p>
            <w:pPr>
              <w:spacing w:after="0" w:before="0" w:line="276" w:lineRule="auto"/>
            </w:pPr>
            <w:r>
              <w:rPr>
                <w:rFonts w:ascii="Aptos" w:hAnsi="Aptos"/>
                <w:b/>
                <w:sz w:val="22"/>
              </w:rPr>
            </w:r>
            <w:r>
              <w:rPr>
                <w:rFonts w:ascii="Aptos" w:hAnsi="Aptos"/>
                <w:b/>
                <w:sz w:val="22"/>
              </w:rPr>
              <w:t>Inkonsistenz</w:t>
            </w:r>
          </w:p>
        </w:tc>
        <w:tc>
          <w:tcPr>
            <w:tcW w:type="dxa" w:w="1701"/>
            <w:shd w:val="clear" w:color="auto" w:fill="D9E2F3"/>
          </w:tcPr>
          <w:p>
            <w:pPr>
              <w:spacing w:after="0" w:before="0" w:line="276" w:lineRule="auto"/>
            </w:pPr>
            <w:r>
              <w:rPr>
                <w:rFonts w:ascii="Aptos" w:hAnsi="Aptos"/>
                <w:b/>
                <w:sz w:val="22"/>
              </w:rPr>
            </w:r>
            <w:r>
              <w:rPr>
                <w:rFonts w:ascii="Aptos" w:hAnsi="Aptos"/>
                <w:b/>
                <w:sz w:val="22"/>
              </w:rPr>
              <w:t>Unsicher</w:t>
            </w:r>
          </w:p>
        </w:tc>
        <w:tc>
          <w:tcPr>
            <w:tcW w:type="dxa" w:w="1701"/>
            <w:shd w:val="clear" w:color="auto" w:fill="D9E2F3"/>
          </w:tcPr>
          <w:p>
            <w:pPr>
              <w:spacing w:after="0" w:before="0" w:line="276" w:lineRule="auto"/>
            </w:pPr>
            <w:r>
              <w:rPr>
                <w:rFonts w:ascii="Aptos" w:hAnsi="Aptos"/>
                <w:b/>
                <w:sz w:val="22"/>
              </w:rPr>
            </w:r>
            <w:r>
              <w:rPr>
                <w:rFonts w:ascii="Aptos" w:hAnsi="Aptos"/>
                <w:b/>
                <w:sz w:val="22"/>
              </w:rPr>
              <w:t>Summe</w:t>
            </w:r>
          </w:p>
        </w:tc>
      </w:tr>
      <w:tr>
        <w:tc>
          <w:tcPr>
            <w:tcW w:type="dxa" w:w="3685"/>
          </w:tcPr>
          <w:p>
            <w:pPr>
              <w:spacing w:after="0" w:before="0" w:line="276" w:lineRule="auto"/>
            </w:pPr>
            <w:r>
              <w:rPr>
                <w:rFonts w:ascii="Aptos" w:hAnsi="Aptos"/>
                <w:sz w:val="22"/>
              </w:rPr>
            </w:r>
            <w:r>
              <w:rPr>
                <w:rFonts w:ascii="Aptos" w:hAnsi="Aptos"/>
                <w:sz w:val="22"/>
              </w:rPr>
              <w:t>Paper</w:t>
            </w:r>
          </w:p>
        </w:tc>
        <w:tc>
          <w:tcPr>
            <w:tcW w:type="dxa" w:w="1701"/>
          </w:tcPr>
          <w:p>
            <w:pPr>
              <w:spacing w:after="0" w:before="0" w:line="276" w:lineRule="auto"/>
            </w:pPr>
            <w:r>
              <w:rPr>
                <w:rFonts w:ascii="Aptos" w:hAnsi="Aptos"/>
                <w:sz w:val="22"/>
              </w:rPr>
            </w:r>
            <w:r>
              <w:rPr>
                <w:rFonts w:ascii="Aptos" w:hAnsi="Aptos"/>
                <w:sz w:val="22"/>
              </w:rPr>
              <w:t>1</w:t>
            </w:r>
          </w:p>
        </w:tc>
        <w:tc>
          <w:tcPr>
            <w:tcW w:type="dxa" w:w="1701"/>
          </w:tcPr>
          <w:p>
            <w:pPr>
              <w:spacing w:after="0" w:before="0" w:line="276" w:lineRule="auto"/>
            </w:pPr>
            <w:r>
              <w:rPr>
                <w:rFonts w:ascii="Aptos" w:hAnsi="Aptos"/>
                <w:sz w:val="22"/>
              </w:rPr>
            </w:r>
            <w:r>
              <w:rPr>
                <w:rFonts w:ascii="Aptos" w:hAnsi="Aptos"/>
                <w:sz w:val="22"/>
              </w:rPr>
              <w:t>0</w:t>
            </w:r>
          </w:p>
        </w:tc>
        <w:tc>
          <w:tcPr>
            <w:tcW w:type="dxa" w:w="1701"/>
          </w:tcPr>
          <w:p>
            <w:pPr>
              <w:spacing w:after="0" w:before="0" w:line="276" w:lineRule="auto"/>
            </w:pPr>
            <w:r>
              <w:rPr>
                <w:rFonts w:ascii="Aptos" w:hAnsi="Aptos"/>
                <w:sz w:val="22"/>
              </w:rPr>
            </w:r>
            <w:r>
              <w:rPr>
                <w:rFonts w:ascii="Aptos" w:hAnsi="Aptos"/>
                <w:sz w:val="22"/>
              </w:rPr>
              <w:t>1</w:t>
            </w:r>
          </w:p>
        </w:tc>
        <w:tc>
          <w:tcPr>
            <w:tcW w:type="dxa" w:w="1701"/>
          </w:tcPr>
          <w:p>
            <w:pPr>
              <w:spacing w:after="0" w:before="0" w:line="276" w:lineRule="auto"/>
            </w:pPr>
            <w:r>
              <w:rPr>
                <w:rFonts w:ascii="Aptos" w:hAnsi="Aptos"/>
                <w:sz w:val="22"/>
              </w:rPr>
            </w:r>
            <w:r>
              <w:rPr>
                <w:rFonts w:ascii="Aptos" w:hAnsi="Aptos"/>
                <w:sz w:val="22"/>
              </w:rPr>
              <w:t>7</w:t>
            </w:r>
          </w:p>
        </w:tc>
        <w:tc>
          <w:tcPr>
            <w:tcW w:type="dxa" w:w="1701"/>
          </w:tcPr>
          <w:p>
            <w:pPr>
              <w:spacing w:after="0" w:before="0" w:line="276" w:lineRule="auto"/>
            </w:pPr>
            <w:r>
              <w:rPr>
                <w:rFonts w:ascii="Aptos" w:hAnsi="Aptos"/>
                <w:sz w:val="22"/>
              </w:rPr>
            </w:r>
            <w:r>
              <w:rPr>
                <w:rFonts w:ascii="Aptos" w:hAnsi="Aptos"/>
                <w:sz w:val="22"/>
              </w:rPr>
              <w:t>4</w:t>
            </w:r>
          </w:p>
        </w:tc>
        <w:tc>
          <w:tcPr>
            <w:tcW w:type="dxa" w:w="1701"/>
          </w:tcPr>
          <w:p>
            <w:pPr>
              <w:spacing w:after="0" w:before="0" w:line="276" w:lineRule="auto"/>
            </w:pPr>
            <w:r>
              <w:rPr>
                <w:rFonts w:ascii="Aptos" w:hAnsi="Aptos"/>
                <w:sz w:val="22"/>
              </w:rPr>
            </w:r>
            <w:r>
              <w:rPr>
                <w:rFonts w:ascii="Aptos" w:hAnsi="Aptos"/>
                <w:sz w:val="22"/>
              </w:rPr>
              <w:t>13</w:t>
            </w:r>
          </w:p>
        </w:tc>
      </w:tr>
      <w:tr>
        <w:tc>
          <w:tcPr>
            <w:tcW w:type="dxa" w:w="3685"/>
          </w:tcPr>
          <w:p>
            <w:pPr>
              <w:spacing w:after="0" w:before="0" w:line="276" w:lineRule="auto"/>
            </w:pPr>
            <w:r>
              <w:rPr>
                <w:rFonts w:ascii="Aptos" w:hAnsi="Aptos"/>
                <w:sz w:val="22"/>
              </w:rPr>
            </w:r>
            <w:r>
              <w:rPr>
                <w:rFonts w:ascii="Aptos" w:hAnsi="Aptos"/>
                <w:sz w:val="22"/>
              </w:rPr>
              <w:t>Dissertation</w:t>
            </w:r>
          </w:p>
        </w:tc>
        <w:tc>
          <w:tcPr>
            <w:tcW w:type="dxa" w:w="1701"/>
          </w:tcPr>
          <w:p>
            <w:pPr>
              <w:spacing w:after="0" w:before="0" w:line="276" w:lineRule="auto"/>
            </w:pPr>
            <w:r>
              <w:rPr>
                <w:rFonts w:ascii="Aptos" w:hAnsi="Aptos"/>
                <w:sz w:val="22"/>
              </w:rPr>
            </w:r>
            <w:r>
              <w:rPr>
                <w:rFonts w:ascii="Aptos" w:hAnsi="Aptos"/>
                <w:sz w:val="22"/>
              </w:rPr>
              <w:t>1</w:t>
            </w:r>
          </w:p>
        </w:tc>
        <w:tc>
          <w:tcPr>
            <w:tcW w:type="dxa" w:w="1701"/>
          </w:tcPr>
          <w:p>
            <w:pPr>
              <w:spacing w:after="0" w:before="0" w:line="276" w:lineRule="auto"/>
            </w:pPr>
            <w:r>
              <w:rPr>
                <w:rFonts w:ascii="Aptos" w:hAnsi="Aptos"/>
                <w:sz w:val="22"/>
              </w:rPr>
            </w:r>
            <w:r>
              <w:rPr>
                <w:rFonts w:ascii="Aptos" w:hAnsi="Aptos"/>
                <w:sz w:val="22"/>
              </w:rPr>
              <w:t>1</w:t>
            </w:r>
          </w:p>
        </w:tc>
        <w:tc>
          <w:tcPr>
            <w:tcW w:type="dxa" w:w="1701"/>
          </w:tcPr>
          <w:p>
            <w:pPr>
              <w:spacing w:after="0" w:before="0" w:line="276" w:lineRule="auto"/>
            </w:pPr>
            <w:r>
              <w:rPr>
                <w:rFonts w:ascii="Aptos" w:hAnsi="Aptos"/>
                <w:sz w:val="22"/>
              </w:rPr>
            </w:r>
            <w:r>
              <w:rPr>
                <w:rFonts w:ascii="Aptos" w:hAnsi="Aptos"/>
                <w:sz w:val="22"/>
              </w:rPr>
              <w:t>0</w:t>
            </w:r>
          </w:p>
        </w:tc>
        <w:tc>
          <w:tcPr>
            <w:tcW w:type="dxa" w:w="1701"/>
          </w:tcPr>
          <w:p>
            <w:pPr>
              <w:spacing w:after="0" w:before="0" w:line="276" w:lineRule="auto"/>
            </w:pPr>
            <w:r>
              <w:rPr>
                <w:rFonts w:ascii="Aptos" w:hAnsi="Aptos"/>
                <w:sz w:val="22"/>
              </w:rPr>
            </w:r>
            <w:r>
              <w:rPr>
                <w:rFonts w:ascii="Aptos" w:hAnsi="Aptos"/>
                <w:sz w:val="22"/>
              </w:rPr>
              <w:t>14</w:t>
            </w:r>
          </w:p>
        </w:tc>
        <w:tc>
          <w:tcPr>
            <w:tcW w:type="dxa" w:w="1701"/>
          </w:tcPr>
          <w:p>
            <w:pPr>
              <w:spacing w:after="0" w:before="0" w:line="276" w:lineRule="auto"/>
            </w:pPr>
            <w:r>
              <w:rPr>
                <w:rFonts w:ascii="Aptos" w:hAnsi="Aptos"/>
                <w:sz w:val="22"/>
              </w:rPr>
            </w:r>
            <w:r>
              <w:rPr>
                <w:rFonts w:ascii="Aptos" w:hAnsi="Aptos"/>
                <w:sz w:val="22"/>
              </w:rPr>
              <w:t>3</w:t>
            </w:r>
          </w:p>
        </w:tc>
        <w:tc>
          <w:tcPr>
            <w:tcW w:type="dxa" w:w="1701"/>
          </w:tcPr>
          <w:p>
            <w:pPr>
              <w:spacing w:after="0" w:before="0" w:line="276" w:lineRule="auto"/>
            </w:pPr>
            <w:r>
              <w:rPr>
                <w:rFonts w:ascii="Aptos" w:hAnsi="Aptos"/>
                <w:sz w:val="22"/>
              </w:rPr>
            </w:r>
            <w:r>
              <w:rPr>
                <w:rFonts w:ascii="Aptos" w:hAnsi="Aptos"/>
                <w:sz w:val="22"/>
              </w:rPr>
              <w:t>19</w:t>
            </w:r>
          </w:p>
        </w:tc>
      </w:tr>
      <w:tr>
        <w:tc>
          <w:tcPr>
            <w:tcW w:type="dxa" w:w="3685"/>
          </w:tcPr>
          <w:p>
            <w:pPr>
              <w:spacing w:after="0" w:before="0" w:line="276" w:lineRule="auto"/>
            </w:pPr>
            <w:r>
              <w:rPr>
                <w:rFonts w:ascii="Aptos" w:hAnsi="Aptos"/>
                <w:b/>
                <w:sz w:val="22"/>
              </w:rPr>
            </w:r>
            <w:r>
              <w:rPr>
                <w:rFonts w:ascii="Aptos" w:hAnsi="Aptos"/>
                <w:b/>
                <w:sz w:val="22"/>
              </w:rPr>
              <w:t>Gesamt</w:t>
            </w:r>
          </w:p>
        </w:tc>
        <w:tc>
          <w:tcPr>
            <w:tcW w:type="dxa" w:w="1701"/>
          </w:tcPr>
          <w:p>
            <w:pPr>
              <w:spacing w:after="0" w:before="0" w:line="276" w:lineRule="auto"/>
            </w:pPr>
            <w:r>
              <w:rPr>
                <w:rFonts w:ascii="Aptos" w:hAnsi="Aptos"/>
                <w:b/>
                <w:sz w:val="22"/>
              </w:rPr>
            </w:r>
            <w:r>
              <w:rPr>
                <w:rFonts w:ascii="Aptos" w:hAnsi="Aptos"/>
                <w:b/>
                <w:sz w:val="22"/>
              </w:rPr>
              <w:t>2</w:t>
            </w:r>
          </w:p>
        </w:tc>
        <w:tc>
          <w:tcPr>
            <w:tcW w:type="dxa" w:w="1701"/>
          </w:tcPr>
          <w:p>
            <w:pPr>
              <w:spacing w:after="0" w:before="0" w:line="276" w:lineRule="auto"/>
            </w:pPr>
            <w:r>
              <w:rPr>
                <w:rFonts w:ascii="Aptos" w:hAnsi="Aptos"/>
                <w:b/>
                <w:sz w:val="22"/>
              </w:rPr>
            </w:r>
            <w:r>
              <w:rPr>
                <w:rFonts w:ascii="Aptos" w:hAnsi="Aptos"/>
                <w:b/>
                <w:sz w:val="22"/>
              </w:rPr>
              <w:t>1</w:t>
            </w:r>
          </w:p>
        </w:tc>
        <w:tc>
          <w:tcPr>
            <w:tcW w:type="dxa" w:w="1701"/>
          </w:tcPr>
          <w:p>
            <w:pPr>
              <w:spacing w:after="0" w:before="0" w:line="276" w:lineRule="auto"/>
            </w:pPr>
            <w:r>
              <w:rPr>
                <w:rFonts w:ascii="Aptos" w:hAnsi="Aptos"/>
                <w:b/>
                <w:sz w:val="22"/>
              </w:rPr>
            </w:r>
            <w:r>
              <w:rPr>
                <w:rFonts w:ascii="Aptos" w:hAnsi="Aptos"/>
                <w:b/>
                <w:sz w:val="22"/>
              </w:rPr>
              <w:t>1</w:t>
            </w:r>
          </w:p>
        </w:tc>
        <w:tc>
          <w:tcPr>
            <w:tcW w:type="dxa" w:w="1701"/>
          </w:tcPr>
          <w:p>
            <w:pPr>
              <w:spacing w:after="0" w:before="0" w:line="276" w:lineRule="auto"/>
            </w:pPr>
            <w:r>
              <w:rPr>
                <w:rFonts w:ascii="Aptos" w:hAnsi="Aptos"/>
                <w:b/>
                <w:sz w:val="22"/>
              </w:rPr>
            </w:r>
            <w:r>
              <w:rPr>
                <w:rFonts w:ascii="Aptos" w:hAnsi="Aptos"/>
                <w:b/>
                <w:sz w:val="22"/>
              </w:rPr>
              <w:t>21</w:t>
            </w:r>
          </w:p>
        </w:tc>
        <w:tc>
          <w:tcPr>
            <w:tcW w:type="dxa" w:w="1701"/>
          </w:tcPr>
          <w:p>
            <w:pPr>
              <w:spacing w:after="0" w:before="0" w:line="276" w:lineRule="auto"/>
            </w:pPr>
            <w:r>
              <w:rPr>
                <w:rFonts w:ascii="Aptos" w:hAnsi="Aptos"/>
                <w:b/>
                <w:sz w:val="22"/>
              </w:rPr>
            </w:r>
            <w:r>
              <w:rPr>
                <w:rFonts w:ascii="Aptos" w:hAnsi="Aptos"/>
                <w:b/>
                <w:sz w:val="22"/>
              </w:rPr>
              <w:t>7</w:t>
            </w:r>
          </w:p>
        </w:tc>
        <w:tc>
          <w:tcPr>
            <w:tcW w:type="dxa" w:w="1701"/>
          </w:tcPr>
          <w:p>
            <w:pPr>
              <w:spacing w:after="0" w:before="0" w:line="276" w:lineRule="auto"/>
            </w:pPr>
            <w:r>
              <w:rPr>
                <w:rFonts w:ascii="Aptos" w:hAnsi="Aptos"/>
                <w:b/>
                <w:sz w:val="22"/>
              </w:rPr>
            </w:r>
            <w:r>
              <w:rPr>
                <w:rFonts w:ascii="Aptos" w:hAnsi="Aptos"/>
                <w:b/>
                <w:sz w:val="22"/>
              </w:rPr>
              <w:t>32</w:t>
            </w:r>
          </w:p>
        </w:tc>
      </w:tr>
    </w:tbl>
    <w:p>
      <w:pPr>
        <w:spacing w:after="0" w:before="0" w:line="276" w:lineRule="auto"/>
      </w:pPr>
    </w:p>
    <w:p>
      <w:pPr>
        <w:spacing w:after="0" w:before="0" w:line="276" w:lineRule="auto"/>
      </w:pPr>
      <w:r>
        <w:rPr>
          <w:rFonts w:ascii="Aptos" w:hAnsi="Aptos"/>
          <w:sz w:val="22"/>
        </w:rPr>
        <w:t>Legende: Im Originaltext ist die fehlerhafte Stelle rot und fett markiert. „…“ bedeutet, dass das Zitat aus einem längeren Absatz stammt. „Absatz n“ zählt die Textabsätze (inkl. Legenden und Tabellen) innerhalb des genannten Abschnitts. „Unsicher“ = bitte selbst prüfen, ggf. kein Fehler. Inkonsistenzen sind jeweils nur einmal (an der ersten bzw. abweichenden Stelle) eingetragen; die übrigen Fundstellen stehen in der Spalte „Korrektur“.</w:t>
      </w:r>
    </w:p>
    <w:p>
      <w:r>
        <w:br w:type="page"/>
      </w:r>
    </w:p>
    <w:p>
      <w:pPr>
        <w:pStyle w:val="Heading1"/>
        <w:spacing w:after="0" w:before="0" w:line="276" w:lineRule="auto"/>
      </w:pPr>
      <w:r>
        <w:rPr>
          <w:rFonts w:ascii="Aptos" w:hAnsi="Aptos"/>
          <w:b/>
          <w:sz w:val="30"/>
        </w:rPr>
        <w:t>01_Paper_EN_Mandel_CSA-AKI_Manuscript.docx (Paper, ca. 10.900 Wörter)</w:t>
      </w:r>
    </w:p>
    <w:p>
      <w:pPr>
        <w:spacing w:after="0" w:before="0" w:line="276" w:lineRule="auto"/>
      </w:pPr>
    </w:p>
    <w:tbl>
      <w:tblPr>
        <w:tblStyle w:val="TableGrid"/>
        <w:tblW w:type="auto" w:w="0"/>
        <w:jc w:val="center"/>
        <w:tblLook w:firstColumn="1" w:firstRow="1" w:lastColumn="0" w:lastRow="0" w:noHBand="0" w:noVBand="1" w:val="04A0"/>
      </w:tblPr>
      <w:tblGrid>
        <w:gridCol w:w="2914"/>
        <w:gridCol w:w="2914"/>
        <w:gridCol w:w="2914"/>
        <w:gridCol w:w="2914"/>
        <w:gridCol w:w="2914"/>
      </w:tblGrid>
      <w:tr>
        <w:trPr>
          <w:tblHeader w:val="true"/>
        </w:trPr>
        <w:tc>
          <w:tcPr>
            <w:tcW w:type="dxa" w:w="680"/>
            <w:shd w:val="clear" w:color="auto" w:fill="D9E2F3"/>
          </w:tcPr>
          <w:p>
            <w:pPr>
              <w:spacing w:after="0" w:before="0" w:line="276" w:lineRule="auto"/>
            </w:pPr>
            <w:r>
              <w:rPr>
                <w:rFonts w:ascii="Aptos" w:hAnsi="Aptos"/>
                <w:b/>
                <w:sz w:val="22"/>
              </w:rPr>
            </w:r>
            <w:r>
              <w:rPr>
                <w:rFonts w:ascii="Aptos" w:hAnsi="Aptos"/>
                <w:b/>
                <w:sz w:val="22"/>
              </w:rPr>
              <w:t>Nr.</w:t>
            </w:r>
          </w:p>
        </w:tc>
        <w:tc>
          <w:tcPr>
            <w:tcW w:type="dxa" w:w="2608"/>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532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4309"/>
            <w:shd w:val="clear" w:color="auto" w:fill="D9E2F3"/>
          </w:tcPr>
          <w:p>
            <w:pPr>
              <w:spacing w:after="0" w:before="0" w:line="276" w:lineRule="auto"/>
            </w:pPr>
            <w:r>
              <w:rPr>
                <w:rFonts w:ascii="Aptos" w:hAnsi="Aptos"/>
                <w:b/>
                <w:sz w:val="22"/>
              </w:rPr>
            </w:r>
            <w:r>
              <w:rPr>
                <w:rFonts w:ascii="Aptos" w:hAnsi="Aptos"/>
                <w:b/>
                <w:sz w:val="22"/>
              </w:rPr>
              <w:t>Korrektur</w:t>
            </w:r>
          </w:p>
        </w:tc>
        <w:tc>
          <w:tcPr>
            <w:tcW w:type="dxa" w:w="1644"/>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680"/>
          </w:tcPr>
          <w:p>
            <w:pPr>
              <w:spacing w:after="0" w:before="0" w:line="276" w:lineRule="auto"/>
            </w:pPr>
            <w:r>
              <w:rPr>
                <w:rFonts w:ascii="Aptos" w:hAnsi="Aptos"/>
                <w:sz w:val="22"/>
              </w:rPr>
            </w:r>
            <w:r>
              <w:rPr>
                <w:rFonts w:ascii="Aptos" w:hAnsi="Aptos"/>
                <w:sz w:val="22"/>
              </w:rPr>
              <w:t>1</w:t>
            </w:r>
          </w:p>
        </w:tc>
        <w:tc>
          <w:tcPr>
            <w:tcW w:type="dxa" w:w="2608"/>
          </w:tcPr>
          <w:p>
            <w:pPr>
              <w:spacing w:after="0" w:before="0" w:line="276" w:lineRule="auto"/>
            </w:pPr>
            <w:r>
              <w:rPr>
                <w:rFonts w:ascii="Aptos" w:hAnsi="Aptos"/>
                <w:sz w:val="22"/>
              </w:rPr>
            </w:r>
            <w:r>
              <w:rPr>
                <w:rFonts w:ascii="Aptos" w:hAnsi="Aptos"/>
                <w:sz w:val="22"/>
              </w:rPr>
              <w:t>1.3 Diagnostic Gap, Absatz 2</w:t>
            </w:r>
          </w:p>
        </w:tc>
        <w:tc>
          <w:tcPr>
            <w:tcW w:type="dxa" w:w="5329"/>
          </w:tcPr>
          <w:p>
            <w:pPr>
              <w:spacing w:after="0" w:before="0" w:line="276" w:lineRule="auto"/>
            </w:pPr>
            <w:r>
              <w:rPr>
                <w:rFonts w:ascii="Aptos" w:hAnsi="Aptos"/>
                <w:sz w:val="22"/>
              </w:rPr>
              <w:t>Pre-operative risk scores such as the Cleveland Clinic Score [33] stratify baseline susceptibility but cannot capture the dynamic intra- and early-</w:t>
            </w:r>
            <w:r>
              <w:rPr>
                <w:rFonts w:ascii="Aptos" w:hAnsi="Aptos"/>
                <w:b/>
                <w:color w:val="C00000"/>
                <w:sz w:val="22"/>
              </w:rPr>
              <w:t>postoperative</w:t>
            </w:r>
            <w:r>
              <w:rPr>
                <w:rFonts w:ascii="Aptos" w:hAnsi="Aptos"/>
                <w:sz w:val="22"/>
              </w:rPr>
              <w:t xml:space="preserve"> immune–renal response</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early-post-operative (oder überall ohne Bindestrich). Das Paper schreibt sonst „pre-operative“ (19×) und „post-operative“ (1.2, 3.6, Abb. 6), aber „postoperative“ hier, in 3.2 („early-postoperative signal“) und 4.3 („postoperative day 5“).</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2</w:t>
            </w:r>
          </w:p>
        </w:tc>
        <w:tc>
          <w:tcPr>
            <w:tcW w:type="dxa" w:w="2608"/>
          </w:tcPr>
          <w:p>
            <w:pPr>
              <w:spacing w:after="0" w:before="0" w:line="276" w:lineRule="auto"/>
            </w:pPr>
            <w:r>
              <w:rPr>
                <w:rFonts w:ascii="Aptos" w:hAnsi="Aptos"/>
                <w:sz w:val="22"/>
              </w:rPr>
            </w:r>
            <w:r>
              <w:rPr>
                <w:rFonts w:ascii="Aptos" w:hAnsi="Aptos"/>
                <w:sz w:val="22"/>
              </w:rPr>
              <w:t>2.1 Study Design and Ethics Approval, Absatz 1</w:t>
            </w:r>
          </w:p>
        </w:tc>
        <w:tc>
          <w:tcPr>
            <w:tcW w:type="dxa" w:w="5329"/>
          </w:tcPr>
          <w:p>
            <w:pPr>
              <w:spacing w:after="0" w:before="0" w:line="276" w:lineRule="auto"/>
            </w:pPr>
            <w:r>
              <w:rPr>
                <w:rFonts w:ascii="Aptos" w:hAnsi="Aptos"/>
                <w:sz w:val="22"/>
              </w:rPr>
              <w:t xml:space="preserve">… </w:t>
            </w:r>
            <w:r>
              <w:rPr>
                <w:rFonts w:ascii="Aptos" w:hAnsi="Aptos"/>
                <w:sz w:val="22"/>
              </w:rPr>
              <w:t xml:space="preserve">the Standards for Reporting of Diagnostic Accuracy </w:t>
            </w:r>
            <w:r>
              <w:rPr>
                <w:rFonts w:ascii="Aptos" w:hAnsi="Aptos"/>
                <w:b/>
                <w:color w:val="C00000"/>
                <w:sz w:val="22"/>
              </w:rPr>
              <w:t>(STARD)</w:t>
            </w:r>
            <w:r>
              <w:rPr>
                <w:rFonts w:ascii="Aptos" w:hAnsi="Aptos"/>
                <w:sz w:val="22"/>
              </w:rPr>
              <w:t xml:space="preserve"> 2015 guideline</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the Standards for Reporting of Diagnostic Accuracy Studies (STARD) 2015 guideline – im Abkürzungsverzeichnis steht „Standards for Reporting of Diagnostic Accuracy Studies“.</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3</w:t>
            </w:r>
          </w:p>
        </w:tc>
        <w:tc>
          <w:tcPr>
            <w:tcW w:type="dxa" w:w="2608"/>
          </w:tcPr>
          <w:p>
            <w:pPr>
              <w:spacing w:after="0" w:before="0" w:line="276" w:lineRule="auto"/>
            </w:pPr>
            <w:r>
              <w:rPr>
                <w:rFonts w:ascii="Aptos" w:hAnsi="Aptos"/>
                <w:sz w:val="22"/>
              </w:rPr>
            </w:r>
            <w:r>
              <w:rPr>
                <w:rFonts w:ascii="Aptos" w:hAnsi="Aptos"/>
                <w:sz w:val="22"/>
              </w:rPr>
              <w:t>3.5 Correlations between Early Neutrophil Markers and Later Renal Markers, Absatz 1</w:t>
            </w:r>
          </w:p>
        </w:tc>
        <w:tc>
          <w:tcPr>
            <w:tcW w:type="dxa" w:w="5329"/>
          </w:tcPr>
          <w:p>
            <w:pPr>
              <w:spacing w:after="0" w:before="0" w:line="276" w:lineRule="auto"/>
            </w:pPr>
            <w:r>
              <w:rPr>
                <w:rFonts w:ascii="Aptos" w:hAnsi="Aptos"/>
                <w:sz w:val="22"/>
              </w:rPr>
              <w:t xml:space="preserve">… </w:t>
            </w:r>
            <w:r>
              <w:rPr>
                <w:rFonts w:ascii="Aptos" w:hAnsi="Aptos"/>
                <w:sz w:val="22"/>
              </w:rPr>
              <w:t xml:space="preserve">whole-cohort heat map in Supplementary Figure S4; the FDR-significant pairs with subgroup values in Supplementary Table S9). </w:t>
            </w:r>
            <w:r>
              <w:rPr>
                <w:rFonts w:ascii="Aptos" w:hAnsi="Aptos"/>
                <w:b/>
                <w:color w:val="C00000"/>
                <w:sz w:val="22"/>
              </w:rPr>
              <w:t>The whole-cohort heat map is shown in Supplementary Figure S4</w:t>
            </w:r>
            <w:r>
              <w:rPr>
                <w:rFonts w:ascii="Aptos" w:hAnsi="Aptos"/>
                <w:sz w:val="22"/>
              </w:rPr>
              <w:t xml:space="preserve"> and the strongest pairs of the exploratory screen in Supplementary Table S8.</w:t>
            </w:r>
          </w:p>
        </w:tc>
        <w:tc>
          <w:tcPr>
            <w:tcW w:type="dxa" w:w="4309"/>
          </w:tcPr>
          <w:p>
            <w:pPr>
              <w:spacing w:after="0" w:before="0" w:line="276" w:lineRule="auto"/>
            </w:pPr>
            <w:r>
              <w:rPr>
                <w:rFonts w:ascii="Aptos" w:hAnsi="Aptos"/>
                <w:sz w:val="22"/>
              </w:rPr>
            </w:r>
            <w:r>
              <w:rPr>
                <w:rFonts w:ascii="Aptos" w:hAnsi="Aptos"/>
                <w:sz w:val="22"/>
              </w:rPr>
              <w:t>Doppelte Angabe: Die Heatmap (Suppl. Fig. S4) wird im selben Absatz zweimal genannt – vermutlich ist ein Satzteil beim Überarbeiten stehen geblieben. Bitte prüfen, ggf. Dopplung streichen.</w:t>
            </w:r>
          </w:p>
        </w:tc>
        <w:tc>
          <w:tcPr>
            <w:tcW w:type="dxa" w:w="1644"/>
          </w:tcPr>
          <w:p>
            <w:pPr>
              <w:spacing w:after="0" w:before="0" w:line="276" w:lineRule="auto"/>
            </w:pPr>
            <w:r>
              <w:rPr>
                <w:rFonts w:ascii="Aptos" w:hAnsi="Aptos"/>
                <w:sz w:val="22"/>
              </w:rPr>
            </w:r>
            <w:r>
              <w:rPr>
                <w:rFonts w:ascii="Aptos" w:hAnsi="Aptos"/>
                <w:sz w:val="22"/>
              </w:rPr>
              <w:t>Unsicher</w:t>
            </w:r>
          </w:p>
        </w:tc>
      </w:tr>
      <w:tr>
        <w:trPr>
          <w:cantSplit w:val="true"/>
        </w:trPr>
        <w:tc>
          <w:tcPr>
            <w:tcW w:type="dxa" w:w="680"/>
          </w:tcPr>
          <w:p>
            <w:pPr>
              <w:spacing w:after="0" w:before="0" w:line="276" w:lineRule="auto"/>
            </w:pPr>
            <w:r>
              <w:rPr>
                <w:rFonts w:ascii="Aptos" w:hAnsi="Aptos"/>
                <w:sz w:val="22"/>
              </w:rPr>
            </w:r>
            <w:r>
              <w:rPr>
                <w:rFonts w:ascii="Aptos" w:hAnsi="Aptos"/>
                <w:sz w:val="22"/>
              </w:rPr>
              <w:t>4</w:t>
            </w:r>
          </w:p>
        </w:tc>
        <w:tc>
          <w:tcPr>
            <w:tcW w:type="dxa" w:w="2608"/>
          </w:tcPr>
          <w:p>
            <w:pPr>
              <w:spacing w:after="0" w:before="0" w:line="276" w:lineRule="auto"/>
            </w:pPr>
            <w:r>
              <w:rPr>
                <w:rFonts w:ascii="Aptos" w:hAnsi="Aptos"/>
                <w:sz w:val="22"/>
              </w:rPr>
            </w:r>
            <w:r>
              <w:rPr>
                <w:rFonts w:ascii="Aptos" w:hAnsi="Aptos"/>
                <w:sz w:val="22"/>
              </w:rPr>
              <w:t>3.5 Correlations between Early Neutrophil Markers and Later Renal Markers, Absatz 2</w:t>
            </w:r>
          </w:p>
        </w:tc>
        <w:tc>
          <w:tcPr>
            <w:tcW w:type="dxa" w:w="5329"/>
          </w:tcPr>
          <w:p>
            <w:pPr>
              <w:spacing w:after="0" w:before="0" w:line="276" w:lineRule="auto"/>
            </w:pPr>
            <w:r>
              <w:rPr>
                <w:rFonts w:ascii="Aptos" w:hAnsi="Aptos"/>
                <w:sz w:val="22"/>
              </w:rPr>
              <w:t xml:space="preserve">… </w:t>
            </w:r>
            <w:r>
              <w:rPr>
                <w:rFonts w:ascii="Aptos" w:hAnsi="Aptos"/>
                <w:sz w:val="22"/>
              </w:rPr>
              <w:t xml:space="preserve">r = 0.80 </w:t>
            </w:r>
            <w:r>
              <w:rPr>
                <w:rFonts w:ascii="Aptos" w:hAnsi="Aptos"/>
                <w:b/>
                <w:color w:val="C00000"/>
                <w:sz w:val="22"/>
              </w:rPr>
              <w:t>(Figure 5A</w:t>
            </w:r>
            <w:r>
              <w:rPr>
                <w:rFonts w:ascii="Aptos" w:hAnsi="Aptos"/>
                <w:sz w:val="22"/>
              </w:rPr>
              <w:t>; n = 25; p = 1.5 × 10⁻⁶</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(Figure 5a; … – Abbildungsfelder werden sonst klein geschrieben: „(a)–(f)“ in Abb. 2–4, „Figure 4a/4c“. In Abb. 5 (Legende „(A)“, „(B)“) und hier/„Figure 5B“ stehen Großbuchstaben → einheitlich.</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5</w:t>
            </w:r>
          </w:p>
        </w:tc>
        <w:tc>
          <w:tcPr>
            <w:tcW w:type="dxa" w:w="2608"/>
          </w:tcPr>
          <w:p>
            <w:pPr>
              <w:spacing w:after="0" w:before="0" w:line="276" w:lineRule="auto"/>
            </w:pPr>
            <w:r>
              <w:rPr>
                <w:rFonts w:ascii="Aptos" w:hAnsi="Aptos"/>
                <w:sz w:val="22"/>
              </w:rPr>
            </w:r>
            <w:r>
              <w:rPr>
                <w:rFonts w:ascii="Aptos" w:hAnsi="Aptos"/>
                <w:sz w:val="22"/>
              </w:rPr>
              <w:t>3.6 Timing of the KDIGO Diagnosis Relative to the Signatures, Absatz 4</w:t>
            </w:r>
          </w:p>
        </w:tc>
        <w:tc>
          <w:tcPr>
            <w:tcW w:type="dxa" w:w="5329"/>
          </w:tcPr>
          <w:p>
            <w:pPr>
              <w:spacing w:after="0" w:before="0" w:line="276" w:lineRule="auto"/>
            </w:pPr>
            <w:r>
              <w:rPr>
                <w:rFonts w:ascii="Aptos" w:hAnsi="Aptos"/>
                <w:sz w:val="22"/>
              </w:rPr>
              <w:t xml:space="preserve">… </w:t>
            </w:r>
            <w:r>
              <w:rPr>
                <w:rFonts w:ascii="Aptos" w:hAnsi="Aptos"/>
                <w:sz w:val="22"/>
              </w:rPr>
              <w:t>(b) calprotectin (</w:t>
            </w:r>
            <w:r>
              <w:rPr>
                <w:rFonts w:ascii="Aptos" w:hAnsi="Aptos"/>
                <w:b/>
                <w:color w:val="C00000"/>
                <w:sz w:val="22"/>
              </w:rPr>
              <w:t>MRP8-14</w:t>
            </w:r>
            <w:r>
              <w:rPr>
                <w:rFonts w:ascii="Aptos" w:hAnsi="Aptos"/>
                <w:sz w:val="22"/>
              </w:rPr>
              <w:t>, S100A8/A9) and (c) osteopontin</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MRP8/14 – im Abkürzungsverzeichnis und überall sonst „myeloid-related protein 8/14“; gilt auch für „MRP8-14, myeloid-related protein 8/14“ am Ende derselben Legende.</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6</w:t>
            </w:r>
          </w:p>
        </w:tc>
        <w:tc>
          <w:tcPr>
            <w:tcW w:type="dxa" w:w="2608"/>
          </w:tcPr>
          <w:p>
            <w:pPr>
              <w:spacing w:after="0" w:before="0" w:line="276" w:lineRule="auto"/>
            </w:pPr>
            <w:r>
              <w:rPr>
                <w:rFonts w:ascii="Aptos" w:hAnsi="Aptos"/>
                <w:sz w:val="22"/>
              </w:rPr>
            </w:r>
            <w:r>
              <w:rPr>
                <w:rFonts w:ascii="Aptos" w:hAnsi="Aptos"/>
                <w:sz w:val="22"/>
              </w:rPr>
              <w:t>Declarations, Absatz „Funding“</w:t>
            </w:r>
          </w:p>
        </w:tc>
        <w:tc>
          <w:tcPr>
            <w:tcW w:type="dxa" w:w="5329"/>
          </w:tcPr>
          <w:p>
            <w:pPr>
              <w:spacing w:after="0" w:before="0" w:line="276" w:lineRule="auto"/>
            </w:pPr>
            <w:r>
              <w:rPr>
                <w:rFonts w:ascii="Aptos" w:hAnsi="Aptos"/>
                <w:sz w:val="22"/>
              </w:rPr>
              <w:t xml:space="preserve">Funding. </w:t>
            </w:r>
            <w:r>
              <w:rPr>
                <w:rFonts w:ascii="Aptos" w:hAnsi="Aptos"/>
                <w:b/>
                <w:color w:val="C00000"/>
                <w:sz w:val="22"/>
              </w:rPr>
              <w:t>[TODO: insert funding statement (DFG consortium / other grant numbers)]</w:t>
            </w:r>
          </w:p>
        </w:tc>
        <w:tc>
          <w:tcPr>
            <w:tcW w:type="dxa" w:w="4309"/>
          </w:tcPr>
          <w:p>
            <w:pPr>
              <w:spacing w:after="0" w:before="0" w:line="276" w:lineRule="auto"/>
            </w:pPr>
            <w:r>
              <w:rPr>
                <w:rFonts w:ascii="Aptos" w:hAnsi="Aptos"/>
                <w:sz w:val="22"/>
              </w:rPr>
            </w:r>
            <w:r>
              <w:rPr>
                <w:rFonts w:ascii="Aptos" w:hAnsi="Aptos"/>
                <w:sz w:val="22"/>
              </w:rPr>
              <w:t>Platzhalter noch offen – Förderhinweis einsetzen (kein Sprachfehler, nur Hinweis).</w:t>
            </w:r>
          </w:p>
        </w:tc>
        <w:tc>
          <w:tcPr>
            <w:tcW w:type="dxa" w:w="1644"/>
          </w:tcPr>
          <w:p>
            <w:pPr>
              <w:spacing w:after="0" w:before="0" w:line="276" w:lineRule="auto"/>
            </w:pPr>
            <w:r>
              <w:rPr>
                <w:rFonts w:ascii="Aptos" w:hAnsi="Aptos"/>
                <w:sz w:val="22"/>
              </w:rPr>
            </w:r>
            <w:r>
              <w:rPr>
                <w:rFonts w:ascii="Aptos" w:hAnsi="Aptos"/>
                <w:sz w:val="22"/>
              </w:rPr>
              <w:t>Unsicher</w:t>
            </w:r>
          </w:p>
        </w:tc>
      </w:tr>
      <w:tr>
        <w:trPr>
          <w:cantSplit w:val="true"/>
        </w:trPr>
        <w:tc>
          <w:tcPr>
            <w:tcW w:type="dxa" w:w="680"/>
          </w:tcPr>
          <w:p>
            <w:pPr>
              <w:spacing w:after="0" w:before="0" w:line="276" w:lineRule="auto"/>
            </w:pPr>
            <w:r>
              <w:rPr>
                <w:rFonts w:ascii="Aptos" w:hAnsi="Aptos"/>
                <w:sz w:val="22"/>
              </w:rPr>
            </w:r>
            <w:r>
              <w:rPr>
                <w:rFonts w:ascii="Aptos" w:hAnsi="Aptos"/>
                <w:sz w:val="22"/>
              </w:rPr>
              <w:t>7</w:t>
            </w:r>
          </w:p>
        </w:tc>
        <w:tc>
          <w:tcPr>
            <w:tcW w:type="dxa" w:w="2608"/>
          </w:tcPr>
          <w:p>
            <w:pPr>
              <w:spacing w:after="0" w:before="0" w:line="276" w:lineRule="auto"/>
            </w:pPr>
            <w:r>
              <w:rPr>
                <w:rFonts w:ascii="Aptos" w:hAnsi="Aptos"/>
                <w:sz w:val="22"/>
              </w:rPr>
            </w:r>
            <w:r>
              <w:rPr>
                <w:rFonts w:ascii="Aptos" w:hAnsi="Aptos"/>
                <w:sz w:val="22"/>
              </w:rPr>
              <w:t>Declarations, Absatz „Acknowledgements“</w:t>
            </w:r>
          </w:p>
        </w:tc>
        <w:tc>
          <w:tcPr>
            <w:tcW w:type="dxa" w:w="5329"/>
          </w:tcPr>
          <w:p>
            <w:pPr>
              <w:spacing w:after="0" w:before="0" w:line="276" w:lineRule="auto"/>
            </w:pPr>
            <w:r>
              <w:rPr>
                <w:rFonts w:ascii="Aptos" w:hAnsi="Aptos"/>
                <w:sz w:val="22"/>
              </w:rPr>
              <w:t xml:space="preserve">Acknowledgements. </w:t>
            </w:r>
            <w:r>
              <w:rPr>
                <w:rFonts w:ascii="Aptos" w:hAnsi="Aptos"/>
                <w:b/>
                <w:color w:val="C00000"/>
                <w:sz w:val="22"/>
              </w:rPr>
              <w:t>[TODO: list study nurses, KIZ biometrics, study participants, and the Ulm cardiac-surgery team by name]</w:t>
            </w:r>
          </w:p>
        </w:tc>
        <w:tc>
          <w:tcPr>
            <w:tcW w:type="dxa" w:w="4309"/>
          </w:tcPr>
          <w:p>
            <w:pPr>
              <w:spacing w:after="0" w:before="0" w:line="276" w:lineRule="auto"/>
            </w:pPr>
            <w:r>
              <w:rPr>
                <w:rFonts w:ascii="Aptos" w:hAnsi="Aptos"/>
                <w:sz w:val="22"/>
              </w:rPr>
            </w:r>
            <w:r>
              <w:rPr>
                <w:rFonts w:ascii="Aptos" w:hAnsi="Aptos"/>
                <w:sz w:val="22"/>
              </w:rPr>
              <w:t>Platzhalter noch offen – Danksagung einsetzen (kein Sprachfehler, nur Hinweis).</w:t>
            </w:r>
          </w:p>
        </w:tc>
        <w:tc>
          <w:tcPr>
            <w:tcW w:type="dxa" w:w="1644"/>
          </w:tcPr>
          <w:p>
            <w:pPr>
              <w:spacing w:after="0" w:before="0" w:line="276" w:lineRule="auto"/>
            </w:pPr>
            <w:r>
              <w:rPr>
                <w:rFonts w:ascii="Aptos" w:hAnsi="Aptos"/>
                <w:sz w:val="22"/>
              </w:rPr>
            </w:r>
            <w:r>
              <w:rPr>
                <w:rFonts w:ascii="Aptos" w:hAnsi="Aptos"/>
                <w:sz w:val="22"/>
              </w:rPr>
              <w:t>Unsicher</w:t>
            </w:r>
          </w:p>
        </w:tc>
      </w:tr>
      <w:tr>
        <w:trPr>
          <w:cantSplit w:val="true"/>
        </w:trPr>
        <w:tc>
          <w:tcPr>
            <w:tcW w:type="dxa" w:w="680"/>
          </w:tcPr>
          <w:p>
            <w:pPr>
              <w:spacing w:after="0" w:before="0" w:line="276" w:lineRule="auto"/>
            </w:pPr>
            <w:r>
              <w:rPr>
                <w:rFonts w:ascii="Aptos" w:hAnsi="Aptos"/>
                <w:sz w:val="22"/>
              </w:rPr>
            </w:r>
            <w:r>
              <w:rPr>
                <w:rFonts w:ascii="Aptos" w:hAnsi="Aptos"/>
                <w:sz w:val="22"/>
              </w:rPr>
              <w:t>8</w:t>
            </w:r>
          </w:p>
        </w:tc>
        <w:tc>
          <w:tcPr>
            <w:tcW w:type="dxa" w:w="2608"/>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5329"/>
          </w:tcPr>
          <w:p>
            <w:pPr>
              <w:spacing w:after="0" w:before="0" w:line="276" w:lineRule="auto"/>
            </w:pPr>
            <w:r>
              <w:rPr>
                <w:rFonts w:ascii="Aptos" w:hAnsi="Aptos"/>
                <w:sz w:val="22"/>
              </w:rPr>
              <w:t xml:space="preserve">… </w:t>
            </w:r>
            <w:r>
              <w:rPr>
                <w:rFonts w:ascii="Aptos" w:hAnsi="Aptos"/>
                <w:sz w:val="22"/>
              </w:rPr>
              <w:t xml:space="preserve">EuroSCORE II (predicted </w:t>
            </w:r>
            <w:r>
              <w:rPr>
                <w:rFonts w:ascii="Aptos" w:hAnsi="Aptos"/>
                <w:b/>
                <w:color w:val="C00000"/>
                <w:sz w:val="22"/>
              </w:rPr>
              <w:t>mortality%</w:t>
            </w:r>
            <w:r>
              <w:rPr>
                <w:rFonts w:ascii="Aptos" w:hAnsi="Aptos"/>
                <w:sz w:val="22"/>
              </w:rPr>
              <w:t>, median [IQR])</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predicted mortality, % (Leerzeichen/Komma vor dem Prozentzeichen fehlt)</w:t>
            </w:r>
          </w:p>
        </w:tc>
        <w:tc>
          <w:tcPr>
            <w:tcW w:type="dxa" w:w="1644"/>
          </w:tcPr>
          <w:p>
            <w:pPr>
              <w:spacing w:after="0" w:before="0" w:line="276" w:lineRule="auto"/>
            </w:pPr>
            <w:r>
              <w:rPr>
                <w:rFonts w:ascii="Aptos" w:hAnsi="Aptos"/>
                <w:sz w:val="22"/>
              </w:rPr>
            </w:r>
            <w:r>
              <w:rPr>
                <w:rFonts w:ascii="Aptos" w:hAnsi="Aptos"/>
                <w:sz w:val="22"/>
              </w:rPr>
              <w:t>Zeichensetzung</w:t>
            </w:r>
          </w:p>
        </w:tc>
      </w:tr>
      <w:tr>
        <w:trPr>
          <w:cantSplit w:val="true"/>
        </w:trPr>
        <w:tc>
          <w:tcPr>
            <w:tcW w:type="dxa" w:w="680"/>
          </w:tcPr>
          <w:p>
            <w:pPr>
              <w:spacing w:after="0" w:before="0" w:line="276" w:lineRule="auto"/>
            </w:pPr>
            <w:r>
              <w:rPr>
                <w:rFonts w:ascii="Aptos" w:hAnsi="Aptos"/>
                <w:sz w:val="22"/>
              </w:rPr>
            </w:r>
            <w:r>
              <w:rPr>
                <w:rFonts w:ascii="Aptos" w:hAnsi="Aptos"/>
                <w:sz w:val="22"/>
              </w:rPr>
              <w:t>9</w:t>
            </w:r>
          </w:p>
        </w:tc>
        <w:tc>
          <w:tcPr>
            <w:tcW w:type="dxa" w:w="2608"/>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5329"/>
          </w:tcPr>
          <w:p>
            <w:pPr>
              <w:spacing w:after="0" w:before="0" w:line="276" w:lineRule="auto"/>
            </w:pPr>
            <w:r>
              <w:rPr>
                <w:rFonts w:ascii="Aptos" w:hAnsi="Aptos"/>
                <w:sz w:val="22"/>
              </w:rPr>
              <w:t xml:space="preserve">… </w:t>
            </w:r>
            <w:r>
              <w:rPr>
                <w:rFonts w:ascii="Aptos" w:hAnsi="Aptos"/>
                <w:sz w:val="22"/>
              </w:rPr>
              <w:t xml:space="preserve">Cleveland Clinic </w:t>
            </w:r>
            <w:r>
              <w:rPr>
                <w:rFonts w:ascii="Aptos" w:hAnsi="Aptos"/>
                <w:b/>
                <w:color w:val="C00000"/>
                <w:sz w:val="22"/>
              </w:rPr>
              <w:t>score</w:t>
            </w:r>
            <w:r>
              <w:rPr>
                <w:rFonts w:ascii="Aptos" w:hAnsi="Aptos"/>
                <w:sz w:val="22"/>
              </w:rPr>
              <w:t xml:space="preserve"> (Thakar; points, median [IQR])</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Cleveland Clinic Score – im übrigen Paper (Text, Tabelle 2) 5× mit großem „S“.</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10</w:t>
            </w:r>
          </w:p>
        </w:tc>
        <w:tc>
          <w:tcPr>
            <w:tcW w:type="dxa" w:w="2608"/>
          </w:tcPr>
          <w:p>
            <w:pPr>
              <w:spacing w:after="0" w:before="0" w:line="276" w:lineRule="auto"/>
            </w:pPr>
            <w:r>
              <w:rPr>
                <w:rFonts w:ascii="Aptos" w:hAnsi="Aptos"/>
                <w:sz w:val="22"/>
              </w:rPr>
            </w:r>
            <w:r>
              <w:rPr>
                <w:rFonts w:ascii="Aptos" w:hAnsi="Aptos"/>
                <w:sz w:val="22"/>
              </w:rPr>
              <w:t>Überschrift „Table 2 — Discriminatory performance of …“</w:t>
            </w:r>
          </w:p>
        </w:tc>
        <w:tc>
          <w:tcPr>
            <w:tcW w:type="dxa" w:w="5329"/>
          </w:tcPr>
          <w:p>
            <w:pPr>
              <w:spacing w:after="0" w:before="0" w:line="276" w:lineRule="auto"/>
            </w:pPr>
            <w:r>
              <w:rPr>
                <w:rFonts w:ascii="Aptos" w:hAnsi="Aptos"/>
                <w:sz w:val="22"/>
              </w:rPr>
              <w:t>Table 2 — Discriminatory performance of the signatures and their comparators (AUC, sensitivity, specificity, Youden index)</w:t>
            </w:r>
            <w:r>
              <w:rPr>
                <w:rFonts w:ascii="Aptos" w:hAnsi="Aptos"/>
                <w:b/>
                <w:color w:val="C00000"/>
                <w:sz w:val="22"/>
              </w:rPr>
              <w:t>.</w:t>
            </w:r>
          </w:p>
        </w:tc>
        <w:tc>
          <w:tcPr>
            <w:tcW w:type="dxa" w:w="4309"/>
          </w:tcPr>
          <w:p>
            <w:pPr>
              <w:spacing w:after="0" w:before="0" w:line="276" w:lineRule="auto"/>
            </w:pPr>
            <w:r>
              <w:rPr>
                <w:rFonts w:ascii="Aptos" w:hAnsi="Aptos"/>
                <w:sz w:val="22"/>
              </w:rPr>
            </w:r>
            <w:r>
              <w:rPr>
                <w:rFonts w:ascii="Aptos" w:hAnsi="Aptos"/>
                <w:sz w:val="22"/>
              </w:rPr>
              <w:t>Punkt am Ende streichen – die Überschrift von Tabelle 1 endet ohne Punkt.</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11</w:t>
            </w:r>
          </w:p>
        </w:tc>
        <w:tc>
          <w:tcPr>
            <w:tcW w:type="dxa" w:w="2608"/>
          </w:tcPr>
          <w:p>
            <w:pPr>
              <w:spacing w:after="0" w:before="0" w:line="276" w:lineRule="auto"/>
            </w:pPr>
            <w:r>
              <w:rPr>
                <w:rFonts w:ascii="Aptos" w:hAnsi="Aptos"/>
                <w:sz w:val="22"/>
              </w:rPr>
            </w:r>
            <w:r>
              <w:rPr>
                <w:rFonts w:ascii="Aptos" w:hAnsi="Aptos"/>
                <w:sz w:val="22"/>
              </w:rPr>
              <w:t>Literatur Nr. 7 (Finn et al. 1996)</w:t>
            </w:r>
          </w:p>
        </w:tc>
        <w:tc>
          <w:tcPr>
            <w:tcW w:type="dxa" w:w="5329"/>
          </w:tcPr>
          <w:p>
            <w:pPr>
              <w:spacing w:after="0" w:before="0" w:line="276" w:lineRule="auto"/>
            </w:pPr>
            <w:r>
              <w:rPr>
                <w:rFonts w:ascii="Aptos" w:hAnsi="Aptos"/>
                <w:sz w:val="22"/>
              </w:rPr>
              <w:t xml:space="preserve">… </w:t>
            </w:r>
            <w:r>
              <w:rPr>
                <w:rFonts w:ascii="Aptos" w:hAnsi="Aptos"/>
                <w:sz w:val="22"/>
              </w:rPr>
              <w:t xml:space="preserve">on neutrophil CD11b/CD18 and </w:t>
            </w:r>
            <w:r>
              <w:rPr>
                <w:rFonts w:ascii="Aptos" w:hAnsi="Aptos"/>
                <w:b/>
                <w:color w:val="C00000"/>
                <w:sz w:val="22"/>
              </w:rPr>
              <w:t>l-selectin</w:t>
            </w:r>
            <w:r>
              <w:rPr>
                <w:rFonts w:ascii="Aptos" w:hAnsi="Aptos"/>
                <w:sz w:val="22"/>
              </w:rPr>
              <w:t xml:space="preserve"> expression and release of interleukin-8</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L-selectin (großes „L“, so auch im Haupttext „CD62L“/„L-selectin“ der Dissertation)</w:t>
            </w:r>
          </w:p>
        </w:tc>
        <w:tc>
          <w:tcPr>
            <w:tcW w:type="dxa" w:w="1644"/>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680"/>
          </w:tcPr>
          <w:p>
            <w:pPr>
              <w:spacing w:after="0" w:before="0" w:line="276" w:lineRule="auto"/>
            </w:pPr>
            <w:r>
              <w:rPr>
                <w:rFonts w:ascii="Aptos" w:hAnsi="Aptos"/>
                <w:sz w:val="22"/>
              </w:rPr>
            </w:r>
            <w:r>
              <w:rPr>
                <w:rFonts w:ascii="Aptos" w:hAnsi="Aptos"/>
                <w:sz w:val="22"/>
              </w:rPr>
              <w:t>12</w:t>
            </w:r>
          </w:p>
        </w:tc>
        <w:tc>
          <w:tcPr>
            <w:tcW w:type="dxa" w:w="2608"/>
          </w:tcPr>
          <w:p>
            <w:pPr>
              <w:spacing w:after="0" w:before="0" w:line="276" w:lineRule="auto"/>
            </w:pPr>
            <w:r>
              <w:rPr>
                <w:rFonts w:ascii="Aptos" w:hAnsi="Aptos"/>
                <w:sz w:val="22"/>
              </w:rPr>
            </w:r>
            <w:r>
              <w:rPr>
                <w:rFonts w:ascii="Aptos" w:hAnsi="Aptos"/>
                <w:sz w:val="22"/>
              </w:rPr>
              <w:t>Literatur Nr. 31 (Rinder et al.)</w:t>
            </w:r>
          </w:p>
        </w:tc>
        <w:tc>
          <w:tcPr>
            <w:tcW w:type="dxa" w:w="5329"/>
          </w:tcPr>
          <w:p>
            <w:pPr>
              <w:spacing w:after="0" w:before="0" w:line="276" w:lineRule="auto"/>
            </w:pPr>
            <w:r>
              <w:rPr>
                <w:rFonts w:ascii="Aptos" w:hAnsi="Aptos"/>
                <w:b/>
                <w:color w:val="C00000"/>
                <w:sz w:val="22"/>
              </w:rPr>
              <w:t>31. Rinder CS</w:t>
            </w:r>
            <w:r>
              <w:rPr>
                <w:rFonts w:ascii="Aptos" w:hAnsi="Aptos"/>
                <w:sz w:val="22"/>
              </w:rPr>
              <w:t>, Fontes M, Mathew JP</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Nach „31.“ fehlt der Tabulator, den alle anderen Einträge haben → Eintrag ist anders eingerückt (Formatierung).</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13</w:t>
            </w:r>
          </w:p>
        </w:tc>
        <w:tc>
          <w:tcPr>
            <w:tcW w:type="dxa" w:w="2608"/>
          </w:tcPr>
          <w:p>
            <w:pPr>
              <w:spacing w:after="0" w:before="0" w:line="276" w:lineRule="auto"/>
            </w:pPr>
            <w:r>
              <w:rPr>
                <w:rFonts w:ascii="Aptos" w:hAnsi="Aptos"/>
                <w:sz w:val="22"/>
              </w:rPr>
            </w:r>
            <w:r>
              <w:rPr>
                <w:rFonts w:ascii="Aptos" w:hAnsi="Aptos"/>
                <w:sz w:val="22"/>
              </w:rPr>
              <w:t>Literatur Nr. 41 (Zarbock et al.)</w:t>
            </w:r>
          </w:p>
        </w:tc>
        <w:tc>
          <w:tcPr>
            <w:tcW w:type="dxa" w:w="532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(BigpAK-2): a multinational … – im Originaltitel (Lancet 2025) steht vermutlich ein Doppelpunkt; bitte am Original prüfen.</w:t>
            </w:r>
          </w:p>
        </w:tc>
        <w:tc>
          <w:tcPr>
            <w:tcW w:type="dxa" w:w="1644"/>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03_Dissertation_EN_Mandel_CSA-AKI.docx (Dissertation, ca. 29.500 Wörter)</w:t>
      </w:r>
    </w:p>
    <w:p>
      <w:pPr>
        <w:spacing w:after="0" w:before="0" w:line="276" w:lineRule="auto"/>
      </w:pPr>
    </w:p>
    <w:tbl>
      <w:tblPr>
        <w:tblStyle w:val="TableGrid"/>
        <w:tblW w:type="auto" w:w="0"/>
        <w:jc w:val="center"/>
        <w:tblLook w:firstColumn="1" w:firstRow="1" w:lastColumn="0" w:lastRow="0" w:noHBand="0" w:noVBand="1" w:val="04A0"/>
      </w:tblPr>
      <w:tblGrid>
        <w:gridCol w:w="2914"/>
        <w:gridCol w:w="2914"/>
        <w:gridCol w:w="2914"/>
        <w:gridCol w:w="2914"/>
        <w:gridCol w:w="2914"/>
      </w:tblGrid>
      <w:tr>
        <w:trPr>
          <w:tblHeader w:val="true"/>
        </w:trPr>
        <w:tc>
          <w:tcPr>
            <w:tcW w:type="dxa" w:w="680"/>
            <w:shd w:val="clear" w:color="auto" w:fill="D9E2F3"/>
          </w:tcPr>
          <w:p>
            <w:pPr>
              <w:spacing w:after="0" w:before="0" w:line="276" w:lineRule="auto"/>
            </w:pPr>
            <w:r>
              <w:rPr>
                <w:rFonts w:ascii="Aptos" w:hAnsi="Aptos"/>
                <w:b/>
                <w:sz w:val="22"/>
              </w:rPr>
            </w:r>
            <w:r>
              <w:rPr>
                <w:rFonts w:ascii="Aptos" w:hAnsi="Aptos"/>
                <w:b/>
                <w:sz w:val="22"/>
              </w:rPr>
              <w:t>Nr.</w:t>
            </w:r>
          </w:p>
        </w:tc>
        <w:tc>
          <w:tcPr>
            <w:tcW w:type="dxa" w:w="2608"/>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532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4309"/>
            <w:shd w:val="clear" w:color="auto" w:fill="D9E2F3"/>
          </w:tcPr>
          <w:p>
            <w:pPr>
              <w:spacing w:after="0" w:before="0" w:line="276" w:lineRule="auto"/>
            </w:pPr>
            <w:r>
              <w:rPr>
                <w:rFonts w:ascii="Aptos" w:hAnsi="Aptos"/>
                <w:b/>
                <w:sz w:val="22"/>
              </w:rPr>
            </w:r>
            <w:r>
              <w:rPr>
                <w:rFonts w:ascii="Aptos" w:hAnsi="Aptos"/>
                <w:b/>
                <w:sz w:val="22"/>
              </w:rPr>
              <w:t>Korrektur</w:t>
            </w:r>
          </w:p>
        </w:tc>
        <w:tc>
          <w:tcPr>
            <w:tcW w:type="dxa" w:w="1644"/>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680"/>
          </w:tcPr>
          <w:p>
            <w:pPr>
              <w:spacing w:after="0" w:before="0" w:line="276" w:lineRule="auto"/>
            </w:pPr>
            <w:r>
              <w:rPr>
                <w:rFonts w:ascii="Aptos" w:hAnsi="Aptos"/>
                <w:sz w:val="22"/>
              </w:rPr>
            </w:r>
            <w:r>
              <w:rPr>
                <w:rFonts w:ascii="Aptos" w:hAnsi="Aptos"/>
                <w:sz w:val="22"/>
              </w:rPr>
              <w:t>1</w:t>
            </w:r>
          </w:p>
        </w:tc>
        <w:tc>
          <w:tcPr>
            <w:tcW w:type="dxa" w:w="2608"/>
          </w:tcPr>
          <w:p>
            <w:pPr>
              <w:spacing w:after="0" w:before="0" w:line="276" w:lineRule="auto"/>
            </w:pPr>
            <w:r>
              <w:rPr>
                <w:rFonts w:ascii="Aptos" w:hAnsi="Aptos"/>
                <w:sz w:val="22"/>
              </w:rPr>
            </w:r>
            <w:r>
              <w:rPr>
                <w:rFonts w:ascii="Aptos" w:hAnsi="Aptos"/>
                <w:sz w:val="22"/>
              </w:rPr>
              <w:t>Abkürzungsverzeichnis, Zeile DMEM/F12</w:t>
            </w:r>
          </w:p>
        </w:tc>
        <w:tc>
          <w:tcPr>
            <w:tcW w:type="dxa" w:w="5329"/>
          </w:tcPr>
          <w:p>
            <w:pPr>
              <w:spacing w:after="0" w:before="0" w:line="276" w:lineRule="auto"/>
            </w:pPr>
            <w:r>
              <w:rPr>
                <w:rFonts w:ascii="Aptos" w:hAnsi="Aptos"/>
                <w:sz w:val="22"/>
              </w:rPr>
              <w:t xml:space="preserve">… </w:t>
            </w:r>
            <w:r>
              <w:rPr>
                <w:rFonts w:ascii="Aptos" w:hAnsi="Aptos"/>
                <w:b/>
                <w:color w:val="C00000"/>
                <w:sz w:val="22"/>
              </w:rPr>
              <w:t>Dulbecco's</w:t>
            </w:r>
            <w:r>
              <w:rPr>
                <w:rFonts w:ascii="Aptos" w:hAnsi="Aptos"/>
                <w:sz w:val="22"/>
              </w:rPr>
              <w:t xml:space="preserve"> modified Eagle medium/Ham's F-12</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Dulbecco’s – Apostrophe sind gemischt: gerade (') in „Dulbecco's“, „Ham's“, „Hanks'“, „manufacturer's“ (2.11), „DeLong's test“ (2.13), „patients'“ (3.2) vs. typografisch (’) in „Dunn’s“, „Tukey’s“, „Fisher’s“ → einheitlich (Word: Suchen/Ersetzen ' → ’).</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2</w:t>
            </w:r>
          </w:p>
        </w:tc>
        <w:tc>
          <w:tcPr>
            <w:tcW w:type="dxa" w:w="2608"/>
          </w:tcPr>
          <w:p>
            <w:pPr>
              <w:spacing w:after="0" w:before="0" w:line="276" w:lineRule="auto"/>
            </w:pPr>
            <w:r>
              <w:rPr>
                <w:rFonts w:ascii="Aptos" w:hAnsi="Aptos"/>
                <w:sz w:val="22"/>
              </w:rPr>
            </w:r>
            <w:r>
              <w:rPr>
                <w:rFonts w:ascii="Aptos" w:hAnsi="Aptos"/>
                <w:sz w:val="22"/>
              </w:rPr>
              <w:t>Abkürzungsverzeichnis, Zeile SIRI</w:t>
            </w:r>
          </w:p>
        </w:tc>
        <w:tc>
          <w:tcPr>
            <w:tcW w:type="dxa" w:w="5329"/>
          </w:tcPr>
          <w:p>
            <w:pPr>
              <w:spacing w:after="0" w:before="0" w:line="276" w:lineRule="auto"/>
            </w:pPr>
            <w:r>
              <w:rPr>
                <w:rFonts w:ascii="Aptos" w:hAnsi="Aptos"/>
                <w:sz w:val="22"/>
              </w:rPr>
              <w:t xml:space="preserve">… </w:t>
            </w:r>
            <w:r>
              <w:rPr>
                <w:rFonts w:ascii="Aptos" w:hAnsi="Aptos"/>
                <w:sz w:val="22"/>
              </w:rPr>
              <w:t xml:space="preserve">SIRI │ systemic </w:t>
            </w:r>
            <w:r>
              <w:rPr>
                <w:rFonts w:ascii="Aptos" w:hAnsi="Aptos"/>
                <w:b/>
                <w:color w:val="C00000"/>
                <w:sz w:val="22"/>
              </w:rPr>
              <w:t>inflammation</w:t>
            </w:r>
            <w:r>
              <w:rPr>
                <w:rFonts w:ascii="Aptos" w:hAnsi="Aptos"/>
                <w:sz w:val="22"/>
              </w:rPr>
              <w:t xml:space="preserve"> response index</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Uneinheitlich zum Paper: dort „systemic inflammatory response index“ (so auch Titel von Lit. 40, Xie et al.). Innerhalb der Dissertation einheitlich „inflammation“ (auch in 1.6). Beide Varianten existieren in der Literatur – eine Form für beide Dokumente wählen.</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3</w:t>
            </w:r>
          </w:p>
        </w:tc>
        <w:tc>
          <w:tcPr>
            <w:tcW w:type="dxa" w:w="2608"/>
          </w:tcPr>
          <w:p>
            <w:pPr>
              <w:spacing w:after="0" w:before="0" w:line="276" w:lineRule="auto"/>
            </w:pPr>
            <w:r>
              <w:rPr>
                <w:rFonts w:ascii="Aptos" w:hAnsi="Aptos"/>
                <w:sz w:val="22"/>
              </w:rPr>
            </w:r>
            <w:r>
              <w:rPr>
                <w:rFonts w:ascii="Aptos" w:hAnsi="Aptos"/>
                <w:sz w:val="22"/>
              </w:rPr>
              <w:t>Abkürzungsverzeichnis, Zeile BMI</w:t>
            </w:r>
          </w:p>
        </w:tc>
        <w:tc>
          <w:tcPr>
            <w:tcW w:type="dxa" w:w="5329"/>
          </w:tcPr>
          <w:p>
            <w:pPr>
              <w:spacing w:after="0" w:before="0" w:line="276" w:lineRule="auto"/>
            </w:pPr>
            <w:r>
              <w:rPr>
                <w:rFonts w:ascii="Aptos" w:hAnsi="Aptos"/>
                <w:sz w:val="22"/>
              </w:rPr>
              <w:t xml:space="preserve">… </w:t>
            </w:r>
            <w:r>
              <w:rPr>
                <w:rFonts w:ascii="Aptos" w:hAnsi="Aptos"/>
                <w:sz w:val="22"/>
              </w:rPr>
              <w:t xml:space="preserve">BMI │ </w:t>
            </w:r>
            <w:r>
              <w:rPr>
                <w:rFonts w:ascii="Aptos" w:hAnsi="Aptos"/>
                <w:b/>
                <w:color w:val="C00000"/>
                <w:sz w:val="22"/>
              </w:rPr>
              <w:t>body-mass</w:t>
            </w:r>
            <w:r>
              <w:rPr>
                <w:rFonts w:ascii="Aptos" w:hAnsi="Aptos"/>
                <w:sz w:val="22"/>
              </w:rPr>
              <w:t xml:space="preserve"> index</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Dissertation durchgehend „body-mass index“ (4×), Paper „body mass index“ (3×) → für beide Dokumente eine Form wählen (üblich: body mass index).</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4</w:t>
            </w:r>
          </w:p>
        </w:tc>
        <w:tc>
          <w:tcPr>
            <w:tcW w:type="dxa" w:w="2608"/>
          </w:tcPr>
          <w:p>
            <w:pPr>
              <w:spacing w:after="0" w:before="0" w:line="276" w:lineRule="auto"/>
            </w:pPr>
            <w:r>
              <w:rPr>
                <w:rFonts w:ascii="Aptos" w:hAnsi="Aptos"/>
                <w:sz w:val="22"/>
              </w:rPr>
            </w:r>
            <w:r>
              <w:rPr>
                <w:rFonts w:ascii="Aptos" w:hAnsi="Aptos"/>
                <w:sz w:val="22"/>
              </w:rPr>
              <w:t>Abkürzungsverzeichnis, Zeile TLR</w:t>
            </w:r>
          </w:p>
        </w:tc>
        <w:tc>
          <w:tcPr>
            <w:tcW w:type="dxa" w:w="5329"/>
          </w:tcPr>
          <w:p>
            <w:pPr>
              <w:spacing w:after="0" w:before="0" w:line="276" w:lineRule="auto"/>
            </w:pPr>
            <w:r>
              <w:rPr>
                <w:rFonts w:ascii="Aptos" w:hAnsi="Aptos"/>
                <w:sz w:val="22"/>
              </w:rPr>
              <w:t xml:space="preserve">… </w:t>
            </w:r>
            <w:r>
              <w:rPr>
                <w:rFonts w:ascii="Aptos" w:hAnsi="Aptos"/>
                <w:sz w:val="22"/>
              </w:rPr>
              <w:t xml:space="preserve">TLR │ </w:t>
            </w:r>
            <w:r>
              <w:rPr>
                <w:rFonts w:ascii="Aptos" w:hAnsi="Aptos"/>
                <w:b/>
                <w:color w:val="C00000"/>
                <w:sz w:val="22"/>
              </w:rPr>
              <w:t>toll-like</w:t>
            </w:r>
            <w:r>
              <w:rPr>
                <w:rFonts w:ascii="Aptos" w:hAnsi="Aptos"/>
                <w:sz w:val="22"/>
              </w:rPr>
              <w:t xml:space="preserve"> receptor</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Toll-like receptor (großes „T“, nach dem Toll-Gen benannt); ebenso in der Legende von Abb. 14 („TLR, toll-like receptor“).</w:t>
            </w:r>
          </w:p>
        </w:tc>
        <w:tc>
          <w:tcPr>
            <w:tcW w:type="dxa" w:w="1644"/>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680"/>
          </w:tcPr>
          <w:p>
            <w:pPr>
              <w:spacing w:after="0" w:before="0" w:line="276" w:lineRule="auto"/>
            </w:pPr>
            <w:r>
              <w:rPr>
                <w:rFonts w:ascii="Aptos" w:hAnsi="Aptos"/>
                <w:sz w:val="22"/>
              </w:rPr>
            </w:r>
            <w:r>
              <w:rPr>
                <w:rFonts w:ascii="Aptos" w:hAnsi="Aptos"/>
                <w:sz w:val="22"/>
              </w:rPr>
              <w:t>5</w:t>
            </w:r>
          </w:p>
        </w:tc>
        <w:tc>
          <w:tcPr>
            <w:tcW w:type="dxa" w:w="2608"/>
          </w:tcPr>
          <w:p>
            <w:pPr>
              <w:spacing w:after="0" w:before="0" w:line="276" w:lineRule="auto"/>
            </w:pPr>
            <w:r>
              <w:rPr>
                <w:rFonts w:ascii="Aptos" w:hAnsi="Aptos"/>
                <w:sz w:val="22"/>
              </w:rPr>
            </w:r>
            <w:r>
              <w:rPr>
                <w:rFonts w:ascii="Aptos" w:hAnsi="Aptos"/>
                <w:sz w:val="22"/>
              </w:rPr>
              <w:t>1.5 The Neutrophil Granulocyte as Effector Cell, Absatz 3</w:t>
            </w:r>
          </w:p>
        </w:tc>
        <w:tc>
          <w:tcPr>
            <w:tcW w:type="dxa" w:w="5329"/>
          </w:tcPr>
          <w:p>
            <w:pPr>
              <w:spacing w:after="0" w:before="0" w:line="276" w:lineRule="auto"/>
            </w:pPr>
            <w:r>
              <w:rPr>
                <w:rFonts w:ascii="Aptos" w:hAnsi="Aptos"/>
                <w:sz w:val="22"/>
              </w:rPr>
              <w:t xml:space="preserve">… </w:t>
            </w:r>
            <w:r>
              <w:rPr>
                <w:rFonts w:ascii="Aptos" w:hAnsi="Aptos"/>
                <w:sz w:val="22"/>
              </w:rPr>
              <w:t xml:space="preserve">The reciprocal pattern of CD11b </w:t>
            </w:r>
            <w:r>
              <w:rPr>
                <w:rFonts w:ascii="Aptos" w:hAnsi="Aptos"/>
                <w:b/>
                <w:color w:val="C00000"/>
                <w:sz w:val="22"/>
              </w:rPr>
              <w:t>upregulation</w:t>
            </w:r>
            <w:r>
              <w:rPr>
                <w:rFonts w:ascii="Aptos" w:hAnsi="Aptos"/>
                <w:sz w:val="22"/>
              </w:rPr>
              <w:t xml:space="preserve"> and CD62L shedding</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up-regulation – sonst durchgehend mit Bindestrich („up-regulate“ in 1.4, „up-regulation“/„down-regulation“ in 1.8).</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6</w:t>
            </w:r>
          </w:p>
        </w:tc>
        <w:tc>
          <w:tcPr>
            <w:tcW w:type="dxa" w:w="2608"/>
          </w:tcPr>
          <w:p>
            <w:pPr>
              <w:spacing w:after="0" w:before="0" w:line="276" w:lineRule="auto"/>
            </w:pPr>
            <w:r>
              <w:rPr>
                <w:rFonts w:ascii="Aptos" w:hAnsi="Aptos"/>
                <w:sz w:val="22"/>
              </w:rPr>
            </w:r>
            <w:r>
              <w:rPr>
                <w:rFonts w:ascii="Aptos" w:hAnsi="Aptos"/>
                <w:sz w:val="22"/>
              </w:rPr>
              <w:t>2.4 AKI Definition (KDIGO) and Endpoint Adjudication, Absatz 1</w:t>
            </w:r>
          </w:p>
        </w:tc>
        <w:tc>
          <w:tcPr>
            <w:tcW w:type="dxa" w:w="5329"/>
          </w:tcPr>
          <w:p>
            <w:pPr>
              <w:spacing w:after="0" w:before="0" w:line="276" w:lineRule="auto"/>
            </w:pPr>
            <w:r>
              <w:rPr>
                <w:rFonts w:ascii="Aptos" w:hAnsi="Aptos"/>
                <w:sz w:val="22"/>
              </w:rPr>
              <w:t xml:space="preserve">… </w:t>
            </w:r>
            <w:r>
              <w:rPr>
                <w:rFonts w:ascii="Aptos" w:hAnsi="Aptos"/>
                <w:sz w:val="22"/>
              </w:rPr>
              <w:t xml:space="preserve">an increase in serum creatinine by ≥ 0.3 mg/dL (≥ 26.5 µmol/L) within 48 </w:t>
            </w:r>
            <w:r>
              <w:rPr>
                <w:rFonts w:ascii="Aptos" w:hAnsi="Aptos"/>
                <w:b/>
                <w:color w:val="C00000"/>
                <w:sz w:val="22"/>
              </w:rPr>
              <w:t>hours</w:t>
            </w:r>
            <w:r>
              <w:rPr>
                <w:rFonts w:ascii="Aptos" w:hAnsi="Aptos"/>
                <w:sz w:val="22"/>
              </w:rPr>
              <w:t xml:space="preserve">, or (ii) an increase to ≥ 1.5-fold the baseline value within 7 days, or (iii) urine output &lt; 0.5 mL/kg/h for 6–12 consecutive </w:t>
            </w:r>
            <w:r>
              <w:rPr>
                <w:rFonts w:ascii="Aptos" w:hAnsi="Aptos"/>
                <w:b/>
                <w:color w:val="C00000"/>
                <w:sz w:val="22"/>
              </w:rPr>
              <w:t>hours</w:t>
            </w:r>
            <w:r>
              <w:rPr>
                <w:rFonts w:ascii="Aptos" w:hAnsi="Aptos"/>
                <w:sz w:val="22"/>
              </w:rPr>
              <w:t xml:space="preserve"> (stage 1), &lt; 0.5 mL/kg/h for ≥ 12 h</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48 h … 6–12 consecutive h – im selben Satz werden „hours“ und „h“ gemischt; im Methodenteil sonst „h“.</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7</w:t>
            </w:r>
          </w:p>
        </w:tc>
        <w:tc>
          <w:tcPr>
            <w:tcW w:type="dxa" w:w="2608"/>
          </w:tcPr>
          <w:p>
            <w:pPr>
              <w:spacing w:after="0" w:before="0" w:line="276" w:lineRule="auto"/>
            </w:pPr>
            <w:r>
              <w:rPr>
                <w:rFonts w:ascii="Aptos" w:hAnsi="Aptos"/>
                <w:sz w:val="22"/>
              </w:rPr>
            </w:r>
            <w:r>
              <w:rPr>
                <w:rFonts w:ascii="Aptos" w:hAnsi="Aptos"/>
                <w:sz w:val="22"/>
              </w:rPr>
              <w:t>2.4 AKI Definition (KDIGO) and Endpoint Adjudication, Absatz 2</w:t>
            </w:r>
          </w:p>
        </w:tc>
        <w:tc>
          <w:tcPr>
            <w:tcW w:type="dxa" w:w="5329"/>
          </w:tcPr>
          <w:p>
            <w:pPr>
              <w:spacing w:after="0" w:before="0" w:line="276" w:lineRule="auto"/>
            </w:pPr>
            <w:r>
              <w:rPr>
                <w:rFonts w:ascii="Aptos" w:hAnsi="Aptos"/>
                <w:sz w:val="22"/>
              </w:rPr>
              <w:t xml:space="preserve">… </w:t>
            </w:r>
            <w:r>
              <w:rPr>
                <w:rFonts w:ascii="Aptos" w:hAnsi="Aptos"/>
                <w:sz w:val="22"/>
              </w:rPr>
              <w:t xml:space="preserve">could not be confirmed within a 48-h window; it was attributed to the </w:t>
            </w:r>
            <w:r>
              <w:rPr>
                <w:rFonts w:ascii="Aptos" w:hAnsi="Aptos"/>
                <w:b/>
                <w:color w:val="C00000"/>
                <w:sz w:val="22"/>
              </w:rPr>
              <w:t>48–120 h interval</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48–120-h interval (wie „48-h window“ im selben Satz und im Paper „48–120-h interval“); ebenso in der Legende von Tabelle 10.</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8</w:t>
            </w:r>
          </w:p>
        </w:tc>
        <w:tc>
          <w:tcPr>
            <w:tcW w:type="dxa" w:w="2608"/>
          </w:tcPr>
          <w:p>
            <w:pPr>
              <w:spacing w:after="0" w:before="0" w:line="276" w:lineRule="auto"/>
            </w:pPr>
            <w:r>
              <w:rPr>
                <w:rFonts w:ascii="Aptos" w:hAnsi="Aptos"/>
                <w:sz w:val="22"/>
              </w:rPr>
            </w:r>
            <w:r>
              <w:rPr>
                <w:rFonts w:ascii="Aptos" w:hAnsi="Aptos"/>
                <w:sz w:val="22"/>
              </w:rPr>
              <w:t>2.5 Sample Collection and Time Points, Absatz 7</w:t>
            </w:r>
          </w:p>
        </w:tc>
        <w:tc>
          <w:tcPr>
            <w:tcW w:type="dxa" w:w="5329"/>
          </w:tcPr>
          <w:p>
            <w:pPr>
              <w:spacing w:after="0" w:before="0" w:line="276" w:lineRule="auto"/>
            </w:pPr>
            <w:r>
              <w:rPr>
                <w:rFonts w:ascii="Aptos" w:hAnsi="Aptos"/>
                <w:sz w:val="22"/>
              </w:rPr>
              <w:t xml:space="preserve">… </w:t>
            </w:r>
            <w:r>
              <w:rPr>
                <w:rFonts w:ascii="Aptos" w:hAnsi="Aptos"/>
                <w:sz w:val="22"/>
              </w:rPr>
              <w:t xml:space="preserve">The study design is summarised in </w:t>
            </w:r>
            <w:r>
              <w:rPr>
                <w:rFonts w:ascii="Aptos" w:hAnsi="Aptos"/>
                <w:b/>
                <w:color w:val="C00000"/>
                <w:sz w:val="22"/>
              </w:rPr>
              <w:t>Fig. 1</w:t>
            </w:r>
            <w:r>
              <w:rPr>
                <w:rFonts w:ascii="Aptos" w:hAnsi="Aptos"/>
                <w:sz w:val="22"/>
              </w:rPr>
              <w:t>.</w:t>
            </w:r>
          </w:p>
        </w:tc>
        <w:tc>
          <w:tcPr>
            <w:tcW w:type="dxa" w:w="4309"/>
          </w:tcPr>
          <w:p>
            <w:pPr>
              <w:spacing w:after="0" w:before="0" w:line="276" w:lineRule="auto"/>
            </w:pPr>
            <w:r>
              <w:rPr>
                <w:rFonts w:ascii="Aptos" w:hAnsi="Aptos"/>
                <w:sz w:val="22"/>
              </w:rPr>
            </w:r>
            <w:r>
              <w:rPr>
                <w:rFonts w:ascii="Aptos" w:hAnsi="Aptos"/>
                <w:sz w:val="22"/>
              </w:rPr>
              <w:t>Abbildungsverweise im Text gemischt: meist „Fig. N“ (42×), aber „Figures 8c, 10, 11 and 12“ / „Figures 1, 2, 13 and 14“ (2.15, Tab. 1) und „Figures 3–7 … Figure 11 … Figure 12“ (Legende Abb. 13) → einheitlich eine Form.</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9</w:t>
            </w:r>
          </w:p>
        </w:tc>
        <w:tc>
          <w:tcPr>
            <w:tcW w:type="dxa" w:w="2608"/>
          </w:tcPr>
          <w:p>
            <w:pPr>
              <w:spacing w:after="0" w:before="0" w:line="276" w:lineRule="auto"/>
            </w:pPr>
            <w:r>
              <w:rPr>
                <w:rFonts w:ascii="Aptos" w:hAnsi="Aptos"/>
                <w:sz w:val="22"/>
              </w:rPr>
            </w:r>
            <w:r>
              <w:rPr>
                <w:rFonts w:ascii="Aptos" w:hAnsi="Aptos"/>
                <w:sz w:val="22"/>
              </w:rPr>
              <w:t>2.9 Flow Cytometry (FACS) — Neutrophil Phenotype, Absatz 1</w:t>
            </w:r>
          </w:p>
        </w:tc>
        <w:tc>
          <w:tcPr>
            <w:tcW w:type="dxa" w:w="5329"/>
          </w:tcPr>
          <w:p>
            <w:pPr>
              <w:spacing w:after="0" w:before="0" w:line="276" w:lineRule="auto"/>
            </w:pPr>
            <w:r>
              <w:rPr>
                <w:rFonts w:ascii="Aptos" w:hAnsi="Aptos"/>
                <w:sz w:val="22"/>
              </w:rPr>
              <w:t xml:space="preserve">… </w:t>
            </w:r>
            <w:r>
              <w:rPr>
                <w:rFonts w:ascii="Aptos" w:hAnsi="Aptos"/>
                <w:sz w:val="22"/>
              </w:rPr>
              <w:t xml:space="preserve">(a cocktail-stimulated sample was additionally run but is not reported); the </w:t>
            </w:r>
            <w:r>
              <w:rPr>
                <w:rFonts w:ascii="Aptos" w:hAnsi="Aptos"/>
                <w:b/>
                <w:color w:val="C00000"/>
                <w:sz w:val="22"/>
              </w:rPr>
              <w:t>readout</w:t>
            </w:r>
            <w:r>
              <w:rPr>
                <w:rFonts w:ascii="Aptos" w:hAnsi="Aptos"/>
                <w:sz w:val="22"/>
              </w:rPr>
              <w:t xml:space="preserve"> reported here is the unstimulated antibody-stained sample</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read-out – die Dissertation schreibt sonst „read-out“ (10×); „readout“ auch in 2.11 („the panel readout was not evaluable“).</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10</w:t>
            </w:r>
          </w:p>
        </w:tc>
        <w:tc>
          <w:tcPr>
            <w:tcW w:type="dxa" w:w="2608"/>
          </w:tcPr>
          <w:p>
            <w:pPr>
              <w:spacing w:after="0" w:before="0" w:line="276" w:lineRule="auto"/>
            </w:pPr>
            <w:r>
              <w:rPr>
                <w:rFonts w:ascii="Aptos" w:hAnsi="Aptos"/>
                <w:sz w:val="22"/>
              </w:rPr>
            </w:r>
            <w:r>
              <w:rPr>
                <w:rFonts w:ascii="Aptos" w:hAnsi="Aptos"/>
                <w:sz w:val="22"/>
              </w:rPr>
              <w:t>2.12 In Vitro Model of the Neutrophil–Tubule Axis, Absatz 1</w:t>
            </w:r>
          </w:p>
        </w:tc>
        <w:tc>
          <w:tcPr>
            <w:tcW w:type="dxa" w:w="5329"/>
          </w:tcPr>
          <w:p>
            <w:pPr>
              <w:spacing w:after="0" w:before="0" w:line="276" w:lineRule="auto"/>
            </w:pPr>
            <w:r>
              <w:rPr>
                <w:rFonts w:ascii="Aptos" w:hAnsi="Aptos"/>
                <w:sz w:val="22"/>
              </w:rPr>
              <w:t xml:space="preserve">To test the postulated renal–immune </w:t>
            </w:r>
            <w:r>
              <w:rPr>
                <w:rFonts w:ascii="Aptos" w:hAnsi="Aptos"/>
                <w:b/>
                <w:color w:val="C00000"/>
                <w:sz w:val="22"/>
              </w:rPr>
              <w:t>crosstalk</w:t>
            </w:r>
            <w:r>
              <w:rPr>
                <w:rFonts w:ascii="Aptos" w:hAnsi="Aptos"/>
                <w:sz w:val="22"/>
              </w:rPr>
              <w:t xml:space="preserve"> axis experimentally</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cross-talk – in 1.4 und im Paper „cross-talk“; „crosstalk“ zusätzlich in 4.4 („renal–immune crosstalk“) → einheitlich.</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11</w:t>
            </w:r>
          </w:p>
        </w:tc>
        <w:tc>
          <w:tcPr>
            <w:tcW w:type="dxa" w:w="2608"/>
          </w:tcPr>
          <w:p>
            <w:pPr>
              <w:spacing w:after="0" w:before="0" w:line="276" w:lineRule="auto"/>
            </w:pPr>
            <w:r>
              <w:rPr>
                <w:rFonts w:ascii="Aptos" w:hAnsi="Aptos"/>
                <w:sz w:val="22"/>
              </w:rPr>
            </w:r>
            <w:r>
              <w:rPr>
                <w:rFonts w:ascii="Aptos" w:hAnsi="Aptos"/>
                <w:sz w:val="22"/>
              </w:rPr>
              <w:t>2.12.2 Stimulation Protocol, Absatz 2</w:t>
            </w:r>
          </w:p>
        </w:tc>
        <w:tc>
          <w:tcPr>
            <w:tcW w:type="dxa" w:w="5329"/>
          </w:tcPr>
          <w:p>
            <w:pPr>
              <w:spacing w:after="0" w:before="0" w:line="276" w:lineRule="auto"/>
            </w:pPr>
            <w:r>
              <w:rPr>
                <w:rFonts w:ascii="Aptos" w:hAnsi="Aptos"/>
                <w:sz w:val="22"/>
              </w:rPr>
              <w:t xml:space="preserve">… </w:t>
            </w:r>
            <w:r>
              <w:rPr>
                <w:rFonts w:ascii="Aptos" w:hAnsi="Aptos"/>
                <w:sz w:val="22"/>
              </w:rPr>
              <w:t xml:space="preserve">before </w:t>
            </w:r>
            <w:r>
              <w:rPr>
                <w:rFonts w:ascii="Aptos" w:hAnsi="Aptos"/>
                <w:b/>
                <w:color w:val="C00000"/>
                <w:sz w:val="22"/>
              </w:rPr>
              <w:t>ex-vivo</w:t>
            </w:r>
            <w:r>
              <w:rPr>
                <w:rFonts w:ascii="Aptos" w:hAnsi="Aptos"/>
                <w:sz w:val="22"/>
              </w:rPr>
              <w:t xml:space="preserve"> ageing of the isolate becomes relevant</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ex vivo (ohne Bindestrich, wie „in vitro“/„in vivo“ in der ganzen Arbeit und „ex vivo“ im Paper)</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12</w:t>
            </w:r>
          </w:p>
        </w:tc>
        <w:tc>
          <w:tcPr>
            <w:tcW w:type="dxa" w:w="2608"/>
          </w:tcPr>
          <w:p>
            <w:pPr>
              <w:spacing w:after="0" w:before="0" w:line="276" w:lineRule="auto"/>
            </w:pPr>
            <w:r>
              <w:rPr>
                <w:rFonts w:ascii="Aptos" w:hAnsi="Aptos"/>
                <w:sz w:val="22"/>
              </w:rPr>
            </w:r>
            <w:r>
              <w:rPr>
                <w:rFonts w:ascii="Aptos" w:hAnsi="Aptos"/>
                <w:sz w:val="22"/>
              </w:rPr>
              <w:t>3.1 Patient Characteristics, Absatz 2</w:t>
            </w:r>
          </w:p>
        </w:tc>
        <w:tc>
          <w:tcPr>
            <w:tcW w:type="dxa" w:w="5329"/>
          </w:tcPr>
          <w:p>
            <w:pPr>
              <w:spacing w:after="0" w:before="0" w:line="276" w:lineRule="auto"/>
            </w:pPr>
            <w:r>
              <w:rPr>
                <w:rFonts w:ascii="Aptos" w:hAnsi="Aptos"/>
                <w:sz w:val="22"/>
              </w:rPr>
              <w:t xml:space="preserve">… </w:t>
            </w:r>
            <w:r>
              <w:rPr>
                <w:rFonts w:ascii="Aptos" w:hAnsi="Aptos"/>
                <w:sz w:val="22"/>
              </w:rPr>
              <w:t xml:space="preserve">CSA-AKI patients were numerically older (median 66.5 </w:t>
            </w:r>
            <w:r>
              <w:rPr>
                <w:rFonts w:ascii="Aptos" w:hAnsi="Aptos"/>
                <w:b/>
                <w:color w:val="C00000"/>
                <w:sz w:val="22"/>
              </w:rPr>
              <w:t>vs.</w:t>
            </w:r>
            <w:r>
              <w:rPr>
                <w:rFonts w:ascii="Aptos" w:hAnsi="Aptos"/>
                <w:sz w:val="22"/>
              </w:rPr>
              <w:t xml:space="preserve"> 60.0 years, p = 0.16)</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„vs.“ (44×) und „versus“ (38×) werden in der Dissertation gemischt, teils im selben Absatz (z. B. 3.3.1) → einheitlich; das Paper verwendet nur „versus“.</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13</w:t>
            </w:r>
          </w:p>
        </w:tc>
        <w:tc>
          <w:tcPr>
            <w:tcW w:type="dxa" w:w="2608"/>
          </w:tcPr>
          <w:p>
            <w:pPr>
              <w:spacing w:after="0" w:before="0" w:line="276" w:lineRule="auto"/>
            </w:pPr>
            <w:r>
              <w:rPr>
                <w:rFonts w:ascii="Aptos" w:hAnsi="Aptos"/>
                <w:sz w:val="22"/>
              </w:rPr>
            </w:r>
            <w:r>
              <w:rPr>
                <w:rFonts w:ascii="Aptos" w:hAnsi="Aptos"/>
                <w:sz w:val="22"/>
              </w:rPr>
              <w:t>3.2 Hypothesis 1 — Perioperative Neutrophil Reprogramming (Fig. 3), Absatz 3</w:t>
            </w:r>
          </w:p>
        </w:tc>
        <w:tc>
          <w:tcPr>
            <w:tcW w:type="dxa" w:w="5329"/>
          </w:tcPr>
          <w:p>
            <w:pPr>
              <w:spacing w:after="0" w:before="0" w:line="276" w:lineRule="auto"/>
            </w:pPr>
            <w:r>
              <w:rPr>
                <w:rFonts w:ascii="Aptos" w:hAnsi="Aptos"/>
                <w:sz w:val="22"/>
              </w:rPr>
              <w:t xml:space="preserve">Maturation </w:t>
            </w:r>
            <w:r>
              <w:rPr>
                <w:rFonts w:ascii="Aptos" w:hAnsi="Aptos"/>
                <w:b/>
                <w:color w:val="C00000"/>
                <w:sz w:val="22"/>
              </w:rPr>
              <w:t>left-shift</w:t>
            </w:r>
            <w:r>
              <w:rPr>
                <w:rFonts w:ascii="Aptos" w:hAnsi="Aptos"/>
                <w:sz w:val="22"/>
              </w:rPr>
              <w:t xml:space="preserve"> (24–48 h).</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Maturation left shift – sonst überall ohne Bindestrich (7×, z. B. 1.8, 4.2).</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14</w:t>
            </w:r>
          </w:p>
        </w:tc>
        <w:tc>
          <w:tcPr>
            <w:tcW w:type="dxa" w:w="2608"/>
          </w:tcPr>
          <w:p>
            <w:pPr>
              <w:spacing w:after="0" w:before="0" w:line="276" w:lineRule="auto"/>
            </w:pPr>
            <w:r>
              <w:rPr>
                <w:rFonts w:ascii="Aptos" w:hAnsi="Aptos"/>
                <w:sz w:val="22"/>
              </w:rPr>
            </w:r>
            <w:r>
              <w:rPr>
                <w:rFonts w:ascii="Aptos" w:hAnsi="Aptos"/>
                <w:sz w:val="22"/>
              </w:rPr>
              <w:t>Legende Tabelle 5</w:t>
            </w:r>
          </w:p>
        </w:tc>
        <w:tc>
          <w:tcPr>
            <w:tcW w:type="dxa" w:w="5329"/>
          </w:tcPr>
          <w:p>
            <w:pPr>
              <w:spacing w:after="0" w:before="0" w:line="276" w:lineRule="auto"/>
            </w:pPr>
            <w:r>
              <w:rPr>
                <w:rFonts w:ascii="Aptos" w:hAnsi="Aptos"/>
                <w:sz w:val="22"/>
              </w:rPr>
              <w:t xml:space="preserve">… </w:t>
            </w:r>
            <w:r>
              <w:rPr>
                <w:rFonts w:ascii="Aptos" w:hAnsi="Aptos"/>
                <w:sz w:val="22"/>
              </w:rPr>
              <w:t xml:space="preserve">Friedman test across the five patient time points (complete cases, n = 26; CD66b n = 24) with Dunn–Bonferroni </w:t>
            </w:r>
            <w:r>
              <w:rPr>
                <w:rFonts w:ascii="Aptos" w:hAnsi="Aptos"/>
                <w:b/>
                <w:color w:val="C00000"/>
                <w:sz w:val="22"/>
              </w:rPr>
              <w:t>post-hoc</w:t>
            </w:r>
            <w:r>
              <w:rPr>
                <w:rFonts w:ascii="Aptos" w:hAnsi="Aptos"/>
                <w:sz w:val="22"/>
              </w:rPr>
              <w:t>;</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with Dunn–Bonferroni post-hoc test; – „post-hoc“ ist ein Adjektiv, das Substantiv fehlt. Gleiche Formulierung in den Legenden von Tab. 6, 7, 8 und Abb. 4, 5, 6 (in 2.13 korrekt „Dunn’s post-hoc test“).</w:t>
            </w:r>
          </w:p>
        </w:tc>
        <w:tc>
          <w:tcPr>
            <w:tcW w:type="dxa" w:w="1644"/>
          </w:tcPr>
          <w:p>
            <w:pPr>
              <w:spacing w:after="0" w:before="0" w:line="276" w:lineRule="auto"/>
            </w:pPr>
            <w:r>
              <w:rPr>
                <w:rFonts w:ascii="Aptos" w:hAnsi="Aptos"/>
                <w:sz w:val="22"/>
              </w:rPr>
            </w:r>
            <w:r>
              <w:rPr>
                <w:rFonts w:ascii="Aptos" w:hAnsi="Aptos"/>
                <w:sz w:val="22"/>
              </w:rPr>
              <w:t>Unsicher</w:t>
            </w:r>
          </w:p>
        </w:tc>
      </w:tr>
      <w:tr>
        <w:trPr>
          <w:cantSplit w:val="true"/>
        </w:trPr>
        <w:tc>
          <w:tcPr>
            <w:tcW w:type="dxa" w:w="680"/>
          </w:tcPr>
          <w:p>
            <w:pPr>
              <w:spacing w:after="0" w:before="0" w:line="276" w:lineRule="auto"/>
            </w:pPr>
            <w:r>
              <w:rPr>
                <w:rFonts w:ascii="Aptos" w:hAnsi="Aptos"/>
                <w:sz w:val="22"/>
              </w:rPr>
            </w:r>
            <w:r>
              <w:rPr>
                <w:rFonts w:ascii="Aptos" w:hAnsi="Aptos"/>
                <w:sz w:val="22"/>
              </w:rPr>
              <w:t>15</w:t>
            </w:r>
          </w:p>
        </w:tc>
        <w:tc>
          <w:tcPr>
            <w:tcW w:type="dxa" w:w="2608"/>
          </w:tcPr>
          <w:p>
            <w:pPr>
              <w:spacing w:after="0" w:before="0" w:line="276" w:lineRule="auto"/>
            </w:pPr>
            <w:r>
              <w:rPr>
                <w:rFonts w:ascii="Aptos" w:hAnsi="Aptos"/>
                <w:sz w:val="22"/>
              </w:rPr>
            </w:r>
            <w:r>
              <w:rPr>
                <w:rFonts w:ascii="Aptos" w:hAnsi="Aptos"/>
                <w:sz w:val="22"/>
              </w:rPr>
              <w:t>3.4.4 RPTEC Supernatant after Exposure to PMN Supernatant (Fig. 12c), Absatz 6</w:t>
            </w:r>
          </w:p>
        </w:tc>
        <w:tc>
          <w:tcPr>
            <w:tcW w:type="dxa" w:w="5329"/>
          </w:tcPr>
          <w:p>
            <w:pPr>
              <w:spacing w:after="0" w:before="0" w:line="276" w:lineRule="auto"/>
            </w:pPr>
            <w:r>
              <w:rPr>
                <w:rFonts w:ascii="Aptos" w:hAnsi="Aptos"/>
                <w:sz w:val="22"/>
              </w:rPr>
              <w:t xml:space="preserve">… </w:t>
            </w:r>
            <w:r>
              <w:rPr>
                <w:rFonts w:ascii="Aptos" w:hAnsi="Aptos"/>
                <w:sz w:val="22"/>
              </w:rPr>
              <w:t xml:space="preserve">so these </w:t>
            </w:r>
            <w:r>
              <w:rPr>
                <w:rFonts w:ascii="Aptos" w:hAnsi="Aptos"/>
                <w:b/>
                <w:color w:val="C00000"/>
                <w:sz w:val="22"/>
              </w:rPr>
              <w:t>p values</w:t>
            </w:r>
            <w:r>
              <w:rPr>
                <w:rFonts w:ascii="Aptos" w:hAnsi="Aptos"/>
                <w:sz w:val="22"/>
              </w:rPr>
              <w:t xml:space="preserve"> are not interpretable</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p-values – sonst durchgehend „p-value(s)“ (12×); ebenso 3.4.5 „an adjusted p value above 0.99“.</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16</w:t>
            </w:r>
          </w:p>
        </w:tc>
        <w:tc>
          <w:tcPr>
            <w:tcW w:type="dxa" w:w="2608"/>
          </w:tcPr>
          <w:p>
            <w:pPr>
              <w:spacing w:after="0" w:before="0" w:line="276" w:lineRule="auto"/>
            </w:pPr>
            <w:r>
              <w:rPr>
                <w:rFonts w:ascii="Aptos" w:hAnsi="Aptos"/>
                <w:sz w:val="22"/>
              </w:rPr>
            </w:r>
            <w:r>
              <w:rPr>
                <w:rFonts w:ascii="Aptos" w:hAnsi="Aptos"/>
                <w:sz w:val="22"/>
              </w:rPr>
              <w:t>Legende Abb. 14</w:t>
            </w:r>
          </w:p>
        </w:tc>
        <w:tc>
          <w:tcPr>
            <w:tcW w:type="dxa" w:w="5329"/>
          </w:tcPr>
          <w:p>
            <w:pPr>
              <w:spacing w:after="0" w:before="0" w:line="276" w:lineRule="auto"/>
            </w:pPr>
            <w:r>
              <w:rPr>
                <w:rFonts w:ascii="Aptos" w:hAnsi="Aptos"/>
                <w:sz w:val="22"/>
              </w:rPr>
              <w:t xml:space="preserve">… </w:t>
            </w:r>
            <w:r>
              <w:rPr>
                <w:rFonts w:ascii="Aptos" w:hAnsi="Aptos"/>
                <w:sz w:val="22"/>
              </w:rPr>
              <w:t xml:space="preserve">sCD40L, soluble CD40 ligand; </w:t>
            </w:r>
            <w:r>
              <w:rPr>
                <w:rFonts w:ascii="Aptos" w:hAnsi="Aptos"/>
                <w:b/>
                <w:color w:val="C00000"/>
                <w:sz w:val="22"/>
              </w:rPr>
              <w:t>sCrea</w:t>
            </w:r>
            <w:r>
              <w:rPr>
                <w:rFonts w:ascii="Aptos" w:hAnsi="Aptos"/>
                <w:sz w:val="22"/>
              </w:rPr>
              <w:t>, serum creatinine</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sCr – im Abkürzungsverzeichnis und überall sonst „sCr“.</w:t>
            </w:r>
          </w:p>
        </w:tc>
        <w:tc>
          <w:tcPr>
            <w:tcW w:type="dxa" w:w="1644"/>
          </w:tcPr>
          <w:p>
            <w:pPr>
              <w:spacing w:after="0" w:before="0" w:line="276" w:lineRule="auto"/>
            </w:pPr>
            <w:r>
              <w:rPr>
                <w:rFonts w:ascii="Aptos" w:hAnsi="Aptos"/>
                <w:sz w:val="22"/>
              </w:rPr>
            </w:r>
            <w:r>
              <w:rPr>
                <w:rFonts w:ascii="Aptos" w:hAnsi="Aptos"/>
                <w:sz w:val="22"/>
              </w:rPr>
              <w:t>Inkonsistenz</w:t>
            </w:r>
          </w:p>
        </w:tc>
      </w:tr>
      <w:tr>
        <w:trPr>
          <w:cantSplit w:val="true"/>
        </w:trPr>
        <w:tc>
          <w:tcPr>
            <w:tcW w:type="dxa" w:w="680"/>
          </w:tcPr>
          <w:p>
            <w:pPr>
              <w:spacing w:after="0" w:before="0" w:line="276" w:lineRule="auto"/>
            </w:pPr>
            <w:r>
              <w:rPr>
                <w:rFonts w:ascii="Aptos" w:hAnsi="Aptos"/>
                <w:sz w:val="22"/>
              </w:rPr>
            </w:r>
            <w:r>
              <w:rPr>
                <w:rFonts w:ascii="Aptos" w:hAnsi="Aptos"/>
                <w:sz w:val="22"/>
              </w:rPr>
              <w:t>17</w:t>
            </w:r>
          </w:p>
        </w:tc>
        <w:tc>
          <w:tcPr>
            <w:tcW w:type="dxa" w:w="2608"/>
          </w:tcPr>
          <w:p>
            <w:pPr>
              <w:spacing w:after="0" w:before="0" w:line="276" w:lineRule="auto"/>
            </w:pPr>
            <w:r>
              <w:rPr>
                <w:rFonts w:ascii="Aptos" w:hAnsi="Aptos"/>
                <w:sz w:val="22"/>
              </w:rPr>
            </w:r>
            <w:r>
              <w:rPr>
                <w:rFonts w:ascii="Aptos" w:hAnsi="Aptos"/>
                <w:sz w:val="22"/>
              </w:rPr>
              <w:t>4.7 Conclusions, Absatz 1</w:t>
            </w:r>
          </w:p>
        </w:tc>
        <w:tc>
          <w:tcPr>
            <w:tcW w:type="dxa" w:w="5329"/>
          </w:tcPr>
          <w:p>
            <w:pPr>
              <w:spacing w:after="0" w:before="0" w:line="276" w:lineRule="auto"/>
            </w:pPr>
            <w:r>
              <w:rPr>
                <w:rFonts w:ascii="Aptos" w:hAnsi="Aptos"/>
                <w:sz w:val="22"/>
              </w:rPr>
              <w:t xml:space="preserve">… </w:t>
            </w:r>
            <w:r>
              <w:rPr>
                <w:rFonts w:ascii="Aptos" w:hAnsi="Aptos"/>
                <w:sz w:val="22"/>
              </w:rPr>
              <w:t xml:space="preserve">whether it carries renal prognostic information and whether these hypothesis-generating findings can serve as an earlier trigger for biomarker-guided KDIGO bundles </w:t>
            </w:r>
            <w:r>
              <w:rPr>
                <w:rFonts w:ascii="Aptos" w:hAnsi="Aptos"/>
                <w:b/>
                <w:color w:val="C00000"/>
                <w:sz w:val="22"/>
              </w:rPr>
              <w:t>has</w:t>
            </w:r>
            <w:r>
              <w:rPr>
                <w:rFonts w:ascii="Aptos" w:hAnsi="Aptos"/>
                <w:sz w:val="22"/>
              </w:rPr>
              <w:t xml:space="preserve"> to be shown in an independent cohort</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 have to be shown … – zwei mit „and“ verbundene „whether“-Sätze bilden ein Subjekt im Plural.</w:t>
            </w:r>
          </w:p>
        </w:tc>
        <w:tc>
          <w:tcPr>
            <w:tcW w:type="dxa" w:w="1644"/>
          </w:tcPr>
          <w:p>
            <w:pPr>
              <w:spacing w:after="0" w:before="0" w:line="276" w:lineRule="auto"/>
            </w:pPr>
            <w:r>
              <w:rPr>
                <w:rFonts w:ascii="Aptos" w:hAnsi="Aptos"/>
                <w:sz w:val="22"/>
              </w:rPr>
            </w:r>
            <w:r>
              <w:rPr>
                <w:rFonts w:ascii="Aptos" w:hAnsi="Aptos"/>
                <w:sz w:val="22"/>
              </w:rPr>
              <w:t>Grammatik</w:t>
            </w:r>
          </w:p>
        </w:tc>
      </w:tr>
      <w:tr>
        <w:trPr>
          <w:cantSplit w:val="true"/>
        </w:trPr>
        <w:tc>
          <w:tcPr>
            <w:tcW w:type="dxa" w:w="680"/>
          </w:tcPr>
          <w:p>
            <w:pPr>
              <w:spacing w:after="0" w:before="0" w:line="276" w:lineRule="auto"/>
            </w:pPr>
            <w:r>
              <w:rPr>
                <w:rFonts w:ascii="Aptos" w:hAnsi="Aptos"/>
                <w:sz w:val="22"/>
              </w:rPr>
            </w:r>
            <w:r>
              <w:rPr>
                <w:rFonts w:ascii="Aptos" w:hAnsi="Aptos"/>
                <w:sz w:val="22"/>
              </w:rPr>
              <w:t>18</w:t>
            </w:r>
          </w:p>
        </w:tc>
        <w:tc>
          <w:tcPr>
            <w:tcW w:type="dxa" w:w="2608"/>
          </w:tcPr>
          <w:p>
            <w:pPr>
              <w:spacing w:after="0" w:before="0" w:line="276" w:lineRule="auto"/>
            </w:pPr>
            <w:r>
              <w:rPr>
                <w:rFonts w:ascii="Aptos" w:hAnsi="Aptos"/>
                <w:sz w:val="22"/>
              </w:rPr>
            </w:r>
            <w:r>
              <w:rPr>
                <w:rFonts w:ascii="Aptos" w:hAnsi="Aptos"/>
                <w:sz w:val="22"/>
              </w:rPr>
              <w:t>Literatur Nr. 43 (Zarbock et al.)</w:t>
            </w:r>
          </w:p>
        </w:tc>
        <w:tc>
          <w:tcPr>
            <w:tcW w:type="dxa" w:w="532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(BigpAK-2): a multinational … – im Originaltitel vermutlich Doppelpunkt; bitte am Original prüfen.</w:t>
            </w:r>
          </w:p>
        </w:tc>
        <w:tc>
          <w:tcPr>
            <w:tcW w:type="dxa" w:w="1644"/>
          </w:tcPr>
          <w:p>
            <w:pPr>
              <w:spacing w:after="0" w:before="0" w:line="276" w:lineRule="auto"/>
            </w:pPr>
            <w:r>
              <w:rPr>
                <w:rFonts w:ascii="Aptos" w:hAnsi="Aptos"/>
                <w:sz w:val="22"/>
              </w:rPr>
            </w:r>
            <w:r>
              <w:rPr>
                <w:rFonts w:ascii="Aptos" w:hAnsi="Aptos"/>
                <w:sz w:val="22"/>
              </w:rPr>
              <w:t>Unsicher</w:t>
            </w:r>
          </w:p>
        </w:tc>
      </w:tr>
      <w:tr>
        <w:trPr>
          <w:cantSplit w:val="true"/>
        </w:trPr>
        <w:tc>
          <w:tcPr>
            <w:tcW w:type="dxa" w:w="680"/>
          </w:tcPr>
          <w:p>
            <w:pPr>
              <w:spacing w:after="0" w:before="0" w:line="276" w:lineRule="auto"/>
            </w:pPr>
            <w:r>
              <w:rPr>
                <w:rFonts w:ascii="Aptos" w:hAnsi="Aptos"/>
                <w:sz w:val="22"/>
              </w:rPr>
            </w:r>
            <w:r>
              <w:rPr>
                <w:rFonts w:ascii="Aptos" w:hAnsi="Aptos"/>
                <w:sz w:val="22"/>
              </w:rPr>
              <w:t>19</w:t>
            </w:r>
          </w:p>
        </w:tc>
        <w:tc>
          <w:tcPr>
            <w:tcW w:type="dxa" w:w="2608"/>
          </w:tcPr>
          <w:p>
            <w:pPr>
              <w:spacing w:after="0" w:before="0" w:line="276" w:lineRule="auto"/>
            </w:pPr>
            <w:r>
              <w:rPr>
                <w:rFonts w:ascii="Aptos" w:hAnsi="Aptos"/>
                <w:sz w:val="22"/>
              </w:rPr>
            </w:r>
            <w:r>
              <w:rPr>
                <w:rFonts w:ascii="Aptos" w:hAnsi="Aptos"/>
                <w:sz w:val="22"/>
              </w:rPr>
              <w:t>Curriculum Vitae, Zeile Scholarship</w:t>
            </w:r>
          </w:p>
        </w:tc>
        <w:tc>
          <w:tcPr>
            <w:tcW w:type="dxa" w:w="5329"/>
          </w:tcPr>
          <w:p>
            <w:pPr>
              <w:spacing w:after="0" w:before="0" w:line="276" w:lineRule="auto"/>
            </w:pPr>
            <w:r>
              <w:rPr>
                <w:rFonts w:ascii="Aptos" w:hAnsi="Aptos"/>
                <w:sz w:val="22"/>
              </w:rPr>
              <w:t xml:space="preserve">… </w:t>
            </w:r>
            <w:r>
              <w:rPr>
                <w:rFonts w:ascii="Aptos" w:hAnsi="Aptos"/>
                <w:b/>
                <w:color w:val="C00000"/>
                <w:sz w:val="22"/>
              </w:rPr>
              <w:t>Scholarship</w:t>
            </w:r>
            <w:r>
              <w:rPr>
                <w:rFonts w:ascii="Aptos" w:hAnsi="Aptos"/>
                <w:sz w:val="22"/>
              </w:rPr>
              <w:t xml:space="preserve"> │ Doctoral programme “Experimental Medicine”</w:t>
            </w:r>
            <w:r>
              <w:rPr>
                <w:rFonts w:ascii="Aptos" w:hAnsi="Aptos"/>
                <w:sz w:val="22"/>
              </w:rPr>
              <w:t xml:space="preserve"> …</w:t>
            </w:r>
          </w:p>
        </w:tc>
        <w:tc>
          <w:tcPr>
            <w:tcW w:type="dxa" w:w="4309"/>
          </w:tcPr>
          <w:p>
            <w:pPr>
              <w:spacing w:after="0" w:before="0" w:line="276" w:lineRule="auto"/>
            </w:pPr>
            <w:r>
              <w:rPr>
                <w:rFonts w:ascii="Aptos" w:hAnsi="Aptos"/>
                <w:sz w:val="22"/>
              </w:rPr>
            </w:r>
            <w:r>
              <w:rPr>
                <w:rFonts w:ascii="Aptos" w:hAnsi="Aptos"/>
                <w:sz w:val="22"/>
              </w:rPr>
              <w:t>Scholarships – es folgen zwei Stipendien (Promotionsprogramm und PROMOS).</w:t>
            </w:r>
          </w:p>
        </w:tc>
        <w:tc>
          <w:tcPr>
            <w:tcW w:type="dxa" w:w="1644"/>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Hinweise zur Prüfung</w:t>
      </w:r>
    </w:p>
    <w:p>
      <w:pPr>
        <w:spacing w:after="0" w:before="0" w:line="276" w:lineRule="auto"/>
      </w:pPr>
      <w:r>
        <w:rPr>
          <w:rFonts w:ascii="Aptos" w:hAnsi="Aptos"/>
          <w:sz w:val="22"/>
        </w:rPr>
        <w:t>• Der Text beider Dateien ließ sich vollständig auslesen (Paper ca. 10.900, Dissertation ca. 29.500 Wörter inkl. Tabellen und Literatur). Fußnoten und Änderungsverfolgung sind nicht vorhanden.</w:t>
      </w:r>
    </w:p>
    <w:p>
      <w:pPr>
        <w:spacing w:after="0" w:before="0" w:line="276" w:lineRule="auto"/>
      </w:pPr>
      <w:r>
        <w:rPr>
          <w:rFonts w:ascii="Aptos" w:hAnsi="Aptos"/>
          <w:sz w:val="22"/>
        </w:rPr>
        <w:t>• Bilder und Beschriftungen innerhalb der Abbildungen wurden wie vereinbart nicht geprüft (im Paper enthalten die vier Textfelder nur die Feldbuchstaben a/b).</w:t>
      </w:r>
    </w:p>
    <w:p>
      <w:pPr>
        <w:spacing w:after="0" w:before="0" w:line="276" w:lineRule="auto"/>
      </w:pPr>
      <w:r>
        <w:rPr>
          <w:rFonts w:ascii="Aptos" w:hAnsi="Aptos"/>
          <w:sz w:val="22"/>
        </w:rPr>
        <w:t>• Abbildungs- und Tabellennummern der Dissertation sind automatische Word-Felder; sie wurden über das Abbildungs- und Tabellenverzeichnis abgeglichen und sind lückenlos (Abb. 1–14, Tab. 1–11).</w:t>
      </w:r>
    </w:p>
    <w:p>
      <w:pPr>
        <w:spacing w:after="0" w:before="0" w:line="276" w:lineRule="auto"/>
      </w:pPr>
      <w:r>
        <w:rPr>
          <w:rFonts w:ascii="Aptos" w:hAnsi="Aptos"/>
          <w:sz w:val="22"/>
        </w:rPr>
        <w:t>• Bewusst nicht gemeldet: korrekte Fachbegriffe, Gen-/Proteinnamen und Abkürzungen, britische Schreibweise (durchgehend einheitlich: haemoglobin, ischaemia, centre, normalise, programme), die CRediT-Fachbegriffe „Conceptualization“/„Visualization“ (feste Bezeichnungen), sowie Titel im Literaturverzeichnis, die so im Original erscheinen.</w:t>
      </w:r>
    </w:p>
    <w:p>
      <w:pPr>
        <w:spacing w:after="0" w:before="0" w:line="276" w:lineRule="auto"/>
      </w:pPr>
      <w:r>
        <w:rPr>
          <w:rFonts w:ascii="Aptos" w:hAnsi="Aptos"/>
          <w:sz w:val="22"/>
        </w:rPr>
        <w:t>• Unterschied zwischen den Dokumenten ohne Fehlerwert: Das Paper schreibt Prozent ohne Leerzeichen („30.8%“), die Dissertation mit Leerzeichen („30.8 %“) – jeweils in sich einheitlich.</w:t>
      </w:r>
    </w:p>
    <w:sectPr w:rsidR="00FC693F" w:rsidRPr="0006063C" w:rsidSect="00034616">
      <w:pgSz w:w="16838" w:h="11906" w:orient="landscape"/>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Aptos" w:hAnsi="Aptos" w:cs="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Aptos" w:hAnsi="Aptos" w:cs="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Aptos" w:hAnsi="Aptos" w:cs="Aptos" w:eastAsia="Aptos"/>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76" w:lineRule="auto" w:before="0"/>
      <w:contextualSpacing/>
    </w:pPr>
    <w:rPr>
      <w:rFonts w:ascii="Aptos" w:hAnsi="Aptos" w:cs="Aptos" w:eastAsia="Aptos"/>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hAnsi="Aptos" w:cs="Aptos" w:eastAsia="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