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9FB" w:rsidRDefault="00A459FB" w:rsidP="000B6618">
      <w:pPr>
        <w:spacing w:line="276" w:lineRule="auto"/>
      </w:pPr>
      <w:r w:rsidRPr="00E5200A">
        <w:rPr>
          <w:noProof/>
          <w:lang w:eastAsia="fr-FR"/>
        </w:rPr>
        <w:drawing>
          <wp:anchor distT="0" distB="0" distL="114300" distR="114300" simplePos="0" relativeHeight="251659264" behindDoc="0" locked="0" layoutInCell="1" allowOverlap="1">
            <wp:simplePos x="0" y="0"/>
            <wp:positionH relativeFrom="column">
              <wp:posOffset>2271395</wp:posOffset>
            </wp:positionH>
            <wp:positionV relativeFrom="paragraph">
              <wp:posOffset>-294640</wp:posOffset>
            </wp:positionV>
            <wp:extent cx="1784985" cy="2000885"/>
            <wp:effectExtent l="0" t="0" r="5715" b="0"/>
            <wp:wrapSquare wrapText="bothSides"/>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4985" cy="2000885"/>
                    </a:xfrm>
                    <a:prstGeom prst="rect">
                      <a:avLst/>
                    </a:prstGeom>
                  </pic:spPr>
                </pic:pic>
              </a:graphicData>
            </a:graphic>
          </wp:anchor>
        </w:drawing>
      </w: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Default="00A459FB" w:rsidP="000B6618">
      <w:pPr>
        <w:spacing w:line="276" w:lineRule="auto"/>
      </w:pPr>
    </w:p>
    <w:p w:rsidR="00A459FB" w:rsidRPr="0053181C" w:rsidRDefault="00A459FB" w:rsidP="000B6618">
      <w:pPr>
        <w:pStyle w:val="Titre"/>
        <w:spacing w:line="276" w:lineRule="auto"/>
        <w:rPr>
          <w:sz w:val="40"/>
        </w:rPr>
      </w:pPr>
      <w:r w:rsidRPr="0053181C">
        <w:rPr>
          <w:sz w:val="40"/>
        </w:rPr>
        <w:t xml:space="preserve">République de Guinée </w:t>
      </w:r>
    </w:p>
    <w:p w:rsidR="00A459FB" w:rsidRPr="0053181C" w:rsidRDefault="00A459FB" w:rsidP="000B6618">
      <w:pPr>
        <w:pStyle w:val="Titre"/>
        <w:spacing w:before="200" w:line="276" w:lineRule="auto"/>
        <w:rPr>
          <w:sz w:val="32"/>
        </w:rPr>
      </w:pPr>
      <w:r w:rsidRPr="0053181C">
        <w:rPr>
          <w:sz w:val="32"/>
        </w:rPr>
        <w:t xml:space="preserve">Contribution prévue </w:t>
      </w:r>
      <w:r w:rsidR="00FF4C7E" w:rsidRPr="0053181C">
        <w:rPr>
          <w:sz w:val="32"/>
        </w:rPr>
        <w:t>déterminée</w:t>
      </w:r>
      <w:r w:rsidRPr="0053181C">
        <w:rPr>
          <w:sz w:val="32"/>
        </w:rPr>
        <w:t xml:space="preserve"> au niveau national</w:t>
      </w:r>
      <w:r w:rsidR="006B27D0" w:rsidRPr="0053181C">
        <w:rPr>
          <w:sz w:val="32"/>
        </w:rPr>
        <w:t xml:space="preserve"> (CPDN)</w:t>
      </w:r>
      <w:r w:rsidRPr="0053181C">
        <w:rPr>
          <w:sz w:val="32"/>
        </w:rPr>
        <w:t xml:space="preserve"> au titre de la Convention des Nations Unies sur le changement climatique</w:t>
      </w:r>
      <w:r w:rsidR="006B27D0" w:rsidRPr="0053181C">
        <w:rPr>
          <w:sz w:val="32"/>
        </w:rPr>
        <w:t xml:space="preserve"> (CCNUCC)</w:t>
      </w:r>
    </w:p>
    <w:p w:rsidR="007D6F9A" w:rsidRDefault="007D6F9A">
      <w:pPr>
        <w:spacing w:after="0"/>
        <w:jc w:val="left"/>
      </w:pPr>
    </w:p>
    <w:p w:rsidR="005C453A" w:rsidRDefault="005C453A" w:rsidP="00FF4C7E">
      <w:pPr>
        <w:spacing w:after="0"/>
        <w:jc w:val="center"/>
      </w:pPr>
    </w:p>
    <w:bookmarkStart w:id="0" w:name="h.2yh2s1hri00f" w:colFirst="0" w:colLast="0"/>
    <w:bookmarkEnd w:id="0"/>
    <w:p w:rsidR="002D6A82" w:rsidRDefault="00901CA0" w:rsidP="00FF4C7E">
      <w:pPr>
        <w:spacing w:after="0"/>
        <w:jc w:val="center"/>
      </w:pPr>
      <w:r>
        <w:rPr>
          <w:noProof/>
          <w:lang w:eastAsia="fr-FR"/>
        </w:rPr>
        <mc:AlternateContent>
          <mc:Choice Requires="wps">
            <w:drawing>
              <wp:anchor distT="0" distB="0" distL="114300" distR="114300" simplePos="0" relativeHeight="251661312" behindDoc="0" locked="0" layoutInCell="0" allowOverlap="1">
                <wp:simplePos x="0" y="0"/>
                <wp:positionH relativeFrom="margin">
                  <wp:posOffset>1828165</wp:posOffset>
                </wp:positionH>
                <wp:positionV relativeFrom="margin">
                  <wp:posOffset>8281035</wp:posOffset>
                </wp:positionV>
                <wp:extent cx="2436495" cy="324485"/>
                <wp:effectExtent l="25400" t="24765" r="24130" b="22225"/>
                <wp:wrapSquare wrapText="bothSides"/>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6495" cy="324485"/>
                        </a:xfrm>
                        <a:prstGeom prst="bracketPair">
                          <a:avLst>
                            <a:gd name="adj" fmla="val 8051"/>
                          </a:avLst>
                        </a:prstGeom>
                        <a:noFill/>
                        <a:ln w="38100">
                          <a:solidFill>
                            <a:schemeClr val="bg1">
                              <a:lumMod val="100000"/>
                              <a:lumOff val="0"/>
                            </a:schemeClr>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5D7035"/>
                                </a:outerShdw>
                              </a:effectLst>
                            </a14:hiddenEffects>
                          </a:ext>
                        </a:extLst>
                      </wps:spPr>
                      <wps:txbx>
                        <w:txbxContent>
                          <w:p w:rsidR="00827865" w:rsidRPr="005C453A" w:rsidRDefault="00827865">
                            <w:pPr>
                              <w:spacing w:after="0"/>
                              <w:jc w:val="center"/>
                              <w:rPr>
                                <w:i/>
                                <w:iCs/>
                                <w:color w:val="7F7F7F" w:themeColor="text1" w:themeTint="80"/>
                                <w:sz w:val="24"/>
                              </w:rPr>
                            </w:pPr>
                            <w:r>
                              <w:rPr>
                                <w:i/>
                                <w:iCs/>
                                <w:color w:val="7F7F7F" w:themeColor="text1" w:themeTint="80"/>
                                <w:sz w:val="24"/>
                              </w:rPr>
                              <w:t>Septembre 2015</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143.95pt;margin-top:652.05pt;width:191.85pt;height:25.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hHEKwMAAKQGAAAOAAAAZHJzL2Uyb0RvYy54bWysVU2P0zAQvSPxHyzfs0matGmjzaJu2iIk&#10;PlZaEGc3dhqDYwfb3XRB/HfGTprtwgUheog89ng8782b6fWrUyvQA9OGK1ng+CrCiMlKUS4PBf70&#10;cRcsMTKWSEqEkqzAj8zgVzcvX1z3Xc5mqlGCMo0giDR53xW4sbbLw9BUDWuJuVIdk3BYK90SC6Y+&#10;hFSTHqK3IpxF0SLslaadVhUzBnY3wyG+8fHrmlX2Q10bZpEoMORm/Vf77959w5trkh806RpejWmQ&#10;f8iiJVzCo1OoDbEEHTX/I1TLK62Mqu1VpdpQ1TWvmMcAaOLoNzT3DemYxwLkmG6iyfy/sNX7hzuN&#10;OC1wgpEkLZRoB2QzRI5WAef825GhmaOp70wO3vfdnXZATfdWVV8NkqpsiDywtdaqbxihkFzs/MNn&#10;F5xh4Cra9+8UhVdcfM/YqdatCwhcoJMvzONUGHayqILNWZos0tUcowrOklmaLuf+CZKfb3fa2NdM&#10;tcgtCrzXpPrK7B3h2j9CHt4a6+tDR5SEfsGobgVU+4EItIzmQ9YkH31Dkp+DuotS7bgQXi5Coh7S&#10;WMZR5IMbJTh1p54Xp1xWCo0gLCRyiL2POLaAe9iDe/AbpAf7INBh32/Bs178LgSQCNZldK2Okvok&#10;HNXbcW0JF8Ma/IV0aTCvfQDtnYHHEb9j1OvyxypabZfbZRqks8U2SKPNJljvyjRY7OJsvkk2ZbmJ&#10;f7rc4zRvOKVMOojnHonTv9Pg2K2DuqcueYbJ6MN+4msFlU7SsbgXbuHzNDwzgMVDnSCtd/MoS5Nl&#10;kGXzJEiTbRTcLndlsC7jxSLb3pa3298gbT1N5v+gmjh3WamjZfq+oT2i3CkyzlaLGIMBw2eWDQpA&#10;RBxgalZWY6SV/cxt41ve6d/FeMbMfJNFyVn2U/SBiHOxnTWVa8T2RBWI4ywE35yuH4e+tqf9CYTi&#10;mnSv6CO0KaTjexFGOywapb9j1MOYLLD5diSaYSTeSGj1dJ7N3Fy9NPSlsb80iKwgVIEtRsOytMMs&#10;PnaaHxpH0wC8W8N42HGnXp/qkNVowCj0oMax7Wbtpe29nv5cbn4BAAD//wMAUEsDBBQABgAIAAAA&#10;IQDi8/kP4gAAAA0BAAAPAAAAZHJzL2Rvd25yZXYueG1sTI/BToNAEIbvJr7DZky82QUU2iJLoza1&#10;Fw/a4n0LIxDZWcIuLfbpnZ70OPN/+eebbDWZThxxcK0lBeEsAIFU2qqlWkGx39wtQDivqdKdJVTw&#10;gw5W+fVVptPKnugDjztfCy4hl2oFjfd9KqUrGzTazWyPxNmXHYz2PA61rAZ94nLTySgIEml0S3yh&#10;0T2+NFh+70aj4Pz89tqv46J07nNdvC835+1o90rd3kxPjyA8Tv4Phos+q0POTgc7UuVEpyBazJeM&#10;cnAfPIQgGEnmYQLicFnFcQQyz+T/L/JfAAAA//8DAFBLAQItABQABgAIAAAAIQC2gziS/gAAAOEB&#10;AAATAAAAAAAAAAAAAAAAAAAAAABbQ29udGVudF9UeXBlc10ueG1sUEsBAi0AFAAGAAgAAAAhADj9&#10;If/WAAAAlAEAAAsAAAAAAAAAAAAAAAAALwEAAF9yZWxzLy5yZWxzUEsBAi0AFAAGAAgAAAAhAJhS&#10;EcQrAwAApAYAAA4AAAAAAAAAAAAAAAAALgIAAGRycy9lMm9Eb2MueG1sUEsBAi0AFAAGAAgAAAAh&#10;AOLz+Q/iAAAADQEAAA8AAAAAAAAAAAAAAAAAhQUAAGRycy9kb3ducmV2LnhtbFBLBQYAAAAABAAE&#10;APMAAACUBgAAAAA=&#10;" o:allowincell="f" adj="1739" fillcolor="#943634" strokecolor="white [3212]" strokeweight="3pt">
                <v:shadow color="#5d7035" offset="1pt,1pt"/>
                <v:textbox style="mso-fit-shape-to-text:t" inset="3.6pt,,3.6pt">
                  <w:txbxContent>
                    <w:p w:rsidR="005C453A" w:rsidRPr="005C453A" w:rsidRDefault="005C453A">
                      <w:pPr>
                        <w:spacing w:after="0"/>
                        <w:jc w:val="center"/>
                        <w:rPr>
                          <w:i/>
                          <w:iCs/>
                          <w:color w:val="7F7F7F" w:themeColor="text1" w:themeTint="80"/>
                          <w:sz w:val="24"/>
                        </w:rPr>
                      </w:pPr>
                      <w:r>
                        <w:rPr>
                          <w:i/>
                          <w:iCs/>
                          <w:color w:val="7F7F7F" w:themeColor="text1" w:themeTint="80"/>
                          <w:sz w:val="24"/>
                        </w:rPr>
                        <w:t>Septembre 2015</w:t>
                      </w:r>
                    </w:p>
                  </w:txbxContent>
                </v:textbox>
                <w10:wrap type="square" anchorx="margin" anchory="margin"/>
              </v:shape>
            </w:pict>
          </mc:Fallback>
        </mc:AlternateContent>
      </w:r>
      <w:r w:rsidR="002D6A82">
        <w:br w:type="page"/>
      </w:r>
    </w:p>
    <w:sdt>
      <w:sdtPr>
        <w:rPr>
          <w:rFonts w:ascii="Verdana" w:eastAsia="Times New Roman" w:hAnsi="Verdana" w:cs="Times New Roman"/>
          <w:b w:val="0"/>
          <w:bCs w:val="0"/>
          <w:color w:val="auto"/>
          <w:sz w:val="18"/>
          <w:szCs w:val="20"/>
          <w:lang w:eastAsia="en-US"/>
        </w:rPr>
        <w:id w:val="1035702983"/>
        <w:docPartObj>
          <w:docPartGallery w:val="Table of Contents"/>
          <w:docPartUnique/>
        </w:docPartObj>
      </w:sdtPr>
      <w:sdtEndPr/>
      <w:sdtContent>
        <w:p w:rsidR="002D6A82" w:rsidRPr="002D6A82" w:rsidRDefault="002D6A82">
          <w:pPr>
            <w:pStyle w:val="En-ttedetabledesmatires"/>
            <w:rPr>
              <w:rFonts w:ascii="Verdana" w:hAnsi="Verdana"/>
              <w:color w:val="auto"/>
              <w:sz w:val="20"/>
              <w:szCs w:val="20"/>
            </w:rPr>
          </w:pPr>
          <w:r>
            <w:rPr>
              <w:rFonts w:ascii="Verdana" w:hAnsi="Verdana"/>
              <w:color w:val="auto"/>
              <w:sz w:val="20"/>
              <w:szCs w:val="20"/>
            </w:rPr>
            <w:t>Table des matières</w:t>
          </w:r>
        </w:p>
        <w:p w:rsidR="002D6A82" w:rsidRPr="002D6A82" w:rsidRDefault="007138BC" w:rsidP="002D6A82">
          <w:pPr>
            <w:pStyle w:val="TM1"/>
            <w:spacing w:line="276" w:lineRule="auto"/>
            <w:rPr>
              <w:rFonts w:asciiTheme="minorHAnsi" w:eastAsiaTheme="minorEastAsia" w:hAnsiTheme="minorHAnsi" w:cstheme="minorBidi"/>
              <w:b w:val="0"/>
              <w:smallCaps w:val="0"/>
              <w:color w:val="auto"/>
              <w:sz w:val="20"/>
              <w:szCs w:val="22"/>
              <w:lang w:eastAsia="fr-FR"/>
            </w:rPr>
          </w:pPr>
          <w:r w:rsidRPr="002D6A82">
            <w:rPr>
              <w:color w:val="auto"/>
              <w:sz w:val="20"/>
              <w:szCs w:val="20"/>
            </w:rPr>
            <w:fldChar w:fldCharType="begin"/>
          </w:r>
          <w:r w:rsidR="002D6A82" w:rsidRPr="002D6A82">
            <w:rPr>
              <w:color w:val="auto"/>
              <w:sz w:val="20"/>
              <w:szCs w:val="20"/>
            </w:rPr>
            <w:instrText xml:space="preserve"> TOC \o "1-3" \h \z \u </w:instrText>
          </w:r>
          <w:r w:rsidRPr="002D6A82">
            <w:rPr>
              <w:color w:val="auto"/>
              <w:sz w:val="20"/>
              <w:szCs w:val="20"/>
            </w:rPr>
            <w:fldChar w:fldCharType="separate"/>
          </w:r>
          <w:hyperlink w:anchor="_Toc431272520" w:history="1">
            <w:r w:rsidR="002D6A82" w:rsidRPr="002D6A82">
              <w:rPr>
                <w:rStyle w:val="Lienhypertexte"/>
                <w:color w:val="auto"/>
                <w:sz w:val="22"/>
              </w:rPr>
              <w:t>Liste des acronymes</w:t>
            </w:r>
            <w:r w:rsidR="002D6A82" w:rsidRPr="002D6A82">
              <w:rPr>
                <w:webHidden/>
                <w:color w:val="auto"/>
                <w:sz w:val="22"/>
              </w:rPr>
              <w:tab/>
            </w:r>
            <w:r w:rsidRPr="002D6A82">
              <w:rPr>
                <w:webHidden/>
                <w:color w:val="auto"/>
                <w:sz w:val="22"/>
              </w:rPr>
              <w:fldChar w:fldCharType="begin"/>
            </w:r>
            <w:r w:rsidR="002D6A82" w:rsidRPr="002D6A82">
              <w:rPr>
                <w:webHidden/>
                <w:color w:val="auto"/>
                <w:sz w:val="22"/>
              </w:rPr>
              <w:instrText xml:space="preserve"> PAGEREF _Toc431272520 \h </w:instrText>
            </w:r>
            <w:r w:rsidRPr="002D6A82">
              <w:rPr>
                <w:webHidden/>
                <w:color w:val="auto"/>
                <w:sz w:val="22"/>
              </w:rPr>
            </w:r>
            <w:r w:rsidRPr="002D6A82">
              <w:rPr>
                <w:webHidden/>
                <w:color w:val="auto"/>
                <w:sz w:val="22"/>
              </w:rPr>
              <w:fldChar w:fldCharType="separate"/>
            </w:r>
            <w:r w:rsidR="000617B7">
              <w:rPr>
                <w:webHidden/>
                <w:color w:val="auto"/>
                <w:sz w:val="22"/>
              </w:rPr>
              <w:t>3</w:t>
            </w:r>
            <w:r w:rsidRPr="002D6A82">
              <w:rPr>
                <w:webHidden/>
                <w:color w:val="auto"/>
                <w:sz w:val="22"/>
              </w:rPr>
              <w:fldChar w:fldCharType="end"/>
            </w:r>
          </w:hyperlink>
        </w:p>
        <w:p w:rsidR="002D6A82" w:rsidRPr="002D6A82" w:rsidRDefault="0025558F" w:rsidP="002D6A82">
          <w:pPr>
            <w:pStyle w:val="TM1"/>
            <w:spacing w:line="276" w:lineRule="auto"/>
            <w:rPr>
              <w:rFonts w:asciiTheme="minorHAnsi" w:eastAsiaTheme="minorEastAsia" w:hAnsiTheme="minorHAnsi" w:cstheme="minorBidi"/>
              <w:b w:val="0"/>
              <w:smallCaps w:val="0"/>
              <w:color w:val="auto"/>
              <w:sz w:val="20"/>
              <w:szCs w:val="22"/>
              <w:lang w:eastAsia="fr-FR"/>
            </w:rPr>
          </w:pPr>
          <w:hyperlink w:anchor="_Toc431272521" w:history="1">
            <w:r w:rsidR="002D6A82" w:rsidRPr="002D6A82">
              <w:rPr>
                <w:rStyle w:val="Lienhypertexte"/>
                <w:color w:val="auto"/>
                <w:sz w:val="22"/>
              </w:rPr>
              <w:t>Résumé</w:t>
            </w:r>
            <w:r w:rsidR="002D6A82" w:rsidRPr="002D6A82">
              <w:rPr>
                <w:webHidden/>
                <w:color w:val="auto"/>
                <w:sz w:val="22"/>
              </w:rPr>
              <w:tab/>
            </w:r>
            <w:r w:rsidR="007138BC" w:rsidRPr="002D6A82">
              <w:rPr>
                <w:webHidden/>
                <w:color w:val="auto"/>
                <w:sz w:val="22"/>
              </w:rPr>
              <w:fldChar w:fldCharType="begin"/>
            </w:r>
            <w:r w:rsidR="002D6A82" w:rsidRPr="002D6A82">
              <w:rPr>
                <w:webHidden/>
                <w:color w:val="auto"/>
                <w:sz w:val="22"/>
              </w:rPr>
              <w:instrText xml:space="preserve"> PAGEREF _Toc431272521 \h </w:instrText>
            </w:r>
            <w:r w:rsidR="007138BC" w:rsidRPr="002D6A82">
              <w:rPr>
                <w:webHidden/>
                <w:color w:val="auto"/>
                <w:sz w:val="22"/>
              </w:rPr>
            </w:r>
            <w:r w:rsidR="007138BC" w:rsidRPr="002D6A82">
              <w:rPr>
                <w:webHidden/>
                <w:color w:val="auto"/>
                <w:sz w:val="22"/>
              </w:rPr>
              <w:fldChar w:fldCharType="separate"/>
            </w:r>
            <w:r w:rsidR="000617B7">
              <w:rPr>
                <w:webHidden/>
                <w:color w:val="auto"/>
                <w:sz w:val="22"/>
              </w:rPr>
              <w:t>4</w:t>
            </w:r>
            <w:r w:rsidR="007138BC" w:rsidRPr="002D6A82">
              <w:rPr>
                <w:webHidden/>
                <w:color w:val="auto"/>
                <w:sz w:val="22"/>
              </w:rPr>
              <w:fldChar w:fldCharType="end"/>
            </w:r>
          </w:hyperlink>
        </w:p>
        <w:p w:rsidR="002D6A82" w:rsidRPr="002D6A82" w:rsidRDefault="0025558F" w:rsidP="002D6A82">
          <w:pPr>
            <w:pStyle w:val="TM1"/>
            <w:tabs>
              <w:tab w:val="left" w:pos="567"/>
            </w:tabs>
            <w:spacing w:line="276" w:lineRule="auto"/>
            <w:rPr>
              <w:rFonts w:asciiTheme="minorHAnsi" w:eastAsiaTheme="minorEastAsia" w:hAnsiTheme="minorHAnsi" w:cstheme="minorBidi"/>
              <w:b w:val="0"/>
              <w:smallCaps w:val="0"/>
              <w:color w:val="auto"/>
              <w:sz w:val="20"/>
              <w:szCs w:val="22"/>
              <w:lang w:eastAsia="fr-FR"/>
            </w:rPr>
          </w:pPr>
          <w:hyperlink w:anchor="_Toc431272522" w:history="1">
            <w:r w:rsidR="002D6A82" w:rsidRPr="002D6A82">
              <w:rPr>
                <w:rStyle w:val="Lienhypertexte"/>
                <w:color w:val="auto"/>
                <w:sz w:val="22"/>
              </w:rPr>
              <w:t>1.</w:t>
            </w:r>
            <w:r w:rsidR="002D6A82" w:rsidRPr="002D6A82">
              <w:rPr>
                <w:rFonts w:asciiTheme="minorHAnsi" w:eastAsiaTheme="minorEastAsia" w:hAnsiTheme="minorHAnsi" w:cstheme="minorBidi"/>
                <w:b w:val="0"/>
                <w:smallCaps w:val="0"/>
                <w:color w:val="auto"/>
                <w:sz w:val="20"/>
                <w:szCs w:val="22"/>
                <w:lang w:eastAsia="fr-FR"/>
              </w:rPr>
              <w:tab/>
            </w:r>
            <w:r w:rsidR="002D6A82" w:rsidRPr="002D6A82">
              <w:rPr>
                <w:rStyle w:val="Lienhypertexte"/>
                <w:color w:val="auto"/>
                <w:sz w:val="22"/>
              </w:rPr>
              <w:t>Contexte national</w:t>
            </w:r>
            <w:r w:rsidR="002D6A82" w:rsidRPr="002D6A82">
              <w:rPr>
                <w:webHidden/>
                <w:color w:val="auto"/>
                <w:sz w:val="22"/>
              </w:rPr>
              <w:tab/>
            </w:r>
            <w:r w:rsidR="007138BC" w:rsidRPr="002D6A82">
              <w:rPr>
                <w:webHidden/>
                <w:color w:val="auto"/>
                <w:sz w:val="22"/>
              </w:rPr>
              <w:fldChar w:fldCharType="begin"/>
            </w:r>
            <w:r w:rsidR="002D6A82" w:rsidRPr="002D6A82">
              <w:rPr>
                <w:webHidden/>
                <w:color w:val="auto"/>
                <w:sz w:val="22"/>
              </w:rPr>
              <w:instrText xml:space="preserve"> PAGEREF _Toc431272522 \h </w:instrText>
            </w:r>
            <w:r w:rsidR="007138BC" w:rsidRPr="002D6A82">
              <w:rPr>
                <w:webHidden/>
                <w:color w:val="auto"/>
                <w:sz w:val="22"/>
              </w:rPr>
            </w:r>
            <w:r w:rsidR="007138BC" w:rsidRPr="002D6A82">
              <w:rPr>
                <w:webHidden/>
                <w:color w:val="auto"/>
                <w:sz w:val="22"/>
              </w:rPr>
              <w:fldChar w:fldCharType="separate"/>
            </w:r>
            <w:r w:rsidR="000617B7">
              <w:rPr>
                <w:webHidden/>
                <w:color w:val="auto"/>
                <w:sz w:val="22"/>
              </w:rPr>
              <w:t>4</w:t>
            </w:r>
            <w:r w:rsidR="007138BC" w:rsidRPr="002D6A82">
              <w:rPr>
                <w:webHidden/>
                <w:color w:val="auto"/>
                <w:sz w:val="22"/>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23" w:history="1">
            <w:r w:rsidR="002D6A82" w:rsidRPr="002D6A82">
              <w:rPr>
                <w:rStyle w:val="Lienhypertexte"/>
                <w:color w:val="auto"/>
                <w:sz w:val="16"/>
              </w:rPr>
              <w:t>Objectifs nationaux de développement et priorités stratégiques de développement durable</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_Toc431272523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4</w:t>
            </w:r>
            <w:r w:rsidR="007138BC" w:rsidRPr="002D6A82">
              <w:rPr>
                <w:webHidden/>
                <w:color w:val="auto"/>
                <w:sz w:val="16"/>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24" w:history="1">
            <w:r w:rsidR="002D6A82" w:rsidRPr="002D6A82">
              <w:rPr>
                <w:rStyle w:val="Lienhypertexte"/>
                <w:color w:val="auto"/>
                <w:sz w:val="16"/>
              </w:rPr>
              <w:t>Objectif de la CPDN de la République de Guinée</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_Toc431272524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4</w:t>
            </w:r>
            <w:r w:rsidR="007138BC" w:rsidRPr="002D6A82">
              <w:rPr>
                <w:webHidden/>
                <w:color w:val="auto"/>
                <w:sz w:val="16"/>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25" w:history="1">
            <w:r w:rsidR="002D6A82" w:rsidRPr="002D6A82">
              <w:rPr>
                <w:rStyle w:val="Lienhypertexte"/>
                <w:color w:val="auto"/>
                <w:sz w:val="16"/>
              </w:rPr>
              <w:t>Processus d’elaboration de la CPDN de Guinee</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_Toc431272525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5</w:t>
            </w:r>
            <w:r w:rsidR="007138BC" w:rsidRPr="002D6A82">
              <w:rPr>
                <w:webHidden/>
                <w:color w:val="auto"/>
                <w:sz w:val="16"/>
              </w:rPr>
              <w:fldChar w:fldCharType="end"/>
            </w:r>
          </w:hyperlink>
        </w:p>
        <w:p w:rsidR="002D6A82" w:rsidRPr="002D6A82" w:rsidRDefault="0025558F" w:rsidP="002D6A82">
          <w:pPr>
            <w:pStyle w:val="TM1"/>
            <w:tabs>
              <w:tab w:val="left" w:pos="567"/>
            </w:tabs>
            <w:spacing w:line="276" w:lineRule="auto"/>
            <w:rPr>
              <w:rFonts w:asciiTheme="minorHAnsi" w:eastAsiaTheme="minorEastAsia" w:hAnsiTheme="minorHAnsi" w:cstheme="minorBidi"/>
              <w:b w:val="0"/>
              <w:smallCaps w:val="0"/>
              <w:color w:val="auto"/>
              <w:sz w:val="20"/>
              <w:szCs w:val="22"/>
              <w:lang w:eastAsia="fr-FR"/>
            </w:rPr>
          </w:pPr>
          <w:hyperlink w:anchor="_Toc431272526" w:history="1">
            <w:r w:rsidR="002D6A82" w:rsidRPr="002D6A82">
              <w:rPr>
                <w:rStyle w:val="Lienhypertexte"/>
                <w:color w:val="auto"/>
                <w:sz w:val="22"/>
              </w:rPr>
              <w:t>2.</w:t>
            </w:r>
            <w:r w:rsidR="002D6A82" w:rsidRPr="002D6A82">
              <w:rPr>
                <w:rFonts w:asciiTheme="minorHAnsi" w:eastAsiaTheme="minorEastAsia" w:hAnsiTheme="minorHAnsi" w:cstheme="minorBidi"/>
                <w:b w:val="0"/>
                <w:smallCaps w:val="0"/>
                <w:color w:val="auto"/>
                <w:sz w:val="20"/>
                <w:szCs w:val="22"/>
                <w:lang w:eastAsia="fr-FR"/>
              </w:rPr>
              <w:tab/>
            </w:r>
            <w:r w:rsidR="002D6A82" w:rsidRPr="002D6A82">
              <w:rPr>
                <w:rStyle w:val="Lienhypertexte"/>
                <w:color w:val="auto"/>
                <w:sz w:val="22"/>
              </w:rPr>
              <w:t>Engagements d’adaptation</w:t>
            </w:r>
            <w:r w:rsidR="002D6A82" w:rsidRPr="002D6A82">
              <w:rPr>
                <w:webHidden/>
                <w:color w:val="auto"/>
                <w:sz w:val="22"/>
              </w:rPr>
              <w:tab/>
            </w:r>
            <w:r w:rsidR="007138BC" w:rsidRPr="002D6A82">
              <w:rPr>
                <w:webHidden/>
                <w:color w:val="auto"/>
                <w:sz w:val="22"/>
              </w:rPr>
              <w:fldChar w:fldCharType="begin"/>
            </w:r>
            <w:r w:rsidR="002D6A82" w:rsidRPr="002D6A82">
              <w:rPr>
                <w:webHidden/>
                <w:color w:val="auto"/>
                <w:sz w:val="22"/>
              </w:rPr>
              <w:instrText xml:space="preserve"> PAGEREF _Toc431272526 \h </w:instrText>
            </w:r>
            <w:r w:rsidR="007138BC" w:rsidRPr="002D6A82">
              <w:rPr>
                <w:webHidden/>
                <w:color w:val="auto"/>
                <w:sz w:val="22"/>
              </w:rPr>
            </w:r>
            <w:r w:rsidR="007138BC" w:rsidRPr="002D6A82">
              <w:rPr>
                <w:webHidden/>
                <w:color w:val="auto"/>
                <w:sz w:val="22"/>
              </w:rPr>
              <w:fldChar w:fldCharType="separate"/>
            </w:r>
            <w:r w:rsidR="000617B7">
              <w:rPr>
                <w:webHidden/>
                <w:color w:val="auto"/>
                <w:sz w:val="22"/>
              </w:rPr>
              <w:t>5</w:t>
            </w:r>
            <w:r w:rsidR="007138BC" w:rsidRPr="002D6A82">
              <w:rPr>
                <w:webHidden/>
                <w:color w:val="auto"/>
                <w:sz w:val="22"/>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27" w:history="1">
            <w:r w:rsidR="002D6A82" w:rsidRPr="002D6A82">
              <w:rPr>
                <w:rStyle w:val="Lienhypertexte"/>
                <w:color w:val="auto"/>
                <w:sz w:val="16"/>
              </w:rPr>
              <w:t>Justification de l’intégration de l’adaptation dans la CPDN</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_Toc431272527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5</w:t>
            </w:r>
            <w:r w:rsidR="007138BC" w:rsidRPr="002D6A82">
              <w:rPr>
                <w:webHidden/>
                <w:color w:val="auto"/>
                <w:sz w:val="16"/>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28" w:history="1">
            <w:r w:rsidR="002D6A82" w:rsidRPr="002D6A82">
              <w:rPr>
                <w:rStyle w:val="Lienhypertexte"/>
                <w:color w:val="auto"/>
                <w:sz w:val="16"/>
              </w:rPr>
              <w:t>Impacts du changement climatique</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_Toc431272528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6</w:t>
            </w:r>
            <w:r w:rsidR="007138BC" w:rsidRPr="002D6A82">
              <w:rPr>
                <w:webHidden/>
                <w:color w:val="auto"/>
                <w:sz w:val="16"/>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29" w:history="1">
            <w:r w:rsidR="002D6A82" w:rsidRPr="002D6A82">
              <w:rPr>
                <w:rStyle w:val="Lienhypertexte"/>
                <w:color w:val="auto"/>
                <w:sz w:val="16"/>
              </w:rPr>
              <w:t>Engagements actuels et planifiés</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_Toc431272529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6</w:t>
            </w:r>
            <w:r w:rsidR="007138BC" w:rsidRPr="002D6A82">
              <w:rPr>
                <w:webHidden/>
                <w:color w:val="auto"/>
                <w:sz w:val="16"/>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30" w:history="1">
            <w:r w:rsidR="002D6A82" w:rsidRPr="002D6A82">
              <w:rPr>
                <w:rStyle w:val="Lienhypertexte"/>
                <w:color w:val="auto"/>
                <w:sz w:val="16"/>
              </w:rPr>
              <w:t>Lacunes, barrieres et besoins</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_Toc431272530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8</w:t>
            </w:r>
            <w:r w:rsidR="007138BC" w:rsidRPr="002D6A82">
              <w:rPr>
                <w:webHidden/>
                <w:color w:val="auto"/>
                <w:sz w:val="16"/>
              </w:rPr>
              <w:fldChar w:fldCharType="end"/>
            </w:r>
          </w:hyperlink>
        </w:p>
        <w:p w:rsidR="002D6A82" w:rsidRPr="002D6A82" w:rsidRDefault="0025558F" w:rsidP="002D6A82">
          <w:pPr>
            <w:pStyle w:val="TM1"/>
            <w:tabs>
              <w:tab w:val="left" w:pos="567"/>
            </w:tabs>
            <w:spacing w:line="276" w:lineRule="auto"/>
            <w:rPr>
              <w:rFonts w:asciiTheme="minorHAnsi" w:eastAsiaTheme="minorEastAsia" w:hAnsiTheme="minorHAnsi" w:cstheme="minorBidi"/>
              <w:b w:val="0"/>
              <w:smallCaps w:val="0"/>
              <w:color w:val="auto"/>
              <w:sz w:val="20"/>
              <w:szCs w:val="22"/>
              <w:lang w:eastAsia="fr-FR"/>
            </w:rPr>
          </w:pPr>
          <w:hyperlink w:anchor="_Toc431272531" w:history="1">
            <w:r w:rsidR="002D6A82" w:rsidRPr="002D6A82">
              <w:rPr>
                <w:rStyle w:val="Lienhypertexte"/>
                <w:color w:val="auto"/>
                <w:sz w:val="22"/>
              </w:rPr>
              <w:t>3.</w:t>
            </w:r>
            <w:r w:rsidR="002D6A82" w:rsidRPr="002D6A82">
              <w:rPr>
                <w:rFonts w:asciiTheme="minorHAnsi" w:eastAsiaTheme="minorEastAsia" w:hAnsiTheme="minorHAnsi" w:cstheme="minorBidi"/>
                <w:b w:val="0"/>
                <w:smallCaps w:val="0"/>
                <w:color w:val="auto"/>
                <w:sz w:val="20"/>
                <w:szCs w:val="22"/>
                <w:lang w:eastAsia="fr-FR"/>
              </w:rPr>
              <w:tab/>
            </w:r>
            <w:r w:rsidR="002D6A82" w:rsidRPr="002D6A82">
              <w:rPr>
                <w:rStyle w:val="Lienhypertexte"/>
                <w:color w:val="auto"/>
                <w:sz w:val="22"/>
              </w:rPr>
              <w:t>Engagements d’atténuation</w:t>
            </w:r>
            <w:r w:rsidR="002D6A82" w:rsidRPr="002D6A82">
              <w:rPr>
                <w:webHidden/>
                <w:color w:val="auto"/>
                <w:sz w:val="22"/>
              </w:rPr>
              <w:tab/>
            </w:r>
            <w:r w:rsidR="007138BC" w:rsidRPr="002D6A82">
              <w:rPr>
                <w:webHidden/>
                <w:color w:val="auto"/>
                <w:sz w:val="22"/>
              </w:rPr>
              <w:fldChar w:fldCharType="begin"/>
            </w:r>
            <w:r w:rsidR="002D6A82" w:rsidRPr="002D6A82">
              <w:rPr>
                <w:webHidden/>
                <w:color w:val="auto"/>
                <w:sz w:val="22"/>
              </w:rPr>
              <w:instrText xml:space="preserve"> PAGEREF _Toc431272531 \h </w:instrText>
            </w:r>
            <w:r w:rsidR="007138BC" w:rsidRPr="002D6A82">
              <w:rPr>
                <w:webHidden/>
                <w:color w:val="auto"/>
                <w:sz w:val="22"/>
              </w:rPr>
            </w:r>
            <w:r w:rsidR="007138BC" w:rsidRPr="002D6A82">
              <w:rPr>
                <w:webHidden/>
                <w:color w:val="auto"/>
                <w:sz w:val="22"/>
              </w:rPr>
              <w:fldChar w:fldCharType="separate"/>
            </w:r>
            <w:r w:rsidR="000617B7">
              <w:rPr>
                <w:webHidden/>
                <w:color w:val="auto"/>
                <w:sz w:val="22"/>
              </w:rPr>
              <w:t>9</w:t>
            </w:r>
            <w:r w:rsidR="007138BC" w:rsidRPr="002D6A82">
              <w:rPr>
                <w:webHidden/>
                <w:color w:val="auto"/>
                <w:sz w:val="22"/>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32" w:history="1">
            <w:r w:rsidR="002D6A82" w:rsidRPr="002D6A82">
              <w:rPr>
                <w:rStyle w:val="Lienhypertexte"/>
                <w:color w:val="auto"/>
                <w:sz w:val="16"/>
              </w:rPr>
              <w:t>Justification de l’année de référence, de la periode d’engagement et des secteurs couverts</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_Toc431272532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9</w:t>
            </w:r>
            <w:r w:rsidR="007138BC" w:rsidRPr="002D6A82">
              <w:rPr>
                <w:webHidden/>
                <w:color w:val="auto"/>
                <w:sz w:val="16"/>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33" w:history="1">
            <w:r w:rsidR="002D6A82" w:rsidRPr="002D6A82">
              <w:rPr>
                <w:rStyle w:val="Lienhypertexte"/>
                <w:color w:val="auto"/>
                <w:sz w:val="16"/>
              </w:rPr>
              <w:t>Engagements et potentiels d’atténuation</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_Toc431272533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10</w:t>
            </w:r>
            <w:r w:rsidR="007138BC" w:rsidRPr="002D6A82">
              <w:rPr>
                <w:webHidden/>
                <w:color w:val="auto"/>
                <w:sz w:val="16"/>
              </w:rPr>
              <w:fldChar w:fldCharType="end"/>
            </w:r>
          </w:hyperlink>
        </w:p>
        <w:p w:rsidR="002D6A82" w:rsidRPr="002D6A82" w:rsidRDefault="0025558F" w:rsidP="002D6A82">
          <w:pPr>
            <w:pStyle w:val="TM1"/>
            <w:tabs>
              <w:tab w:val="left" w:pos="567"/>
            </w:tabs>
            <w:spacing w:line="276" w:lineRule="auto"/>
            <w:rPr>
              <w:rFonts w:asciiTheme="minorHAnsi" w:eastAsiaTheme="minorEastAsia" w:hAnsiTheme="minorHAnsi" w:cstheme="minorBidi"/>
              <w:b w:val="0"/>
              <w:smallCaps w:val="0"/>
              <w:color w:val="auto"/>
              <w:sz w:val="20"/>
              <w:szCs w:val="22"/>
              <w:lang w:eastAsia="fr-FR"/>
            </w:rPr>
          </w:pPr>
          <w:hyperlink w:anchor="_Toc431272537" w:history="1">
            <w:r w:rsidR="002D6A82" w:rsidRPr="002D6A82">
              <w:rPr>
                <w:rStyle w:val="Lienhypertexte"/>
                <w:color w:val="auto"/>
                <w:sz w:val="22"/>
              </w:rPr>
              <w:t>4.</w:t>
            </w:r>
            <w:r w:rsidR="002D6A82" w:rsidRPr="002D6A82">
              <w:rPr>
                <w:rFonts w:asciiTheme="minorHAnsi" w:eastAsiaTheme="minorEastAsia" w:hAnsiTheme="minorHAnsi" w:cstheme="minorBidi"/>
                <w:b w:val="0"/>
                <w:smallCaps w:val="0"/>
                <w:color w:val="auto"/>
                <w:sz w:val="20"/>
                <w:szCs w:val="22"/>
                <w:lang w:eastAsia="fr-FR"/>
              </w:rPr>
              <w:tab/>
            </w:r>
            <w:r w:rsidR="002D6A82" w:rsidRPr="002D6A82">
              <w:rPr>
                <w:rStyle w:val="Lienhypertexte"/>
                <w:color w:val="auto"/>
                <w:sz w:val="22"/>
              </w:rPr>
              <w:t>Equité et ambition</w:t>
            </w:r>
            <w:r w:rsidR="002D6A82" w:rsidRPr="002D6A82">
              <w:rPr>
                <w:webHidden/>
                <w:color w:val="auto"/>
                <w:sz w:val="22"/>
              </w:rPr>
              <w:tab/>
            </w:r>
            <w:r w:rsidR="007138BC" w:rsidRPr="002D6A82">
              <w:rPr>
                <w:webHidden/>
                <w:color w:val="auto"/>
                <w:sz w:val="22"/>
              </w:rPr>
              <w:fldChar w:fldCharType="begin"/>
            </w:r>
            <w:r w:rsidR="002D6A82" w:rsidRPr="002D6A82">
              <w:rPr>
                <w:webHidden/>
                <w:color w:val="auto"/>
                <w:sz w:val="22"/>
              </w:rPr>
              <w:instrText xml:space="preserve"> PAGEREF _Toc431272537 \h </w:instrText>
            </w:r>
            <w:r w:rsidR="007138BC" w:rsidRPr="002D6A82">
              <w:rPr>
                <w:webHidden/>
                <w:color w:val="auto"/>
                <w:sz w:val="22"/>
              </w:rPr>
            </w:r>
            <w:r w:rsidR="007138BC" w:rsidRPr="002D6A82">
              <w:rPr>
                <w:webHidden/>
                <w:color w:val="auto"/>
                <w:sz w:val="22"/>
              </w:rPr>
              <w:fldChar w:fldCharType="separate"/>
            </w:r>
            <w:r w:rsidR="000617B7">
              <w:rPr>
                <w:webHidden/>
                <w:color w:val="auto"/>
                <w:sz w:val="22"/>
              </w:rPr>
              <w:t>13</w:t>
            </w:r>
            <w:r w:rsidR="007138BC" w:rsidRPr="002D6A82">
              <w:rPr>
                <w:webHidden/>
                <w:color w:val="auto"/>
                <w:sz w:val="22"/>
              </w:rPr>
              <w:fldChar w:fldCharType="end"/>
            </w:r>
          </w:hyperlink>
        </w:p>
        <w:p w:rsidR="002D6A82" w:rsidRPr="002D6A82" w:rsidRDefault="0025558F" w:rsidP="002D6A82">
          <w:pPr>
            <w:pStyle w:val="TM1"/>
            <w:tabs>
              <w:tab w:val="left" w:pos="567"/>
            </w:tabs>
            <w:spacing w:line="276" w:lineRule="auto"/>
            <w:rPr>
              <w:rFonts w:asciiTheme="minorHAnsi" w:eastAsiaTheme="minorEastAsia" w:hAnsiTheme="minorHAnsi" w:cstheme="minorBidi"/>
              <w:b w:val="0"/>
              <w:smallCaps w:val="0"/>
              <w:color w:val="auto"/>
              <w:sz w:val="20"/>
              <w:szCs w:val="22"/>
              <w:lang w:eastAsia="fr-FR"/>
            </w:rPr>
          </w:pPr>
          <w:hyperlink w:anchor="_Toc431272538" w:history="1">
            <w:r w:rsidR="002D6A82" w:rsidRPr="002D6A82">
              <w:rPr>
                <w:rStyle w:val="Lienhypertexte"/>
                <w:color w:val="auto"/>
                <w:sz w:val="22"/>
              </w:rPr>
              <w:t>5.</w:t>
            </w:r>
            <w:r w:rsidR="002D6A82" w:rsidRPr="002D6A82">
              <w:rPr>
                <w:rFonts w:asciiTheme="minorHAnsi" w:eastAsiaTheme="minorEastAsia" w:hAnsiTheme="minorHAnsi" w:cstheme="minorBidi"/>
                <w:b w:val="0"/>
                <w:smallCaps w:val="0"/>
                <w:color w:val="auto"/>
                <w:sz w:val="20"/>
                <w:szCs w:val="22"/>
                <w:lang w:eastAsia="fr-FR"/>
              </w:rPr>
              <w:tab/>
            </w:r>
            <w:r w:rsidR="002D6A82" w:rsidRPr="002D6A82">
              <w:rPr>
                <w:rStyle w:val="Lienhypertexte"/>
                <w:color w:val="auto"/>
                <w:sz w:val="22"/>
              </w:rPr>
              <w:t>Processus de planification, de mise en œuvre et de suivi de la CPDN</w:t>
            </w:r>
            <w:r w:rsidR="002D6A82" w:rsidRPr="002D6A82">
              <w:rPr>
                <w:webHidden/>
                <w:color w:val="auto"/>
                <w:sz w:val="22"/>
              </w:rPr>
              <w:tab/>
            </w:r>
            <w:r w:rsidR="007138BC" w:rsidRPr="002D6A82">
              <w:rPr>
                <w:webHidden/>
                <w:color w:val="auto"/>
                <w:sz w:val="22"/>
              </w:rPr>
              <w:fldChar w:fldCharType="begin"/>
            </w:r>
            <w:r w:rsidR="002D6A82" w:rsidRPr="002D6A82">
              <w:rPr>
                <w:webHidden/>
                <w:color w:val="auto"/>
                <w:sz w:val="22"/>
              </w:rPr>
              <w:instrText xml:space="preserve"> PAGEREF _Toc431272538 \h </w:instrText>
            </w:r>
            <w:r w:rsidR="007138BC" w:rsidRPr="002D6A82">
              <w:rPr>
                <w:webHidden/>
                <w:color w:val="auto"/>
                <w:sz w:val="22"/>
              </w:rPr>
            </w:r>
            <w:r w:rsidR="007138BC" w:rsidRPr="002D6A82">
              <w:rPr>
                <w:webHidden/>
                <w:color w:val="auto"/>
                <w:sz w:val="22"/>
              </w:rPr>
              <w:fldChar w:fldCharType="separate"/>
            </w:r>
            <w:r w:rsidR="000617B7">
              <w:rPr>
                <w:webHidden/>
                <w:color w:val="auto"/>
                <w:sz w:val="22"/>
              </w:rPr>
              <w:t>13</w:t>
            </w:r>
            <w:r w:rsidR="007138BC" w:rsidRPr="002D6A82">
              <w:rPr>
                <w:webHidden/>
                <w:color w:val="auto"/>
                <w:sz w:val="22"/>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39" w:history="1">
            <w:r w:rsidR="002D6A82" w:rsidRPr="002D6A82">
              <w:rPr>
                <w:rStyle w:val="Lienhypertexte"/>
                <w:color w:val="auto"/>
                <w:sz w:val="16"/>
              </w:rPr>
              <w:t>Activités transversales nécessaires pour la mise en oeuvre de la CPDN</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_Toc431272539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13</w:t>
            </w:r>
            <w:r w:rsidR="007138BC" w:rsidRPr="002D6A82">
              <w:rPr>
                <w:webHidden/>
                <w:color w:val="auto"/>
                <w:sz w:val="16"/>
              </w:rPr>
              <w:fldChar w:fldCharType="end"/>
            </w:r>
          </w:hyperlink>
        </w:p>
        <w:p w:rsidR="002D6A82" w:rsidRPr="002D6A82" w:rsidRDefault="0025558F" w:rsidP="002D6A82">
          <w:pPr>
            <w:pStyle w:val="TM3"/>
            <w:spacing w:line="276" w:lineRule="auto"/>
            <w:rPr>
              <w:rFonts w:asciiTheme="minorHAnsi" w:eastAsiaTheme="minorEastAsia" w:hAnsiTheme="minorHAnsi" w:cstheme="minorBidi"/>
              <w:color w:val="auto"/>
              <w:sz w:val="20"/>
              <w:szCs w:val="22"/>
              <w:lang w:eastAsia="fr-FR"/>
            </w:rPr>
          </w:pPr>
          <w:hyperlink w:anchor="_Toc431272540" w:history="1">
            <w:r w:rsidR="002D6A82" w:rsidRPr="002D6A82">
              <w:rPr>
                <w:rStyle w:val="Lienhypertexte"/>
                <w:color w:val="auto"/>
                <w:sz w:val="16"/>
              </w:rPr>
              <w:t>Activités spécifiques pour la mise en oeuvre de la CPDN</w:t>
            </w:r>
            <w:r w:rsidR="002D6A82" w:rsidRPr="002D6A82">
              <w:rPr>
                <w:webHidden/>
                <w:color w:val="auto"/>
                <w:sz w:val="16"/>
              </w:rPr>
              <w:tab/>
            </w:r>
            <w:r w:rsidR="007138BC" w:rsidRPr="002D6A82">
              <w:rPr>
                <w:webHidden/>
                <w:color w:val="auto"/>
                <w:sz w:val="16"/>
              </w:rPr>
              <w:fldChar w:fldCharType="begin"/>
            </w:r>
            <w:r w:rsidR="002D6A82" w:rsidRPr="002D6A82">
              <w:rPr>
                <w:webHidden/>
                <w:color w:val="auto"/>
                <w:sz w:val="16"/>
              </w:rPr>
              <w:instrText xml:space="preserve"> PAGEREF _Toc431272540 \h </w:instrText>
            </w:r>
            <w:r w:rsidR="007138BC" w:rsidRPr="002D6A82">
              <w:rPr>
                <w:webHidden/>
                <w:color w:val="auto"/>
                <w:sz w:val="16"/>
              </w:rPr>
            </w:r>
            <w:r w:rsidR="007138BC" w:rsidRPr="002D6A82">
              <w:rPr>
                <w:webHidden/>
                <w:color w:val="auto"/>
                <w:sz w:val="16"/>
              </w:rPr>
              <w:fldChar w:fldCharType="separate"/>
            </w:r>
            <w:r w:rsidR="000617B7">
              <w:rPr>
                <w:webHidden/>
                <w:color w:val="auto"/>
                <w:sz w:val="16"/>
              </w:rPr>
              <w:t>14</w:t>
            </w:r>
            <w:r w:rsidR="007138BC" w:rsidRPr="002D6A82">
              <w:rPr>
                <w:webHidden/>
                <w:color w:val="auto"/>
                <w:sz w:val="16"/>
              </w:rPr>
              <w:fldChar w:fldCharType="end"/>
            </w:r>
          </w:hyperlink>
        </w:p>
        <w:p w:rsidR="002D6A82" w:rsidRDefault="0025558F" w:rsidP="002D6A82">
          <w:pPr>
            <w:pStyle w:val="TM1"/>
            <w:tabs>
              <w:tab w:val="left" w:pos="567"/>
            </w:tabs>
            <w:spacing w:line="276" w:lineRule="auto"/>
            <w:rPr>
              <w:rFonts w:asciiTheme="minorHAnsi" w:eastAsiaTheme="minorEastAsia" w:hAnsiTheme="minorHAnsi" w:cstheme="minorBidi"/>
              <w:b w:val="0"/>
              <w:smallCaps w:val="0"/>
              <w:color w:val="auto"/>
              <w:sz w:val="22"/>
              <w:szCs w:val="22"/>
              <w:lang w:eastAsia="fr-FR"/>
            </w:rPr>
          </w:pPr>
          <w:hyperlink w:anchor="_Toc431272541" w:history="1">
            <w:r w:rsidR="002D6A82" w:rsidRPr="002D6A82">
              <w:rPr>
                <w:rStyle w:val="Lienhypertexte"/>
                <w:color w:val="auto"/>
                <w:sz w:val="22"/>
              </w:rPr>
              <w:t>6.</w:t>
            </w:r>
            <w:r w:rsidR="002D6A82" w:rsidRPr="002D6A82">
              <w:rPr>
                <w:rFonts w:asciiTheme="minorHAnsi" w:eastAsiaTheme="minorEastAsia" w:hAnsiTheme="minorHAnsi" w:cstheme="minorBidi"/>
                <w:b w:val="0"/>
                <w:smallCaps w:val="0"/>
                <w:color w:val="auto"/>
                <w:sz w:val="20"/>
                <w:szCs w:val="22"/>
                <w:lang w:eastAsia="fr-FR"/>
              </w:rPr>
              <w:tab/>
            </w:r>
            <w:r w:rsidR="002D6A82" w:rsidRPr="002D6A82">
              <w:rPr>
                <w:rStyle w:val="Lienhypertexte"/>
                <w:color w:val="auto"/>
                <w:sz w:val="22"/>
              </w:rPr>
              <w:t>Moyens de mise en œuvre</w:t>
            </w:r>
            <w:r w:rsidR="002D6A82" w:rsidRPr="002D6A82">
              <w:rPr>
                <w:webHidden/>
                <w:color w:val="auto"/>
                <w:sz w:val="22"/>
              </w:rPr>
              <w:tab/>
            </w:r>
            <w:r w:rsidR="007138BC" w:rsidRPr="002D6A82">
              <w:rPr>
                <w:webHidden/>
                <w:color w:val="auto"/>
                <w:sz w:val="22"/>
              </w:rPr>
              <w:fldChar w:fldCharType="begin"/>
            </w:r>
            <w:r w:rsidR="002D6A82" w:rsidRPr="002D6A82">
              <w:rPr>
                <w:webHidden/>
                <w:color w:val="auto"/>
                <w:sz w:val="22"/>
              </w:rPr>
              <w:instrText xml:space="preserve"> PAGEREF _Toc431272541 \h </w:instrText>
            </w:r>
            <w:r w:rsidR="007138BC" w:rsidRPr="002D6A82">
              <w:rPr>
                <w:webHidden/>
                <w:color w:val="auto"/>
                <w:sz w:val="22"/>
              </w:rPr>
            </w:r>
            <w:r w:rsidR="007138BC" w:rsidRPr="002D6A82">
              <w:rPr>
                <w:webHidden/>
                <w:color w:val="auto"/>
                <w:sz w:val="22"/>
              </w:rPr>
              <w:fldChar w:fldCharType="separate"/>
            </w:r>
            <w:r w:rsidR="000617B7">
              <w:rPr>
                <w:webHidden/>
                <w:color w:val="auto"/>
                <w:sz w:val="22"/>
              </w:rPr>
              <w:t>15</w:t>
            </w:r>
            <w:r w:rsidR="007138BC" w:rsidRPr="002D6A82">
              <w:rPr>
                <w:webHidden/>
                <w:color w:val="auto"/>
                <w:sz w:val="22"/>
              </w:rPr>
              <w:fldChar w:fldCharType="end"/>
            </w:r>
          </w:hyperlink>
        </w:p>
        <w:p w:rsidR="002D6A82" w:rsidRDefault="007138BC">
          <w:r w:rsidRPr="002D6A82">
            <w:rPr>
              <w:b/>
              <w:bCs/>
              <w:sz w:val="20"/>
            </w:rPr>
            <w:fldChar w:fldCharType="end"/>
          </w:r>
        </w:p>
      </w:sdtContent>
    </w:sdt>
    <w:p w:rsidR="002D6A82" w:rsidRDefault="002D6A82">
      <w:pPr>
        <w:spacing w:after="0"/>
        <w:jc w:val="left"/>
      </w:pPr>
    </w:p>
    <w:p w:rsidR="002D6A82" w:rsidRDefault="002D6A82">
      <w:pPr>
        <w:spacing w:after="0"/>
        <w:jc w:val="left"/>
        <w:rPr>
          <w:b/>
          <w:smallCaps/>
          <w:noProof/>
          <w:color w:val="1C5840"/>
          <w:spacing w:val="20"/>
          <w:kern w:val="28"/>
          <w:sz w:val="36"/>
          <w:szCs w:val="36"/>
        </w:rPr>
      </w:pPr>
      <w:bookmarkStart w:id="1" w:name="_Toc431272520"/>
      <w:r>
        <w:br w:type="page"/>
      </w:r>
    </w:p>
    <w:p w:rsidR="002D6A82" w:rsidRDefault="002D6A82" w:rsidP="002D6A82">
      <w:pPr>
        <w:pStyle w:val="Titre1"/>
      </w:pPr>
      <w:r>
        <w:lastRenderedPageBreak/>
        <w:t>Liste des acronymes</w:t>
      </w:r>
      <w:bookmarkEnd w:id="1"/>
    </w:p>
    <w:p w:rsidR="002D6A82" w:rsidRDefault="002D6A82" w:rsidP="002D6A82">
      <w:pPr>
        <w:spacing w:after="120"/>
        <w:jc w:val="left"/>
        <w:rPr>
          <w:szCs w:val="22"/>
        </w:rPr>
      </w:pPr>
      <w:r w:rsidRPr="0053181C">
        <w:t>CEDEAO</w:t>
      </w:r>
      <w:r>
        <w:tab/>
        <w:t>Communauté économique et de développement des Etats d’Afrique de l’Ouest</w:t>
      </w:r>
    </w:p>
    <w:p w:rsidR="002D6A82" w:rsidRDefault="002D6A82" w:rsidP="002D6A82">
      <w:pPr>
        <w:spacing w:after="120"/>
        <w:jc w:val="left"/>
        <w:rPr>
          <w:szCs w:val="22"/>
        </w:rPr>
      </w:pPr>
      <w:r>
        <w:rPr>
          <w:szCs w:val="22"/>
        </w:rPr>
        <w:t>CNI</w:t>
      </w:r>
      <w:r>
        <w:rPr>
          <w:szCs w:val="22"/>
        </w:rPr>
        <w:tab/>
      </w:r>
      <w:r>
        <w:rPr>
          <w:szCs w:val="22"/>
        </w:rPr>
        <w:tab/>
      </w:r>
      <w:r w:rsidRPr="0053181C">
        <w:rPr>
          <w:szCs w:val="22"/>
        </w:rPr>
        <w:t>Communication Nationale Initiale de la République de Guinée</w:t>
      </w:r>
    </w:p>
    <w:p w:rsidR="002D6A82" w:rsidRDefault="002D6A82" w:rsidP="002D6A82">
      <w:pPr>
        <w:spacing w:after="120"/>
        <w:jc w:val="left"/>
        <w:rPr>
          <w:szCs w:val="22"/>
        </w:rPr>
      </w:pPr>
      <w:r>
        <w:rPr>
          <w:szCs w:val="22"/>
        </w:rPr>
        <w:t>CCNUCC</w:t>
      </w:r>
      <w:r>
        <w:rPr>
          <w:szCs w:val="22"/>
        </w:rPr>
        <w:tab/>
        <w:t>Convention Cadre des Nations Unies sur le changement climatique</w:t>
      </w:r>
    </w:p>
    <w:p w:rsidR="002D6A82" w:rsidRDefault="002D6A82" w:rsidP="002D6A82">
      <w:pPr>
        <w:spacing w:after="120"/>
        <w:jc w:val="left"/>
        <w:rPr>
          <w:szCs w:val="22"/>
        </w:rPr>
      </w:pPr>
      <w:r>
        <w:rPr>
          <w:szCs w:val="22"/>
        </w:rPr>
        <w:t>CPDN</w:t>
      </w:r>
      <w:r>
        <w:rPr>
          <w:szCs w:val="22"/>
        </w:rPr>
        <w:tab/>
      </w:r>
      <w:r>
        <w:rPr>
          <w:szCs w:val="22"/>
        </w:rPr>
        <w:tab/>
        <w:t>Contribution prévue déterminée au niveau national</w:t>
      </w:r>
    </w:p>
    <w:p w:rsidR="002D6A82" w:rsidRDefault="002D6A82" w:rsidP="002D6A82">
      <w:pPr>
        <w:spacing w:after="120"/>
        <w:jc w:val="left"/>
        <w:rPr>
          <w:szCs w:val="22"/>
        </w:rPr>
      </w:pPr>
      <w:r>
        <w:rPr>
          <w:szCs w:val="22"/>
        </w:rPr>
        <w:t>CUTF</w:t>
      </w:r>
      <w:r>
        <w:rPr>
          <w:szCs w:val="22"/>
        </w:rPr>
        <w:tab/>
      </w:r>
      <w:r>
        <w:rPr>
          <w:szCs w:val="22"/>
        </w:rPr>
        <w:tab/>
      </w:r>
      <w:r w:rsidRPr="0053181C">
        <w:rPr>
          <w:szCs w:val="22"/>
        </w:rPr>
        <w:t>Changement utilisation des terres et foresterie</w:t>
      </w:r>
    </w:p>
    <w:p w:rsidR="002D6A82" w:rsidRDefault="002D6A82" w:rsidP="002D6A82">
      <w:pPr>
        <w:spacing w:after="120"/>
        <w:jc w:val="left"/>
        <w:rPr>
          <w:szCs w:val="22"/>
        </w:rPr>
      </w:pPr>
      <w:r>
        <w:rPr>
          <w:szCs w:val="22"/>
        </w:rPr>
        <w:t>DSRP-III</w:t>
      </w:r>
      <w:r>
        <w:rPr>
          <w:szCs w:val="22"/>
        </w:rPr>
        <w:tab/>
        <w:t>Document de stratégie de réduction de la pauvreté – 2013-2015</w:t>
      </w:r>
    </w:p>
    <w:p w:rsidR="002D6A82" w:rsidRDefault="002D6A82" w:rsidP="002D6A82">
      <w:pPr>
        <w:spacing w:after="120"/>
        <w:jc w:val="left"/>
        <w:rPr>
          <w:sz w:val="16"/>
          <w:lang w:val="it-IT"/>
        </w:rPr>
      </w:pPr>
      <w:r>
        <w:rPr>
          <w:sz w:val="16"/>
          <w:lang w:val="it-IT"/>
        </w:rPr>
        <w:t xml:space="preserve">FEM </w:t>
      </w:r>
      <w:r>
        <w:rPr>
          <w:sz w:val="16"/>
          <w:lang w:val="it-IT"/>
        </w:rPr>
        <w:tab/>
      </w:r>
      <w:r>
        <w:rPr>
          <w:sz w:val="16"/>
          <w:lang w:val="it-IT"/>
        </w:rPr>
        <w:tab/>
        <w:t>Fonds pour l’environnement mondial</w:t>
      </w:r>
    </w:p>
    <w:p w:rsidR="002D6A82" w:rsidRPr="002D6A82" w:rsidRDefault="002D6A82" w:rsidP="002D6A82">
      <w:pPr>
        <w:spacing w:after="120"/>
        <w:jc w:val="left"/>
        <w:rPr>
          <w:i/>
          <w:sz w:val="16"/>
          <w:lang w:val="it-IT"/>
        </w:rPr>
      </w:pPr>
      <w:r>
        <w:rPr>
          <w:sz w:val="16"/>
          <w:lang w:val="it-IT"/>
        </w:rPr>
        <w:t>FAO</w:t>
      </w:r>
      <w:r>
        <w:rPr>
          <w:sz w:val="16"/>
          <w:lang w:val="it-IT"/>
        </w:rPr>
        <w:tab/>
      </w:r>
      <w:r>
        <w:rPr>
          <w:sz w:val="16"/>
          <w:lang w:val="it-IT"/>
        </w:rPr>
        <w:tab/>
      </w:r>
      <w:r>
        <w:rPr>
          <w:i/>
          <w:sz w:val="16"/>
          <w:lang w:val="it-IT"/>
        </w:rPr>
        <w:t>Food and agriculture organization</w:t>
      </w:r>
    </w:p>
    <w:p w:rsidR="002D6A82" w:rsidRDefault="002D6A82" w:rsidP="002D6A82">
      <w:pPr>
        <w:spacing w:after="120"/>
        <w:jc w:val="left"/>
        <w:rPr>
          <w:szCs w:val="22"/>
        </w:rPr>
      </w:pPr>
      <w:r>
        <w:rPr>
          <w:szCs w:val="22"/>
        </w:rPr>
        <w:t>GES</w:t>
      </w:r>
      <w:r>
        <w:rPr>
          <w:szCs w:val="22"/>
        </w:rPr>
        <w:tab/>
      </w:r>
      <w:r>
        <w:rPr>
          <w:szCs w:val="22"/>
        </w:rPr>
        <w:tab/>
        <w:t>Gaz à effet de serre</w:t>
      </w:r>
    </w:p>
    <w:p w:rsidR="002D6A82" w:rsidRDefault="002D6A82" w:rsidP="002D6A82">
      <w:pPr>
        <w:spacing w:after="120"/>
        <w:jc w:val="left"/>
        <w:rPr>
          <w:lang w:val="it-IT"/>
        </w:rPr>
      </w:pPr>
      <w:r>
        <w:rPr>
          <w:lang w:val="it-IT"/>
        </w:rPr>
        <w:t>MEEF</w:t>
      </w:r>
      <w:r>
        <w:rPr>
          <w:lang w:val="it-IT"/>
        </w:rPr>
        <w:tab/>
      </w:r>
      <w:r>
        <w:rPr>
          <w:lang w:val="it-IT"/>
        </w:rPr>
        <w:tab/>
      </w:r>
      <w:r w:rsidRPr="0053181C">
        <w:rPr>
          <w:lang w:val="it-IT"/>
        </w:rPr>
        <w:t>Ministère de l’Environnement, des Eaux et forêts</w:t>
      </w:r>
    </w:p>
    <w:p w:rsidR="002D6A82" w:rsidRPr="002D6A82" w:rsidRDefault="002D6A82" w:rsidP="002D6A82">
      <w:pPr>
        <w:spacing w:after="120"/>
        <w:jc w:val="left"/>
        <w:rPr>
          <w:szCs w:val="22"/>
        </w:rPr>
      </w:pPr>
      <w:r>
        <w:rPr>
          <w:sz w:val="16"/>
          <w:lang w:val="it-IT"/>
        </w:rPr>
        <w:t>MDP</w:t>
      </w:r>
      <w:r>
        <w:rPr>
          <w:sz w:val="16"/>
          <w:lang w:val="it-IT"/>
        </w:rPr>
        <w:tab/>
      </w:r>
      <w:r>
        <w:rPr>
          <w:sz w:val="16"/>
          <w:lang w:val="it-IT"/>
        </w:rPr>
        <w:tab/>
        <w:t>Mécanisme pour un développement propre</w:t>
      </w:r>
    </w:p>
    <w:p w:rsidR="002D6A82" w:rsidRDefault="002D6A82" w:rsidP="002D6A82">
      <w:pPr>
        <w:spacing w:after="120"/>
        <w:jc w:val="left"/>
        <w:rPr>
          <w:szCs w:val="22"/>
        </w:rPr>
      </w:pPr>
      <w:r>
        <w:rPr>
          <w:szCs w:val="22"/>
        </w:rPr>
        <w:t>PANA</w:t>
      </w:r>
      <w:r>
        <w:rPr>
          <w:szCs w:val="22"/>
        </w:rPr>
        <w:tab/>
      </w:r>
      <w:r>
        <w:rPr>
          <w:szCs w:val="22"/>
        </w:rPr>
        <w:tab/>
        <w:t>Plan d’action national sur l’adaptation</w:t>
      </w:r>
    </w:p>
    <w:p w:rsidR="002D6A82" w:rsidRDefault="002D6A82" w:rsidP="002D6A82">
      <w:pPr>
        <w:spacing w:after="120"/>
        <w:jc w:val="left"/>
        <w:rPr>
          <w:szCs w:val="22"/>
        </w:rPr>
      </w:pPr>
      <w:r>
        <w:rPr>
          <w:szCs w:val="22"/>
        </w:rPr>
        <w:t>PMA</w:t>
      </w:r>
      <w:r>
        <w:rPr>
          <w:szCs w:val="22"/>
        </w:rPr>
        <w:tab/>
      </w:r>
      <w:r>
        <w:rPr>
          <w:szCs w:val="22"/>
        </w:rPr>
        <w:tab/>
        <w:t>Pays moins avancé</w:t>
      </w:r>
    </w:p>
    <w:p w:rsidR="002D6A82" w:rsidRDefault="002D6A82" w:rsidP="002D6A82">
      <w:pPr>
        <w:spacing w:after="120"/>
        <w:jc w:val="left"/>
        <w:rPr>
          <w:szCs w:val="22"/>
        </w:rPr>
      </w:pPr>
      <w:r>
        <w:rPr>
          <w:szCs w:val="22"/>
        </w:rPr>
        <w:t>PNC-COP21 </w:t>
      </w:r>
      <w:r>
        <w:rPr>
          <w:szCs w:val="22"/>
        </w:rPr>
        <w:tab/>
        <w:t>Plateforme Nationale de concertation COP21</w:t>
      </w:r>
    </w:p>
    <w:p w:rsidR="002D6A82" w:rsidRDefault="002D6A82" w:rsidP="002D6A82">
      <w:pPr>
        <w:spacing w:after="120"/>
        <w:jc w:val="left"/>
        <w:rPr>
          <w:sz w:val="16"/>
          <w:lang w:val="it-IT"/>
        </w:rPr>
      </w:pPr>
      <w:r>
        <w:rPr>
          <w:szCs w:val="22"/>
        </w:rPr>
        <w:t>SDAM</w:t>
      </w:r>
      <w:r>
        <w:rPr>
          <w:szCs w:val="22"/>
        </w:rPr>
        <w:tab/>
      </w:r>
      <w:r>
        <w:rPr>
          <w:szCs w:val="22"/>
        </w:rPr>
        <w:tab/>
      </w:r>
      <w:r>
        <w:rPr>
          <w:sz w:val="16"/>
        </w:rPr>
        <w:t>S</w:t>
      </w:r>
      <w:r w:rsidRPr="0053181C">
        <w:rPr>
          <w:sz w:val="16"/>
          <w:lang w:val="it-IT"/>
        </w:rPr>
        <w:t xml:space="preserve">chéma directeur d’aménagement </w:t>
      </w:r>
      <w:r>
        <w:rPr>
          <w:sz w:val="16"/>
          <w:lang w:val="it-IT"/>
        </w:rPr>
        <w:t>de la mangrove</w:t>
      </w:r>
    </w:p>
    <w:p w:rsidR="002D6A82" w:rsidRDefault="002D6A82" w:rsidP="002D6A82">
      <w:pPr>
        <w:spacing w:after="120"/>
        <w:jc w:val="left"/>
        <w:rPr>
          <w:i/>
          <w:sz w:val="16"/>
          <w:lang w:val="it-IT"/>
        </w:rPr>
      </w:pPr>
      <w:r>
        <w:rPr>
          <w:sz w:val="16"/>
          <w:lang w:val="it-IT"/>
        </w:rPr>
        <w:t>SE4All</w:t>
      </w:r>
      <w:r>
        <w:rPr>
          <w:sz w:val="16"/>
          <w:lang w:val="it-IT"/>
        </w:rPr>
        <w:tab/>
      </w:r>
      <w:r>
        <w:rPr>
          <w:sz w:val="16"/>
          <w:lang w:val="it-IT"/>
        </w:rPr>
        <w:tab/>
      </w:r>
      <w:r>
        <w:rPr>
          <w:i/>
          <w:sz w:val="16"/>
          <w:lang w:val="it-IT"/>
        </w:rPr>
        <w:t>Sustainable Energy for All</w:t>
      </w:r>
    </w:p>
    <w:p w:rsidR="002D6A82" w:rsidRPr="00CC13A2" w:rsidRDefault="002D6A82" w:rsidP="002D6A82">
      <w:pPr>
        <w:spacing w:after="120"/>
        <w:jc w:val="left"/>
        <w:rPr>
          <w:szCs w:val="22"/>
        </w:rPr>
      </w:pPr>
      <w:r w:rsidRPr="00CC13A2">
        <w:rPr>
          <w:szCs w:val="22"/>
        </w:rPr>
        <w:t>REDD+</w:t>
      </w:r>
      <w:r w:rsidRPr="00CC13A2">
        <w:rPr>
          <w:szCs w:val="22"/>
        </w:rPr>
        <w:tab/>
      </w:r>
      <w:r w:rsidRPr="00CC13A2">
        <w:rPr>
          <w:szCs w:val="22"/>
        </w:rPr>
        <w:tab/>
      </w:r>
      <w:r w:rsidR="00CC13A2" w:rsidRPr="00CC13A2">
        <w:rPr>
          <w:szCs w:val="22"/>
        </w:rPr>
        <w:t xml:space="preserve">Réduction des </w:t>
      </w:r>
      <w:r w:rsidR="00CC13A2">
        <w:rPr>
          <w:szCs w:val="22"/>
        </w:rPr>
        <w:t>é</w:t>
      </w:r>
      <w:r w:rsidR="00CC13A2" w:rsidRPr="00CC13A2">
        <w:rPr>
          <w:szCs w:val="22"/>
        </w:rPr>
        <w:t>missions dues à la d</w:t>
      </w:r>
      <w:r w:rsidR="00CC13A2">
        <w:rPr>
          <w:szCs w:val="22"/>
        </w:rPr>
        <w:t>é</w:t>
      </w:r>
      <w:r w:rsidR="00CC13A2" w:rsidRPr="00CC13A2">
        <w:rPr>
          <w:szCs w:val="22"/>
        </w:rPr>
        <w:t>forestation et à la d</w:t>
      </w:r>
      <w:r w:rsidR="00CC13A2">
        <w:rPr>
          <w:szCs w:val="22"/>
        </w:rPr>
        <w:t>é</w:t>
      </w:r>
      <w:r w:rsidR="00CC13A2" w:rsidRPr="00CC13A2">
        <w:rPr>
          <w:szCs w:val="22"/>
        </w:rPr>
        <w:t>gradation des terres</w:t>
      </w:r>
    </w:p>
    <w:p w:rsidR="002D6A82" w:rsidRDefault="002D6A82" w:rsidP="002D6A82">
      <w:pPr>
        <w:spacing w:after="120"/>
        <w:jc w:val="left"/>
        <w:rPr>
          <w:szCs w:val="22"/>
        </w:rPr>
      </w:pPr>
      <w:r w:rsidRPr="004364E7">
        <w:rPr>
          <w:szCs w:val="22"/>
        </w:rPr>
        <w:t xml:space="preserve">RGPH </w:t>
      </w:r>
      <w:r>
        <w:rPr>
          <w:szCs w:val="22"/>
        </w:rPr>
        <w:tab/>
      </w:r>
      <w:r>
        <w:rPr>
          <w:szCs w:val="22"/>
        </w:rPr>
        <w:tab/>
      </w:r>
      <w:r w:rsidRPr="004364E7">
        <w:rPr>
          <w:szCs w:val="22"/>
        </w:rPr>
        <w:t xml:space="preserve">Recensement Général de la Population et de l’Habitation </w:t>
      </w:r>
    </w:p>
    <w:p w:rsidR="00047D26" w:rsidRDefault="00047D26" w:rsidP="002D6A82">
      <w:pPr>
        <w:spacing w:after="120"/>
        <w:jc w:val="left"/>
        <w:rPr>
          <w:szCs w:val="22"/>
        </w:rPr>
      </w:pPr>
      <w:r>
        <w:rPr>
          <w:szCs w:val="22"/>
        </w:rPr>
        <w:t>PIB</w:t>
      </w:r>
      <w:r>
        <w:rPr>
          <w:szCs w:val="22"/>
        </w:rPr>
        <w:tab/>
      </w:r>
      <w:r>
        <w:rPr>
          <w:szCs w:val="22"/>
        </w:rPr>
        <w:tab/>
        <w:t>Produit intérieur brut</w:t>
      </w:r>
    </w:p>
    <w:p w:rsidR="002D6A82" w:rsidRPr="002D6A82" w:rsidRDefault="002D6A82" w:rsidP="002D6A82">
      <w:pPr>
        <w:spacing w:after="120"/>
        <w:jc w:val="left"/>
        <w:rPr>
          <w:i/>
          <w:sz w:val="16"/>
        </w:rPr>
      </w:pPr>
    </w:p>
    <w:p w:rsidR="002D6A82" w:rsidRDefault="002D6A82">
      <w:pPr>
        <w:spacing w:after="0"/>
        <w:jc w:val="left"/>
        <w:rPr>
          <w:b/>
          <w:smallCaps/>
          <w:noProof/>
          <w:color w:val="1C5840"/>
          <w:spacing w:val="20"/>
          <w:kern w:val="28"/>
          <w:sz w:val="36"/>
          <w:szCs w:val="36"/>
        </w:rPr>
      </w:pPr>
      <w:r>
        <w:br w:type="page"/>
      </w:r>
    </w:p>
    <w:p w:rsidR="00A459FB" w:rsidRDefault="007D6F9A" w:rsidP="007D6F9A">
      <w:pPr>
        <w:pStyle w:val="Titre1"/>
      </w:pPr>
      <w:bookmarkStart w:id="2" w:name="_Toc431272521"/>
      <w:r>
        <w:lastRenderedPageBreak/>
        <w:t>Résumé</w:t>
      </w:r>
      <w:bookmarkEnd w:id="2"/>
    </w:p>
    <w:tbl>
      <w:tblPr>
        <w:tblStyle w:val="Grilledutableau"/>
        <w:tblW w:w="0" w:type="auto"/>
        <w:tblLook w:val="04A0" w:firstRow="1" w:lastRow="0" w:firstColumn="1" w:lastColumn="0" w:noHBand="0" w:noVBand="1"/>
      </w:tblPr>
      <w:tblGrid>
        <w:gridCol w:w="10344"/>
      </w:tblGrid>
      <w:tr w:rsidR="007D6F9A" w:rsidRPr="0053181C" w:rsidTr="007D6F9A">
        <w:tc>
          <w:tcPr>
            <w:tcW w:w="10344" w:type="dxa"/>
          </w:tcPr>
          <w:p w:rsidR="002F4C15" w:rsidRPr="004364E7" w:rsidRDefault="002F4C15" w:rsidP="000B6618">
            <w:pPr>
              <w:spacing w:after="0" w:line="276" w:lineRule="auto"/>
              <w:jc w:val="left"/>
              <w:rPr>
                <w:b/>
                <w:szCs w:val="22"/>
              </w:rPr>
            </w:pPr>
            <w:r w:rsidRPr="004364E7">
              <w:rPr>
                <w:b/>
                <w:szCs w:val="22"/>
              </w:rPr>
              <w:t>Contexte</w:t>
            </w:r>
            <w:r w:rsidR="00B913D3" w:rsidRPr="004364E7">
              <w:rPr>
                <w:b/>
                <w:szCs w:val="22"/>
              </w:rPr>
              <w:t xml:space="preserve"> : </w:t>
            </w:r>
          </w:p>
          <w:p w:rsidR="002F4C15" w:rsidRPr="004364E7" w:rsidRDefault="002F4C15" w:rsidP="002F4C15">
            <w:pPr>
              <w:pStyle w:val="Paragraphedeliste"/>
              <w:numPr>
                <w:ilvl w:val="0"/>
                <w:numId w:val="23"/>
              </w:numPr>
              <w:spacing w:after="0" w:line="276" w:lineRule="auto"/>
              <w:ind w:left="284" w:hanging="284"/>
              <w:jc w:val="left"/>
              <w:rPr>
                <w:szCs w:val="22"/>
              </w:rPr>
            </w:pPr>
            <w:r w:rsidRPr="004364E7">
              <w:rPr>
                <w:szCs w:val="22"/>
              </w:rPr>
              <w:t>Population :</w:t>
            </w:r>
            <w:r w:rsidR="00CC13A2">
              <w:rPr>
                <w:szCs w:val="22"/>
              </w:rPr>
              <w:t xml:space="preserve"> </w:t>
            </w:r>
            <w:r w:rsidR="004364E7" w:rsidRPr="004364E7">
              <w:rPr>
                <w:szCs w:val="22"/>
              </w:rPr>
              <w:t>7,2 millions (RGPH 1996)</w:t>
            </w:r>
          </w:p>
          <w:p w:rsidR="002F4C15" w:rsidRPr="004364E7" w:rsidRDefault="002F4C15" w:rsidP="002F4C15">
            <w:pPr>
              <w:pStyle w:val="Paragraphedeliste"/>
              <w:numPr>
                <w:ilvl w:val="0"/>
                <w:numId w:val="23"/>
              </w:numPr>
              <w:spacing w:after="0" w:line="276" w:lineRule="auto"/>
              <w:ind w:left="284" w:hanging="284"/>
              <w:jc w:val="left"/>
              <w:rPr>
                <w:szCs w:val="22"/>
              </w:rPr>
            </w:pPr>
            <w:r w:rsidRPr="004364E7">
              <w:rPr>
                <w:szCs w:val="22"/>
              </w:rPr>
              <w:t>Taux de</w:t>
            </w:r>
            <w:r w:rsidR="00B913D3" w:rsidRPr="004364E7">
              <w:rPr>
                <w:szCs w:val="22"/>
              </w:rPr>
              <w:t xml:space="preserve"> croissance démographique</w:t>
            </w:r>
            <w:r w:rsidRPr="004364E7">
              <w:rPr>
                <w:szCs w:val="22"/>
              </w:rPr>
              <w:t> :</w:t>
            </w:r>
            <w:r w:rsidR="00FF4C7E">
              <w:rPr>
                <w:szCs w:val="22"/>
              </w:rPr>
              <w:t xml:space="preserve"> </w:t>
            </w:r>
            <w:r w:rsidR="004364E7" w:rsidRPr="004364E7">
              <w:rPr>
                <w:szCs w:val="22"/>
              </w:rPr>
              <w:t>3,1%</w:t>
            </w:r>
            <w:r w:rsidR="002D6A82">
              <w:rPr>
                <w:szCs w:val="22"/>
              </w:rPr>
              <w:t>/an</w:t>
            </w:r>
            <w:r w:rsidR="004364E7" w:rsidRPr="004364E7">
              <w:rPr>
                <w:szCs w:val="22"/>
              </w:rPr>
              <w:t xml:space="preserve"> (RGPH 1996)</w:t>
            </w:r>
          </w:p>
          <w:p w:rsidR="00E10356" w:rsidRPr="00E10356" w:rsidRDefault="002F4C15" w:rsidP="00E10356">
            <w:pPr>
              <w:pStyle w:val="Paragraphedeliste"/>
              <w:numPr>
                <w:ilvl w:val="0"/>
                <w:numId w:val="23"/>
              </w:numPr>
              <w:spacing w:after="0" w:line="276" w:lineRule="auto"/>
              <w:ind w:left="284" w:hanging="284"/>
              <w:jc w:val="left"/>
              <w:rPr>
                <w:szCs w:val="22"/>
              </w:rPr>
            </w:pPr>
            <w:r w:rsidRPr="00CD2863">
              <w:rPr>
                <w:szCs w:val="22"/>
              </w:rPr>
              <w:t>Emissions de GES par habitant :</w:t>
            </w:r>
            <w:r w:rsidR="00CC13A2">
              <w:rPr>
                <w:szCs w:val="22"/>
              </w:rPr>
              <w:t xml:space="preserve"> </w:t>
            </w:r>
            <w:r w:rsidR="00054314" w:rsidRPr="00CD2863">
              <w:rPr>
                <w:szCs w:val="22"/>
              </w:rPr>
              <w:t>2,1</w:t>
            </w:r>
            <w:r w:rsidR="00255F34" w:rsidRPr="00CD2863">
              <w:rPr>
                <w:szCs w:val="22"/>
              </w:rPr>
              <w:t xml:space="preserve"> tCO2e/hab</w:t>
            </w:r>
            <w:r w:rsidR="00CC13A2">
              <w:rPr>
                <w:szCs w:val="22"/>
              </w:rPr>
              <w:t>.</w:t>
            </w:r>
            <w:r w:rsidR="00054314" w:rsidRPr="00CD2863">
              <w:rPr>
                <w:szCs w:val="22"/>
              </w:rPr>
              <w:t xml:space="preserve"> en 1994</w:t>
            </w:r>
          </w:p>
          <w:p w:rsidR="002F4C15" w:rsidRPr="000617B7" w:rsidRDefault="002F4C15" w:rsidP="002F4C15">
            <w:pPr>
              <w:pStyle w:val="Paragraphedeliste"/>
              <w:numPr>
                <w:ilvl w:val="0"/>
                <w:numId w:val="23"/>
              </w:numPr>
              <w:spacing w:after="0" w:line="276" w:lineRule="auto"/>
              <w:ind w:left="284" w:hanging="284"/>
              <w:jc w:val="left"/>
              <w:rPr>
                <w:szCs w:val="22"/>
              </w:rPr>
            </w:pPr>
            <w:r w:rsidRPr="000617B7">
              <w:rPr>
                <w:szCs w:val="22"/>
              </w:rPr>
              <w:t>P</w:t>
            </w:r>
            <w:r w:rsidR="00B913D3" w:rsidRPr="000617B7">
              <w:rPr>
                <w:szCs w:val="22"/>
              </w:rPr>
              <w:t>art de la Guiné</w:t>
            </w:r>
            <w:r w:rsidRPr="000617B7">
              <w:rPr>
                <w:szCs w:val="22"/>
              </w:rPr>
              <w:t>e dans les émissions mondiales :</w:t>
            </w:r>
            <w:r w:rsidR="000617B7" w:rsidRPr="000617B7">
              <w:rPr>
                <w:szCs w:val="22"/>
              </w:rPr>
              <w:t xml:space="preserve"> inférieure à 0,1%</w:t>
            </w:r>
          </w:p>
          <w:p w:rsidR="002F4C15" w:rsidRPr="00CD2863" w:rsidRDefault="002F4C15" w:rsidP="002F4C15">
            <w:pPr>
              <w:pStyle w:val="Paragraphedeliste"/>
              <w:numPr>
                <w:ilvl w:val="0"/>
                <w:numId w:val="23"/>
              </w:numPr>
              <w:spacing w:after="0" w:line="276" w:lineRule="auto"/>
              <w:ind w:left="284" w:hanging="284"/>
              <w:jc w:val="left"/>
              <w:rPr>
                <w:szCs w:val="22"/>
              </w:rPr>
            </w:pPr>
            <w:r w:rsidRPr="00CD2863">
              <w:rPr>
                <w:szCs w:val="22"/>
              </w:rPr>
              <w:t>Croissance du PIB :</w:t>
            </w:r>
            <w:r w:rsidR="00CC13A2">
              <w:rPr>
                <w:szCs w:val="22"/>
              </w:rPr>
              <w:t xml:space="preserve"> </w:t>
            </w:r>
            <w:r w:rsidR="00CD2863" w:rsidRPr="00CD2863">
              <w:rPr>
                <w:szCs w:val="22"/>
              </w:rPr>
              <w:t>3,9% en 2012 (DSRP-III)</w:t>
            </w:r>
          </w:p>
          <w:p w:rsidR="002F4C15" w:rsidRPr="00A41EB1" w:rsidRDefault="002F4C15" w:rsidP="002F4C15">
            <w:pPr>
              <w:pStyle w:val="Paragraphedeliste"/>
              <w:numPr>
                <w:ilvl w:val="0"/>
                <w:numId w:val="23"/>
              </w:numPr>
              <w:spacing w:after="0" w:line="276" w:lineRule="auto"/>
              <w:ind w:left="284" w:hanging="284"/>
              <w:jc w:val="left"/>
              <w:rPr>
                <w:szCs w:val="22"/>
              </w:rPr>
            </w:pPr>
            <w:r w:rsidRPr="00A41EB1">
              <w:rPr>
                <w:szCs w:val="22"/>
              </w:rPr>
              <w:t xml:space="preserve">Part du secteur agricole dans le PIB : </w:t>
            </w:r>
            <w:r w:rsidR="00A41EB1" w:rsidRPr="00A41EB1">
              <w:rPr>
                <w:szCs w:val="22"/>
              </w:rPr>
              <w:t xml:space="preserve">20,1% </w:t>
            </w:r>
            <w:r w:rsidR="00A41EB1">
              <w:rPr>
                <w:szCs w:val="22"/>
              </w:rPr>
              <w:t xml:space="preserve">en 2014 </w:t>
            </w:r>
            <w:r w:rsidR="00A41EB1" w:rsidRPr="00A41EB1">
              <w:rPr>
                <w:szCs w:val="22"/>
              </w:rPr>
              <w:t>(Banque Mondiale)</w:t>
            </w:r>
          </w:p>
          <w:p w:rsidR="00B913D3" w:rsidRPr="00CD2863" w:rsidRDefault="002F4C15" w:rsidP="002F4C15">
            <w:pPr>
              <w:pStyle w:val="Paragraphedeliste"/>
              <w:numPr>
                <w:ilvl w:val="0"/>
                <w:numId w:val="23"/>
              </w:numPr>
              <w:spacing w:after="0" w:line="276" w:lineRule="auto"/>
              <w:ind w:left="284" w:hanging="284"/>
              <w:jc w:val="left"/>
              <w:rPr>
                <w:szCs w:val="22"/>
              </w:rPr>
            </w:pPr>
            <w:r w:rsidRPr="00CD2863">
              <w:rPr>
                <w:szCs w:val="22"/>
              </w:rPr>
              <w:t>I</w:t>
            </w:r>
            <w:r w:rsidR="00B913D3" w:rsidRPr="00CD2863">
              <w:rPr>
                <w:szCs w:val="22"/>
              </w:rPr>
              <w:t>ncidence de la pauvreté</w:t>
            </w:r>
            <w:r w:rsidRPr="00CD2863">
              <w:rPr>
                <w:szCs w:val="22"/>
              </w:rPr>
              <w:t> :</w:t>
            </w:r>
            <w:r w:rsidR="00CC13A2">
              <w:rPr>
                <w:szCs w:val="22"/>
              </w:rPr>
              <w:t xml:space="preserve"> </w:t>
            </w:r>
            <w:r w:rsidR="00CD2863">
              <w:rPr>
                <w:szCs w:val="22"/>
              </w:rPr>
              <w:t>55</w:t>
            </w:r>
            <w:r w:rsidR="00CD2863" w:rsidRPr="00CD2863">
              <w:rPr>
                <w:szCs w:val="22"/>
              </w:rPr>
              <w:t xml:space="preserve">,2% </w:t>
            </w:r>
            <w:r w:rsidR="00CD2863">
              <w:rPr>
                <w:szCs w:val="22"/>
              </w:rPr>
              <w:t>en 2012 (DSRP-III)</w:t>
            </w:r>
          </w:p>
          <w:p w:rsidR="00B913D3" w:rsidRPr="0053181C" w:rsidRDefault="00B913D3" w:rsidP="000B6618">
            <w:pPr>
              <w:spacing w:after="0" w:line="276" w:lineRule="auto"/>
              <w:jc w:val="left"/>
              <w:rPr>
                <w:b/>
                <w:szCs w:val="22"/>
              </w:rPr>
            </w:pPr>
          </w:p>
          <w:p w:rsidR="007D6F9A" w:rsidRPr="0053181C" w:rsidRDefault="007D6F9A" w:rsidP="000B6618">
            <w:pPr>
              <w:spacing w:after="0" w:line="276" w:lineRule="auto"/>
              <w:jc w:val="left"/>
              <w:rPr>
                <w:szCs w:val="22"/>
              </w:rPr>
            </w:pPr>
            <w:r w:rsidRPr="0053181C">
              <w:rPr>
                <w:b/>
                <w:szCs w:val="22"/>
              </w:rPr>
              <w:t xml:space="preserve">Année de référence : </w:t>
            </w:r>
            <w:r w:rsidRPr="0053181C">
              <w:rPr>
                <w:szCs w:val="22"/>
              </w:rPr>
              <w:t>1994</w:t>
            </w:r>
          </w:p>
          <w:p w:rsidR="007D6F9A" w:rsidRPr="0053181C" w:rsidRDefault="007D6F9A" w:rsidP="000B6618">
            <w:pPr>
              <w:spacing w:after="0" w:line="276" w:lineRule="auto"/>
              <w:jc w:val="left"/>
              <w:rPr>
                <w:szCs w:val="22"/>
              </w:rPr>
            </w:pPr>
            <w:r w:rsidRPr="0053181C">
              <w:rPr>
                <w:b/>
                <w:szCs w:val="22"/>
              </w:rPr>
              <w:t>Période d’engagement :</w:t>
            </w:r>
            <w:r w:rsidRPr="0053181C">
              <w:rPr>
                <w:szCs w:val="22"/>
              </w:rPr>
              <w:t xml:space="preserve"> 2016-2030</w:t>
            </w:r>
          </w:p>
          <w:p w:rsidR="007D6F9A" w:rsidRPr="0053181C" w:rsidRDefault="007D6F9A" w:rsidP="000B6618">
            <w:pPr>
              <w:spacing w:after="0" w:line="276" w:lineRule="auto"/>
              <w:jc w:val="left"/>
              <w:rPr>
                <w:szCs w:val="22"/>
              </w:rPr>
            </w:pPr>
            <w:r w:rsidRPr="0053181C">
              <w:rPr>
                <w:szCs w:val="22"/>
              </w:rPr>
              <w:t xml:space="preserve">Contribution conditionnée au soutien international. </w:t>
            </w:r>
          </w:p>
          <w:p w:rsidR="007D6F9A" w:rsidRPr="0053181C" w:rsidRDefault="007D6F9A" w:rsidP="000B6618">
            <w:pPr>
              <w:spacing w:after="0" w:line="276" w:lineRule="auto"/>
              <w:jc w:val="left"/>
              <w:rPr>
                <w:szCs w:val="22"/>
              </w:rPr>
            </w:pPr>
            <w:r w:rsidRPr="0053181C">
              <w:rPr>
                <w:b/>
                <w:szCs w:val="22"/>
              </w:rPr>
              <w:t>Secteurs concernés :</w:t>
            </w:r>
            <w:r w:rsidRPr="0053181C">
              <w:rPr>
                <w:szCs w:val="22"/>
              </w:rPr>
              <w:t xml:space="preserve"> Agriculture, forêts, énergie, ressources en eau, zone côtière</w:t>
            </w:r>
            <w:r w:rsidR="00B913D3" w:rsidRPr="0053181C">
              <w:rPr>
                <w:szCs w:val="22"/>
              </w:rPr>
              <w:t>, élevage, pêche, mines</w:t>
            </w:r>
          </w:p>
          <w:p w:rsidR="007D6F9A" w:rsidRPr="0053181C" w:rsidRDefault="007D6F9A" w:rsidP="000B6618">
            <w:pPr>
              <w:spacing w:after="0" w:line="276" w:lineRule="auto"/>
              <w:jc w:val="left"/>
              <w:rPr>
                <w:szCs w:val="22"/>
              </w:rPr>
            </w:pPr>
            <w:r w:rsidRPr="0053181C">
              <w:rPr>
                <w:b/>
                <w:szCs w:val="22"/>
              </w:rPr>
              <w:t>Niveau d’atténuation estimé :</w:t>
            </w:r>
            <w:r w:rsidRPr="0053181C">
              <w:rPr>
                <w:szCs w:val="22"/>
              </w:rPr>
              <w:t xml:space="preserve"> - 13%</w:t>
            </w:r>
            <w:r w:rsidR="00B913D3" w:rsidRPr="0053181C">
              <w:rPr>
                <w:szCs w:val="22"/>
              </w:rPr>
              <w:t xml:space="preserve"> d’émissions de gaz à effet de serre (GES)</w:t>
            </w:r>
            <w:r w:rsidRPr="0053181C">
              <w:rPr>
                <w:szCs w:val="22"/>
              </w:rPr>
              <w:t xml:space="preserve"> en 2030</w:t>
            </w:r>
            <w:r w:rsidR="00B913D3" w:rsidRPr="0053181C">
              <w:rPr>
                <w:szCs w:val="22"/>
              </w:rPr>
              <w:t xml:space="preserve"> par rapport à 1994 (Communication Nationale Initiale de la République de Guinée), hors Changement utilisation des terres et foresterie (CUTF)</w:t>
            </w:r>
          </w:p>
          <w:p w:rsidR="007D6F9A" w:rsidRPr="0053181C" w:rsidRDefault="007D6F9A" w:rsidP="000B6618">
            <w:pPr>
              <w:spacing w:after="0" w:line="276" w:lineRule="auto"/>
              <w:jc w:val="left"/>
              <w:rPr>
                <w:szCs w:val="22"/>
              </w:rPr>
            </w:pPr>
          </w:p>
          <w:p w:rsidR="007D6F9A" w:rsidRPr="0053181C" w:rsidRDefault="007D6F9A" w:rsidP="000B6618">
            <w:pPr>
              <w:spacing w:after="0" w:line="276" w:lineRule="auto"/>
              <w:jc w:val="left"/>
              <w:rPr>
                <w:b/>
                <w:szCs w:val="22"/>
              </w:rPr>
            </w:pPr>
            <w:r w:rsidRPr="0053181C">
              <w:rPr>
                <w:b/>
                <w:szCs w:val="22"/>
              </w:rPr>
              <w:t xml:space="preserve">Besoins en financements estimés : </w:t>
            </w:r>
          </w:p>
          <w:p w:rsidR="007D6F9A" w:rsidRPr="0053181C" w:rsidRDefault="007D6F9A" w:rsidP="007D6F9A">
            <w:pPr>
              <w:pStyle w:val="Paragraphedeliste"/>
              <w:numPr>
                <w:ilvl w:val="0"/>
                <w:numId w:val="22"/>
              </w:numPr>
              <w:spacing w:after="0" w:line="276" w:lineRule="auto"/>
              <w:jc w:val="left"/>
              <w:rPr>
                <w:szCs w:val="22"/>
              </w:rPr>
            </w:pPr>
            <w:r w:rsidRPr="0053181C">
              <w:rPr>
                <w:szCs w:val="22"/>
              </w:rPr>
              <w:t>Adaptation : jusqu’à 1,7 milliards USD sur la période</w:t>
            </w:r>
          </w:p>
          <w:p w:rsidR="007D6F9A" w:rsidRPr="0053181C" w:rsidRDefault="007D6F9A" w:rsidP="007D6F9A">
            <w:pPr>
              <w:pStyle w:val="Paragraphedeliste"/>
              <w:numPr>
                <w:ilvl w:val="0"/>
                <w:numId w:val="22"/>
              </w:numPr>
              <w:spacing w:after="0" w:line="276" w:lineRule="auto"/>
              <w:jc w:val="left"/>
              <w:rPr>
                <w:szCs w:val="22"/>
              </w:rPr>
            </w:pPr>
            <w:r w:rsidRPr="0053181C">
              <w:rPr>
                <w:szCs w:val="22"/>
              </w:rPr>
              <w:t>Atténuation : au moins 6,5 milliards USD sur la période</w:t>
            </w:r>
            <w:r w:rsidR="00AA2B7E" w:rsidRPr="0053181C">
              <w:rPr>
                <w:szCs w:val="22"/>
              </w:rPr>
              <w:t xml:space="preserve"> sur le seul secteur énergétique</w:t>
            </w:r>
          </w:p>
        </w:tc>
      </w:tr>
    </w:tbl>
    <w:p w:rsidR="002F69D8" w:rsidRDefault="00A459FB" w:rsidP="00E8127D">
      <w:pPr>
        <w:pStyle w:val="Titre1"/>
        <w:numPr>
          <w:ilvl w:val="0"/>
          <w:numId w:val="8"/>
        </w:numPr>
        <w:spacing w:line="276" w:lineRule="auto"/>
      </w:pPr>
      <w:bookmarkStart w:id="3" w:name="_Toc431272522"/>
      <w:r>
        <w:t>Contexte national</w:t>
      </w:r>
      <w:bookmarkEnd w:id="3"/>
    </w:p>
    <w:p w:rsidR="0040470D" w:rsidRDefault="0040470D" w:rsidP="0040470D">
      <w:pPr>
        <w:pStyle w:val="Titre3"/>
        <w:spacing w:line="276" w:lineRule="auto"/>
      </w:pPr>
      <w:bookmarkStart w:id="4" w:name="_Toc431272523"/>
      <w:r>
        <w:t>Objectifs nationaux de développement et priorités stratégiques de développement durable</w:t>
      </w:r>
      <w:bookmarkEnd w:id="4"/>
    </w:p>
    <w:p w:rsidR="0040470D" w:rsidRPr="0053181C" w:rsidRDefault="0040470D" w:rsidP="0040470D">
      <w:pPr>
        <w:spacing w:after="120" w:line="276" w:lineRule="auto"/>
        <w:rPr>
          <w:szCs w:val="22"/>
        </w:rPr>
      </w:pPr>
      <w:r w:rsidRPr="0053181C">
        <w:rPr>
          <w:szCs w:val="22"/>
        </w:rPr>
        <w:t>Située à la 178</w:t>
      </w:r>
      <w:r w:rsidRPr="0053181C">
        <w:rPr>
          <w:szCs w:val="22"/>
          <w:vertAlign w:val="superscript"/>
        </w:rPr>
        <w:t>ème</w:t>
      </w:r>
      <w:r w:rsidRPr="0053181C">
        <w:rPr>
          <w:szCs w:val="22"/>
        </w:rPr>
        <w:t xml:space="preserve"> place (sur 187 pays) en termes d’IDH, la République de Guinée souffre de vulnérabilités structurelles fortes, en dépit de progrès récents. L’incidence de pauvreté au niveau national était de 55,2% en </w:t>
      </w:r>
      <w:r w:rsidR="00B913D3" w:rsidRPr="0053181C">
        <w:rPr>
          <w:szCs w:val="22"/>
        </w:rPr>
        <w:t>2012. Ainsi,</w:t>
      </w:r>
      <w:r w:rsidRPr="0053181C">
        <w:rPr>
          <w:szCs w:val="22"/>
        </w:rPr>
        <w:t xml:space="preserve"> 6,2 millions de Guinéens vivaient en dessous du seuil de pauvreté. Près d’un enfant sur trois souffrait en 2012 de malnutrition. En somme, en 2015, rares sont les Objectifs du Millénaire pour le Développement (OMD) qui aient une chance d’être atteints. Or, dans un contexte de forte croissance démographique (doub</w:t>
      </w:r>
      <w:r w:rsidR="00734A1F" w:rsidRPr="0053181C">
        <w:rPr>
          <w:szCs w:val="22"/>
        </w:rPr>
        <w:t xml:space="preserve">lement de population tous les 25 </w:t>
      </w:r>
      <w:r w:rsidRPr="0053181C">
        <w:rPr>
          <w:szCs w:val="22"/>
        </w:rPr>
        <w:t xml:space="preserve">ans), il est absolument urgent d’accélérer et de diversifier la croissance économique afin de répondre au défi social qui se présente, sans pour autant contraindre les générations futures. </w:t>
      </w:r>
    </w:p>
    <w:p w:rsidR="0040470D" w:rsidRPr="0053181C" w:rsidRDefault="0040470D" w:rsidP="0040470D">
      <w:pPr>
        <w:spacing w:after="120" w:line="276" w:lineRule="auto"/>
        <w:rPr>
          <w:szCs w:val="22"/>
        </w:rPr>
      </w:pPr>
      <w:r w:rsidRPr="0053181C">
        <w:rPr>
          <w:szCs w:val="22"/>
        </w:rPr>
        <w:t xml:space="preserve">L’enjeu de développement </w:t>
      </w:r>
      <w:r w:rsidR="006B27D0" w:rsidRPr="0053181C">
        <w:rPr>
          <w:szCs w:val="22"/>
        </w:rPr>
        <w:t xml:space="preserve">durable </w:t>
      </w:r>
      <w:r w:rsidRPr="0053181C">
        <w:rPr>
          <w:szCs w:val="22"/>
        </w:rPr>
        <w:t xml:space="preserve">reste donc prioritaire afin de satisfaire les besoins essentiels de la population guinéenne. De plus, les émissions de gaz à effet de serre (GES) de la République de Guinée sont très faibles, comparées à un niveau moyen mondial. </w:t>
      </w:r>
    </w:p>
    <w:p w:rsidR="00A459FB" w:rsidRDefault="00A459FB" w:rsidP="000B6618">
      <w:pPr>
        <w:pStyle w:val="Titre3"/>
        <w:spacing w:line="276" w:lineRule="auto"/>
      </w:pPr>
      <w:bookmarkStart w:id="5" w:name="_Toc431272524"/>
      <w:r>
        <w:t xml:space="preserve">Objectif de la CPDN de </w:t>
      </w:r>
      <w:r w:rsidR="00734A1F">
        <w:t xml:space="preserve">la </w:t>
      </w:r>
      <w:r>
        <w:t>République de Guinée</w:t>
      </w:r>
      <w:bookmarkEnd w:id="5"/>
    </w:p>
    <w:p w:rsidR="00A459FB" w:rsidRPr="0053181C" w:rsidRDefault="006F78A0" w:rsidP="002F4C15">
      <w:pPr>
        <w:spacing w:line="276" w:lineRule="auto"/>
      </w:pPr>
      <w:r w:rsidRPr="0053181C">
        <w:t>La République de Guinée a ratifié la Convention cadre des Nations Unies sur les changements climatiques (CCNUCC) et le Protocole</w:t>
      </w:r>
      <w:r w:rsidR="006B27D0" w:rsidRPr="0053181C">
        <w:t xml:space="preserve"> de Kyoto respectivement en 1993</w:t>
      </w:r>
      <w:r w:rsidRPr="0053181C">
        <w:t xml:space="preserve"> et </w:t>
      </w:r>
      <w:r w:rsidR="006B27D0" w:rsidRPr="0053181C">
        <w:t>2005</w:t>
      </w:r>
      <w:r w:rsidRPr="0053181C">
        <w:t xml:space="preserve">. Elle a, depuis, </w:t>
      </w:r>
      <w:r w:rsidR="006B27D0" w:rsidRPr="0053181C">
        <w:t>élabo</w:t>
      </w:r>
      <w:r w:rsidR="00352DAB" w:rsidRPr="0053181C">
        <w:t>ré des stratégies en matière de</w:t>
      </w:r>
      <w:r w:rsidR="00CC13A2">
        <w:t xml:space="preserve"> </w:t>
      </w:r>
      <w:r w:rsidRPr="0053181C">
        <w:t xml:space="preserve">lutte contre les changements climatiques, parmi lesquelles </w:t>
      </w:r>
      <w:r w:rsidR="00BE1A5C" w:rsidRPr="0053181C">
        <w:t>sa Communication Nationale initiale, sur la base d’</w:t>
      </w:r>
      <w:r w:rsidRPr="0053181C">
        <w:t xml:space="preserve">un inventaire des gaz à effet de serre (GES) en 2001 (sur la base des émissions de 1994). Un second inventaire a été mené en 2011 (émissions de 2000), mais il n’a pas encore donné lieu à la soumission d’une nouvelle communication nationale. </w:t>
      </w:r>
      <w:r w:rsidR="000327C0" w:rsidRPr="0053181C">
        <w:t>Enfin, l</w:t>
      </w:r>
      <w:r w:rsidRPr="0053181C">
        <w:t>a République de Guinée a élaboré son PANA en 2007</w:t>
      </w:r>
      <w:r w:rsidR="002F4C15" w:rsidRPr="0053181C">
        <w:t xml:space="preserve"> et engagé plusieurs projets pour mettre en œuvre ce plan</w:t>
      </w:r>
      <w:r w:rsidRPr="0053181C">
        <w:t>.</w:t>
      </w:r>
    </w:p>
    <w:p w:rsidR="008874BE" w:rsidRPr="00CA36A4" w:rsidRDefault="008874BE" w:rsidP="000B6618">
      <w:pPr>
        <w:spacing w:line="276" w:lineRule="auto"/>
        <w:rPr>
          <w:szCs w:val="22"/>
        </w:rPr>
      </w:pPr>
      <w:r w:rsidRPr="0053181C">
        <w:t>La Guinée doit actuellement faire face à deux défis majeurs : sortir sa population de la pauvreté et assurer la sécurité alimentaire du pays</w:t>
      </w:r>
      <w:r w:rsidR="00030D1E" w:rsidRPr="0053181C">
        <w:t xml:space="preserve">, alors que la croissance démographique </w:t>
      </w:r>
      <w:r w:rsidR="00030D1E" w:rsidRPr="00CA36A4">
        <w:t>est de l’ordre de 3% par an et que le nombre d’habitants devrait atteindre 18 à 20 millions en 2030</w:t>
      </w:r>
      <w:r w:rsidRPr="00CA36A4">
        <w:t xml:space="preserve">. Elle a également pour ambition de passer de </w:t>
      </w:r>
      <w:r w:rsidR="000327C0">
        <w:t>Pays moins avancé (</w:t>
      </w:r>
      <w:r w:rsidRPr="00CA36A4">
        <w:t>PMA</w:t>
      </w:r>
      <w:r w:rsidR="000327C0">
        <w:t>) à Pays émergent</w:t>
      </w:r>
      <w:r w:rsidRPr="00CA36A4">
        <w:t xml:space="preserve"> d’ici </w:t>
      </w:r>
      <w:r w:rsidR="000327C0">
        <w:t xml:space="preserve">à </w:t>
      </w:r>
      <w:r w:rsidRPr="00CA36A4">
        <w:t>2030</w:t>
      </w:r>
      <w:r w:rsidR="00030D1E" w:rsidRPr="00CA36A4">
        <w:t>, ce qui implique d’avoir pour cela un taux de croissance du PIB de 5 à 7% par an. Compte tenu de ces ambitions et de la croissance dé</w:t>
      </w:r>
      <w:r w:rsidR="000327C0">
        <w:t>mographique, les besoins énergétiques de la G</w:t>
      </w:r>
      <w:r w:rsidR="00030D1E" w:rsidRPr="00CA36A4">
        <w:t xml:space="preserve">uinée pourraient doubler en l’espace de 20 ans. </w:t>
      </w:r>
      <w:r w:rsidR="000327C0">
        <w:t xml:space="preserve">Ainsi, </w:t>
      </w:r>
      <w:r w:rsidR="000327C0" w:rsidRPr="00036BF5">
        <w:rPr>
          <w:b/>
        </w:rPr>
        <w:t>en faisant l’hypothèse</w:t>
      </w:r>
      <w:r w:rsidR="000327C0" w:rsidRPr="00036BF5">
        <w:rPr>
          <w:b/>
          <w:szCs w:val="22"/>
        </w:rPr>
        <w:t xml:space="preserve"> d’absence de rupture</w:t>
      </w:r>
      <w:r w:rsidR="00030D1E" w:rsidRPr="00036BF5">
        <w:rPr>
          <w:b/>
          <w:szCs w:val="22"/>
        </w:rPr>
        <w:t xml:space="preserve"> des pratiques et des systèmes, le </w:t>
      </w:r>
      <w:r w:rsidR="00030D1E" w:rsidRPr="00BE1A5C">
        <w:rPr>
          <w:b/>
          <w:szCs w:val="22"/>
        </w:rPr>
        <w:t>taux de croissance annuel des émissions est estimé à +4,4%</w:t>
      </w:r>
      <w:r w:rsidR="00030D1E" w:rsidRPr="00036BF5">
        <w:rPr>
          <w:szCs w:val="22"/>
        </w:rPr>
        <w:t>,</w:t>
      </w:r>
      <w:r w:rsidR="00030D1E" w:rsidRPr="00CA36A4">
        <w:rPr>
          <w:szCs w:val="22"/>
        </w:rPr>
        <w:t xml:space="preserve"> soit un peu plus d’un doublement tous les 20 ans.</w:t>
      </w:r>
    </w:p>
    <w:p w:rsidR="00C839B5" w:rsidRPr="0053181C" w:rsidRDefault="00030D1E" w:rsidP="00C839B5">
      <w:pPr>
        <w:spacing w:line="276" w:lineRule="auto"/>
      </w:pPr>
      <w:r w:rsidRPr="00CA36A4">
        <w:rPr>
          <w:szCs w:val="22"/>
        </w:rPr>
        <w:lastRenderedPageBreak/>
        <w:t xml:space="preserve">La Guinée est particulièrement riche en ressources naturelles. Elle est considérée comme un puits de carbone grâce à ses ressources </w:t>
      </w:r>
      <w:r w:rsidRPr="0053181C">
        <w:rPr>
          <w:szCs w:val="22"/>
        </w:rPr>
        <w:t>forestières (</w:t>
      </w:r>
      <w:r w:rsidR="001915A4" w:rsidRPr="0053181C">
        <w:rPr>
          <w:szCs w:val="22"/>
        </w:rPr>
        <w:t>C</w:t>
      </w:r>
      <w:r w:rsidRPr="0053181C">
        <w:rPr>
          <w:szCs w:val="22"/>
        </w:rPr>
        <w:t>ommunication nationale</w:t>
      </w:r>
      <w:r w:rsidR="001915A4" w:rsidRPr="0053181C">
        <w:rPr>
          <w:szCs w:val="22"/>
        </w:rPr>
        <w:t xml:space="preserve"> Initiale</w:t>
      </w:r>
      <w:r w:rsidR="00984F0F" w:rsidRPr="0053181C">
        <w:rPr>
          <w:szCs w:val="22"/>
        </w:rPr>
        <w:t>,</w:t>
      </w:r>
      <w:r w:rsidRPr="0053181C">
        <w:rPr>
          <w:szCs w:val="22"/>
        </w:rPr>
        <w:t xml:space="preserve"> 1994). En outre, </w:t>
      </w:r>
      <w:r w:rsidR="00B37BBB" w:rsidRPr="0053181C">
        <w:rPr>
          <w:szCs w:val="22"/>
        </w:rPr>
        <w:t>elle abrite la source de plus de 1 000 cours d’eau et de quatre des principaux fleuves d’Afrique de l’Ouest. Ces ressources sont gravement menacées par les impacts des changements climatiques</w:t>
      </w:r>
      <w:r w:rsidR="000327C0" w:rsidRPr="0053181C">
        <w:rPr>
          <w:szCs w:val="22"/>
        </w:rPr>
        <w:t> </w:t>
      </w:r>
      <w:r w:rsidR="00984F0F" w:rsidRPr="0053181C">
        <w:rPr>
          <w:szCs w:val="22"/>
        </w:rPr>
        <w:t>et</w:t>
      </w:r>
      <w:r w:rsidR="000327C0" w:rsidRPr="0053181C">
        <w:rPr>
          <w:szCs w:val="22"/>
        </w:rPr>
        <w:t xml:space="preserve"> la pression pourrait être accrue du fait de flux de population régionaux</w:t>
      </w:r>
      <w:r w:rsidR="00B37BBB" w:rsidRPr="0053181C">
        <w:rPr>
          <w:szCs w:val="22"/>
        </w:rPr>
        <w:t>. En effet, la situation géographique de la Guinée pourrait en faire un refuge pour les populations des pays sahéliens voisins du Nord,</w:t>
      </w:r>
      <w:r w:rsidR="000327C0" w:rsidRPr="0053181C">
        <w:rPr>
          <w:szCs w:val="22"/>
        </w:rPr>
        <w:t xml:space="preserve"> en particulier les éleveurs pastoraux,</w:t>
      </w:r>
      <w:r w:rsidR="00B37BBB" w:rsidRPr="0053181C">
        <w:rPr>
          <w:szCs w:val="22"/>
        </w:rPr>
        <w:t xml:space="preserve"> plus gravement touchés par la </w:t>
      </w:r>
      <w:r w:rsidR="000327C0" w:rsidRPr="0053181C">
        <w:rPr>
          <w:szCs w:val="22"/>
        </w:rPr>
        <w:t>sécheresse et la modification des</w:t>
      </w:r>
      <w:r w:rsidR="00B37BBB" w:rsidRPr="0053181C">
        <w:rPr>
          <w:szCs w:val="22"/>
        </w:rPr>
        <w:t xml:space="preserve"> régime</w:t>
      </w:r>
      <w:r w:rsidR="000327C0" w:rsidRPr="0053181C">
        <w:rPr>
          <w:szCs w:val="22"/>
        </w:rPr>
        <w:t>s</w:t>
      </w:r>
      <w:r w:rsidR="00B37BBB" w:rsidRPr="0053181C">
        <w:rPr>
          <w:szCs w:val="22"/>
        </w:rPr>
        <w:t xml:space="preserve"> pluviométrique</w:t>
      </w:r>
      <w:r w:rsidR="000327C0" w:rsidRPr="0053181C">
        <w:rPr>
          <w:szCs w:val="22"/>
        </w:rPr>
        <w:t>s</w:t>
      </w:r>
      <w:r w:rsidR="00B37BBB" w:rsidRPr="0053181C">
        <w:rPr>
          <w:szCs w:val="22"/>
        </w:rPr>
        <w:t xml:space="preserve">. </w:t>
      </w:r>
      <w:r w:rsidR="00C839B5" w:rsidRPr="0053181C">
        <w:rPr>
          <w:szCs w:val="22"/>
        </w:rPr>
        <w:t>De plus, la Guinée est d’une</w:t>
      </w:r>
      <w:r w:rsidR="00845259" w:rsidRPr="0053181C">
        <w:rPr>
          <w:szCs w:val="22"/>
        </w:rPr>
        <w:t xml:space="preserve"> grande</w:t>
      </w:r>
      <w:r w:rsidR="00CC13A2">
        <w:rPr>
          <w:szCs w:val="22"/>
        </w:rPr>
        <w:t xml:space="preserve"> </w:t>
      </w:r>
      <w:r w:rsidR="00C839B5" w:rsidRPr="0053181C">
        <w:t xml:space="preserve">importance au niveau mondial pour l’industrie de l’aluminium, car elle abrite plus </w:t>
      </w:r>
      <w:r w:rsidR="001915A4" w:rsidRPr="0053181C">
        <w:t>du tiers</w:t>
      </w:r>
      <w:r w:rsidR="00C839B5" w:rsidRPr="0053181C">
        <w:t xml:space="preserve"> des ré</w:t>
      </w:r>
      <w:r w:rsidR="005F216B" w:rsidRPr="0053181C">
        <w:t>serves de bauxite de la planète</w:t>
      </w:r>
      <w:r w:rsidR="00C839B5" w:rsidRPr="0053181C">
        <w:t xml:space="preserve">. </w:t>
      </w:r>
    </w:p>
    <w:p w:rsidR="00C839B5" w:rsidRPr="0053181C" w:rsidRDefault="00C839B5" w:rsidP="00C839B5">
      <w:pPr>
        <w:spacing w:line="276" w:lineRule="auto"/>
      </w:pPr>
      <w:r w:rsidRPr="0053181C">
        <w:t>Pour toutes ces raisons,</w:t>
      </w:r>
      <w:r w:rsidR="00036BF5" w:rsidRPr="0053181C">
        <w:t xml:space="preserve"> et afin de contribuer le plus efficacement possible à son développement du</w:t>
      </w:r>
      <w:r w:rsidR="002F4C15" w:rsidRPr="0053181C">
        <w:t>rable et à celui de ses voisins</w:t>
      </w:r>
      <w:r w:rsidR="00036BF5" w:rsidRPr="0053181C">
        <w:t>,</w:t>
      </w:r>
      <w:r w:rsidRPr="0053181C">
        <w:t xml:space="preserve"> la Guinée se veut être un pays stabilisateur de la sous-région à l’horizon 2030, en :</w:t>
      </w:r>
    </w:p>
    <w:p w:rsidR="00C839B5" w:rsidRPr="0053181C" w:rsidRDefault="000327C0" w:rsidP="000327C0">
      <w:pPr>
        <w:pStyle w:val="Paragraphedeliste"/>
        <w:numPr>
          <w:ilvl w:val="0"/>
          <w:numId w:val="20"/>
        </w:numPr>
        <w:spacing w:line="276" w:lineRule="auto"/>
      </w:pPr>
      <w:r w:rsidRPr="0053181C">
        <w:t xml:space="preserve">préservant </w:t>
      </w:r>
      <w:r w:rsidR="00845259" w:rsidRPr="0053181C">
        <w:t xml:space="preserve">et valorisant </w:t>
      </w:r>
      <w:r w:rsidRPr="0053181C">
        <w:t>s</w:t>
      </w:r>
      <w:r w:rsidR="00C839B5" w:rsidRPr="0053181C">
        <w:t>es ressources hydriques ;</w:t>
      </w:r>
    </w:p>
    <w:p w:rsidR="00C839B5" w:rsidRPr="0053181C" w:rsidRDefault="000327C0" w:rsidP="000327C0">
      <w:pPr>
        <w:pStyle w:val="Paragraphedeliste"/>
        <w:numPr>
          <w:ilvl w:val="0"/>
          <w:numId w:val="20"/>
        </w:numPr>
        <w:spacing w:line="276" w:lineRule="auto"/>
      </w:pPr>
      <w:r w:rsidRPr="0053181C">
        <w:t xml:space="preserve">s’efforçant de rester </w:t>
      </w:r>
      <w:r w:rsidR="00C839B5" w:rsidRPr="0053181C">
        <w:t>un puit</w:t>
      </w:r>
      <w:r w:rsidR="00CA36A4" w:rsidRPr="0053181C">
        <w:t>s</w:t>
      </w:r>
      <w:r w:rsidR="00C839B5" w:rsidRPr="0053181C">
        <w:t xml:space="preserve"> de carbone ;</w:t>
      </w:r>
    </w:p>
    <w:p w:rsidR="00106F24" w:rsidRPr="0053181C" w:rsidRDefault="0015594B" w:rsidP="000327C0">
      <w:pPr>
        <w:pStyle w:val="Paragraphedeliste"/>
        <w:numPr>
          <w:ilvl w:val="0"/>
          <w:numId w:val="20"/>
        </w:numPr>
        <w:spacing w:line="276" w:lineRule="auto"/>
      </w:pPr>
      <w:r w:rsidRPr="0053181C">
        <w:t xml:space="preserve">exploitant ses ressources </w:t>
      </w:r>
      <w:r w:rsidR="00106F24" w:rsidRPr="0053181C">
        <w:t xml:space="preserve">en sols et </w:t>
      </w:r>
      <w:r w:rsidRPr="0053181C">
        <w:t xml:space="preserve">en sous-sol de manière </w:t>
      </w:r>
      <w:r w:rsidR="00CA36A4" w:rsidRPr="0053181C">
        <w:t>raisonnée</w:t>
      </w:r>
      <w:r w:rsidR="00047D26">
        <w:t> ;</w:t>
      </w:r>
    </w:p>
    <w:p w:rsidR="00C839B5" w:rsidRPr="0053181C" w:rsidRDefault="00106F24" w:rsidP="000327C0">
      <w:pPr>
        <w:pStyle w:val="Paragraphedeliste"/>
        <w:numPr>
          <w:ilvl w:val="0"/>
          <w:numId w:val="20"/>
        </w:numPr>
        <w:spacing w:line="276" w:lineRule="auto"/>
      </w:pPr>
      <w:r w:rsidRPr="0053181C">
        <w:t>portant la réflexion de la CEDEAO pour intégrer davantage les enjeux du changement climatique dans le Plan de transhumance régional</w:t>
      </w:r>
      <w:r w:rsidR="0015594B" w:rsidRPr="0053181C">
        <w:t xml:space="preserve">. </w:t>
      </w:r>
    </w:p>
    <w:p w:rsidR="00C839B5" w:rsidRPr="0053181C" w:rsidRDefault="00C839B5" w:rsidP="00C839B5">
      <w:pPr>
        <w:spacing w:line="276" w:lineRule="auto"/>
      </w:pPr>
    </w:p>
    <w:p w:rsidR="0015594B" w:rsidRPr="0053181C" w:rsidRDefault="0015594B" w:rsidP="00C839B5">
      <w:pPr>
        <w:spacing w:line="276" w:lineRule="auto"/>
      </w:pPr>
      <w:r w:rsidRPr="0053181C">
        <w:t>Pour réaliser cela, plusieurs pistes s’offrent à elle. Parmi ces pistes, citons le développement des énergies renouvelables, l’amélioration de l’efficacité énergétique, la diminution de la pression sur les forêts par la mise en œuvre d’une gestion durable des ressources forestières</w:t>
      </w:r>
      <w:r w:rsidR="00106F24" w:rsidRPr="0053181C">
        <w:t xml:space="preserve"> et des terres</w:t>
      </w:r>
      <w:r w:rsidRPr="0053181C">
        <w:t xml:space="preserve">, le développement et </w:t>
      </w:r>
      <w:r w:rsidR="00845259" w:rsidRPr="0053181C">
        <w:t xml:space="preserve">l’amélioration </w:t>
      </w:r>
      <w:r w:rsidRPr="0053181C">
        <w:t xml:space="preserve">de pratiques agricoles et pastorales adaptées aux changements climatiques, etc. </w:t>
      </w:r>
    </w:p>
    <w:p w:rsidR="00030D1E" w:rsidRDefault="00030D1E" w:rsidP="000B6618">
      <w:pPr>
        <w:spacing w:line="276" w:lineRule="auto"/>
        <w:rPr>
          <w:highlight w:val="yellow"/>
        </w:rPr>
      </w:pPr>
    </w:p>
    <w:p w:rsidR="00A459FB" w:rsidRDefault="006F78A0" w:rsidP="000B6618">
      <w:pPr>
        <w:pStyle w:val="Titre3"/>
        <w:spacing w:line="276" w:lineRule="auto"/>
      </w:pPr>
      <w:bookmarkStart w:id="6" w:name="_Toc431272525"/>
      <w:r>
        <w:t>Processus d’elaboration de la CPDN de Guinee</w:t>
      </w:r>
      <w:bookmarkEnd w:id="6"/>
    </w:p>
    <w:p w:rsidR="0040470D" w:rsidRDefault="006F78A0" w:rsidP="00E93331">
      <w:pPr>
        <w:spacing w:line="276" w:lineRule="auto"/>
        <w:rPr>
          <w:lang w:val="it-IT"/>
        </w:rPr>
      </w:pPr>
      <w:r w:rsidRPr="0053181C">
        <w:rPr>
          <w:lang w:val="it-IT"/>
        </w:rPr>
        <w:t xml:space="preserve">Le Ministère de l’Environnement, des Eaux et forêts (MEEF), à travers sa Direction Nationale de l’Environnement, est en charge </w:t>
      </w:r>
      <w:r w:rsidR="0084110E" w:rsidRPr="0053181C">
        <w:rPr>
          <w:lang w:val="it-IT"/>
        </w:rPr>
        <w:t>de coordonner l</w:t>
      </w:r>
      <w:r w:rsidRPr="0053181C">
        <w:rPr>
          <w:lang w:val="it-IT"/>
        </w:rPr>
        <w:t xml:space="preserve">a mise en oeuvre de </w:t>
      </w:r>
      <w:r w:rsidR="0084110E" w:rsidRPr="0053181C">
        <w:rPr>
          <w:lang w:val="it-IT"/>
        </w:rPr>
        <w:t>la politique</w:t>
      </w:r>
      <w:r w:rsidRPr="0053181C">
        <w:rPr>
          <w:lang w:val="it-IT"/>
        </w:rPr>
        <w:t xml:space="preserve"> du gouvernement en matière de lutte contre les changements climatiques et assure la gestion des inventaires de </w:t>
      </w:r>
      <w:r>
        <w:rPr>
          <w:lang w:val="it-IT"/>
        </w:rPr>
        <w:t xml:space="preserve">GES. </w:t>
      </w:r>
    </w:p>
    <w:p w:rsidR="006F78A0" w:rsidRDefault="006F78A0" w:rsidP="00E93331">
      <w:pPr>
        <w:spacing w:line="276" w:lineRule="auto"/>
      </w:pPr>
      <w:r w:rsidRPr="0053181C">
        <w:t xml:space="preserve">La </w:t>
      </w:r>
      <w:r w:rsidRPr="0053181C">
        <w:rPr>
          <w:b/>
        </w:rPr>
        <w:t>Plateforme Nationale de Concertation</w:t>
      </w:r>
      <w:r w:rsidRPr="0053181C">
        <w:t xml:space="preserve"> sur la COP21 (plus loin PNC-COP21) a été créée</w:t>
      </w:r>
      <w:r w:rsidR="002F4C15" w:rsidRPr="0053181C">
        <w:t>, à l’initiative du MEEF,</w:t>
      </w:r>
      <w:r w:rsidRPr="0053181C">
        <w:t xml:space="preserve"> afin de mobiliser </w:t>
      </w:r>
      <w:r w:rsidR="0084110E" w:rsidRPr="0053181C">
        <w:t xml:space="preserve">les représentants de l’Etat, </w:t>
      </w:r>
      <w:r w:rsidR="00845259" w:rsidRPr="0053181C">
        <w:t>les départements techniques, l</w:t>
      </w:r>
      <w:r w:rsidRPr="0053181C">
        <w:t xml:space="preserve">a société civile </w:t>
      </w:r>
      <w:r w:rsidR="00845259" w:rsidRPr="0053181C">
        <w:t xml:space="preserve">et le secteur privé </w:t>
      </w:r>
      <w:r w:rsidRPr="0053181C">
        <w:t>pour faire entendre la voix de la Guinée par une large contribution de tou</w:t>
      </w:r>
      <w:r w:rsidR="00CA36A4" w:rsidRPr="0053181C">
        <w:t xml:space="preserve">tes les institutions </w:t>
      </w:r>
      <w:r w:rsidRPr="0053181C">
        <w:t>et de toutes les couches sociales. Elle doit, entre autres objectifs</w:t>
      </w:r>
      <w:r>
        <w:t>, développer l’information et la communication sur la COP21, éveiller la conscience de la société civile et des acteurs économiques, etc.</w:t>
      </w:r>
      <w:r w:rsidR="00E93331">
        <w:t xml:space="preserve"> Elle inclut un segment de haut niveau</w:t>
      </w:r>
      <w:r w:rsidR="00F80879">
        <w:t xml:space="preserve"> (segment ministériel)</w:t>
      </w:r>
      <w:r w:rsidR="00E93331">
        <w:t xml:space="preserve"> et 11 panels thématiques qui ont contribué à l’élaboration de la CPDN.</w:t>
      </w:r>
    </w:p>
    <w:p w:rsidR="00E93331" w:rsidRDefault="00E93331" w:rsidP="0040470D">
      <w:pPr>
        <w:rPr>
          <w:lang w:val="it-IT"/>
        </w:rPr>
      </w:pPr>
    </w:p>
    <w:p w:rsidR="00A459FB" w:rsidRDefault="00A459FB" w:rsidP="003C018C">
      <w:pPr>
        <w:pStyle w:val="Titre1"/>
        <w:numPr>
          <w:ilvl w:val="0"/>
          <w:numId w:val="8"/>
        </w:numPr>
        <w:spacing w:line="276" w:lineRule="auto"/>
      </w:pPr>
      <w:bookmarkStart w:id="7" w:name="_Toc431272526"/>
      <w:r>
        <w:t>Engagements d’adaptation</w:t>
      </w:r>
      <w:bookmarkEnd w:id="7"/>
    </w:p>
    <w:p w:rsidR="00A459FB" w:rsidRDefault="00A459FB" w:rsidP="000B6618">
      <w:pPr>
        <w:pStyle w:val="Titre3"/>
        <w:spacing w:line="276" w:lineRule="auto"/>
      </w:pPr>
      <w:bookmarkStart w:id="8" w:name="_Toc431272527"/>
      <w:r>
        <w:t>Justification de l’intégration de l’adaptation dans la CPDN</w:t>
      </w:r>
      <w:bookmarkEnd w:id="8"/>
    </w:p>
    <w:p w:rsidR="0035732C" w:rsidRPr="0053181C" w:rsidRDefault="0035732C" w:rsidP="000B6618">
      <w:pPr>
        <w:spacing w:line="276" w:lineRule="auto"/>
        <w:rPr>
          <w:szCs w:val="22"/>
        </w:rPr>
      </w:pPr>
      <w:r w:rsidRPr="0053181C">
        <w:rPr>
          <w:szCs w:val="22"/>
        </w:rPr>
        <w:t>Promouvoir un développement économique</w:t>
      </w:r>
      <w:r w:rsidR="00734A1F" w:rsidRPr="0053181C">
        <w:rPr>
          <w:szCs w:val="22"/>
        </w:rPr>
        <w:t xml:space="preserve"> durable</w:t>
      </w:r>
      <w:r w:rsidRPr="0053181C">
        <w:rPr>
          <w:szCs w:val="22"/>
        </w:rPr>
        <w:t xml:space="preserve"> qui prenne en compte l’adaptation aux changements climatiques est indispensable </w:t>
      </w:r>
      <w:r w:rsidR="00EF229E" w:rsidRPr="0053181C">
        <w:rPr>
          <w:szCs w:val="22"/>
        </w:rPr>
        <w:t>dans le but</w:t>
      </w:r>
      <w:r w:rsidRPr="0053181C">
        <w:rPr>
          <w:szCs w:val="22"/>
        </w:rPr>
        <w:t xml:space="preserve"> d’anticiper les impacts et ainsi de réduire les coûts et dommages liés à leur survenue. A ce titre, il est essentiel d’intégrer les enjeux principaux d’adaptation de la Guinée dans l</w:t>
      </w:r>
      <w:r w:rsidR="0084110E" w:rsidRPr="0053181C">
        <w:rPr>
          <w:szCs w:val="22"/>
        </w:rPr>
        <w:t>a CPDN</w:t>
      </w:r>
      <w:r w:rsidRPr="0053181C">
        <w:rPr>
          <w:szCs w:val="22"/>
        </w:rPr>
        <w:t xml:space="preserve">, afin de souligner, auprès de la Communauté internationale, les efforts massifs qui devront être consentis par la Guinée pour faire face aux impacts </w:t>
      </w:r>
      <w:r w:rsidR="00734A1F" w:rsidRPr="0053181C">
        <w:rPr>
          <w:szCs w:val="22"/>
        </w:rPr>
        <w:t xml:space="preserve">négatifs </w:t>
      </w:r>
      <w:r w:rsidRPr="0053181C">
        <w:rPr>
          <w:szCs w:val="22"/>
        </w:rPr>
        <w:t xml:space="preserve">du changement climatique, ainsi que pour prendre ses responsabilités par rapport à la vulnérabilité de la sous-région ouest-africaine. </w:t>
      </w:r>
    </w:p>
    <w:p w:rsidR="0035732C" w:rsidRPr="0053181C" w:rsidRDefault="0035732C" w:rsidP="000B6618">
      <w:pPr>
        <w:spacing w:line="276" w:lineRule="auto"/>
      </w:pPr>
    </w:p>
    <w:p w:rsidR="00DD3AFC" w:rsidRPr="0053181C" w:rsidRDefault="00DD3AFC" w:rsidP="000B6618">
      <w:pPr>
        <w:spacing w:line="276" w:lineRule="auto"/>
        <w:rPr>
          <w:szCs w:val="22"/>
        </w:rPr>
      </w:pPr>
      <w:r w:rsidRPr="0053181C">
        <w:rPr>
          <w:szCs w:val="22"/>
        </w:rPr>
        <w:t>La Guinée a finalisé son Programme d’Action National d’Adaptation (PANA) en 2007</w:t>
      </w:r>
      <w:r w:rsidR="008874BE" w:rsidRPr="0053181C">
        <w:rPr>
          <w:szCs w:val="22"/>
        </w:rPr>
        <w:t>.</w:t>
      </w:r>
      <w:r w:rsidR="006F78A0" w:rsidRPr="0053181C">
        <w:rPr>
          <w:szCs w:val="22"/>
        </w:rPr>
        <w:t> </w:t>
      </w:r>
      <w:r w:rsidR="008874BE" w:rsidRPr="0053181C">
        <w:rPr>
          <w:szCs w:val="22"/>
        </w:rPr>
        <w:t>I</w:t>
      </w:r>
      <w:r w:rsidR="006F78A0" w:rsidRPr="0053181C">
        <w:rPr>
          <w:szCs w:val="22"/>
        </w:rPr>
        <w:t>l</w:t>
      </w:r>
      <w:r w:rsidRPr="0053181C">
        <w:rPr>
          <w:szCs w:val="22"/>
        </w:rPr>
        <w:t xml:space="preserve"> a permis d’identifier les secteurs vulnérables suivants : agriculture-élevage, eau, zone côtière et foresterie. Le PANA a également permis d’identifier les groupes les plus vulnérables au changement climatique pour différentes régions du pays, à savoir notamment les populations pauvres dans les zones rurales, telles que les agriculteurs</w:t>
      </w:r>
      <w:r w:rsidR="0084110E" w:rsidRPr="0053181C">
        <w:rPr>
          <w:szCs w:val="22"/>
        </w:rPr>
        <w:t xml:space="preserve"> et agricultrices</w:t>
      </w:r>
      <w:r w:rsidRPr="0053181C">
        <w:rPr>
          <w:szCs w:val="22"/>
        </w:rPr>
        <w:t>, les petits producteurs</w:t>
      </w:r>
      <w:r w:rsidR="0084110E" w:rsidRPr="0053181C">
        <w:rPr>
          <w:szCs w:val="22"/>
        </w:rPr>
        <w:t xml:space="preserve"> et petites productrices</w:t>
      </w:r>
      <w:r w:rsidRPr="0053181C">
        <w:rPr>
          <w:szCs w:val="22"/>
        </w:rPr>
        <w:t xml:space="preserve"> ou encore ceux</w:t>
      </w:r>
      <w:r w:rsidR="0084110E" w:rsidRPr="0053181C">
        <w:rPr>
          <w:szCs w:val="22"/>
        </w:rPr>
        <w:t xml:space="preserve"> et celles</w:t>
      </w:r>
      <w:r w:rsidRPr="0053181C">
        <w:rPr>
          <w:szCs w:val="22"/>
        </w:rPr>
        <w:t xml:space="preserve"> dont l’activité dépend principalement de</w:t>
      </w:r>
      <w:r w:rsidR="0084110E" w:rsidRPr="0053181C">
        <w:rPr>
          <w:szCs w:val="22"/>
        </w:rPr>
        <w:t xml:space="preserve"> l’exploitation de</w:t>
      </w:r>
      <w:r w:rsidRPr="0053181C">
        <w:rPr>
          <w:szCs w:val="22"/>
        </w:rPr>
        <w:t>s ressources naturelles (chasseurs, pêcheurs, saliculteurs, etc.).</w:t>
      </w:r>
    </w:p>
    <w:p w:rsidR="00EF229E" w:rsidRPr="0053181C" w:rsidRDefault="00EF229E" w:rsidP="00EF229E">
      <w:pPr>
        <w:spacing w:line="276" w:lineRule="auto"/>
        <w:rPr>
          <w:szCs w:val="22"/>
        </w:rPr>
      </w:pPr>
      <w:r w:rsidRPr="0053181C">
        <w:rPr>
          <w:szCs w:val="22"/>
        </w:rPr>
        <w:t xml:space="preserve">La Guinée a ratifié les </w:t>
      </w:r>
      <w:r w:rsidR="002F4C15" w:rsidRPr="0053181C">
        <w:rPr>
          <w:szCs w:val="22"/>
        </w:rPr>
        <w:t>deux</w:t>
      </w:r>
      <w:r w:rsidRPr="0053181C">
        <w:rPr>
          <w:szCs w:val="22"/>
        </w:rPr>
        <w:t xml:space="preserve"> autres conventions de Rio et élaboré des stratégies nationales de lutte contre la désertification et la dégradation des terres, ainsi que sur la biodiversité. La mise en œuvre de ces 2 stratégies participera également de l’adaptati</w:t>
      </w:r>
      <w:r w:rsidR="002F4C15" w:rsidRPr="0053181C">
        <w:rPr>
          <w:szCs w:val="22"/>
        </w:rPr>
        <w:t>on aux changements climatiques.</w:t>
      </w:r>
    </w:p>
    <w:p w:rsidR="00A459FB" w:rsidRPr="0053181C" w:rsidRDefault="00A459FB" w:rsidP="000B6618">
      <w:pPr>
        <w:pStyle w:val="Titre3"/>
        <w:spacing w:line="276" w:lineRule="auto"/>
      </w:pPr>
      <w:bookmarkStart w:id="9" w:name="_Toc431272528"/>
      <w:r w:rsidRPr="0053181C">
        <w:lastRenderedPageBreak/>
        <w:t>Impacts du changement climatique</w:t>
      </w:r>
      <w:bookmarkEnd w:id="9"/>
    </w:p>
    <w:p w:rsidR="00793665" w:rsidRPr="0053181C" w:rsidRDefault="000B6618" w:rsidP="000B6618">
      <w:pPr>
        <w:spacing w:line="276" w:lineRule="auto"/>
        <w:rPr>
          <w:szCs w:val="22"/>
        </w:rPr>
      </w:pPr>
      <w:r w:rsidRPr="0053181C">
        <w:rPr>
          <w:szCs w:val="22"/>
        </w:rPr>
        <w:t>Jouissant actuellement d’un climat propice pour l’agriculture (pluviométrie moyenne de 1200 mm / an au Nord et Nord-Est ; 4000 mm à Conakry et jusqu’à 1800 mm dans les hauteurs du Fouta-Djalon), la Guinée est à la fois exposée et sensible au changement climatique, et ne dispose que de peu de capacité d’adaptation. Parmi les principaux impacts des changements climatiques affectant la Guinée, on peut en effet citer : i) une augmentation générale des températures moyennes</w:t>
      </w:r>
      <w:r w:rsidR="00EF229E" w:rsidRPr="0053181C">
        <w:rPr>
          <w:szCs w:val="22"/>
        </w:rPr>
        <w:t xml:space="preserve">, </w:t>
      </w:r>
      <w:r w:rsidRPr="0053181C">
        <w:rPr>
          <w:szCs w:val="22"/>
        </w:rPr>
        <w:t>ii) une baisse des p</w:t>
      </w:r>
      <w:bookmarkStart w:id="10" w:name="_GoBack"/>
      <w:bookmarkEnd w:id="10"/>
      <w:r w:rsidRPr="0053181C">
        <w:rPr>
          <w:szCs w:val="22"/>
        </w:rPr>
        <w:t>récipitations moyennes annuelles en particulier dans le Nord-Ouest et le Nord-Est du pays et une modification de la fréquence et de la répartition intra-annuelle des précipitations, et iii) l'élévation du niveau de la mer (de l’ordre de 80 cm d’ici à 2100).</w:t>
      </w:r>
      <w:r w:rsidR="002F4C15" w:rsidRPr="0053181C">
        <w:rPr>
          <w:szCs w:val="22"/>
        </w:rPr>
        <w:t xml:space="preserve"> Ces nouvelles conditions climatiques pourraient ainsi générer des conséquences négatives sur de nombreux secteurs.</w:t>
      </w:r>
    </w:p>
    <w:p w:rsidR="0035732C" w:rsidRPr="0053181C" w:rsidRDefault="0035732C" w:rsidP="000B6618">
      <w:pPr>
        <w:spacing w:line="276" w:lineRule="auto"/>
        <w:rPr>
          <w:szCs w:val="22"/>
        </w:rPr>
      </w:pPr>
      <w:r w:rsidRPr="0053181C">
        <w:rPr>
          <w:szCs w:val="22"/>
        </w:rPr>
        <w:t xml:space="preserve">Néanmoins, même en voyant son régime pluviométrique modifié, la Guinée devrait continuer </w:t>
      </w:r>
      <w:r w:rsidR="00734A1F" w:rsidRPr="0053181C">
        <w:rPr>
          <w:szCs w:val="22"/>
        </w:rPr>
        <w:t>à</w:t>
      </w:r>
      <w:r w:rsidRPr="0053181C">
        <w:rPr>
          <w:szCs w:val="22"/>
        </w:rPr>
        <w:t xml:space="preserve"> bénéficier de conditions climatiques plus favorables que ses voisins du Nord et pourrait devenir un lieu de transhumance des troupeaux sahéliens plus important qu’à l’heure actuelle, générant d’importants conflits d’usage des terres. </w:t>
      </w:r>
    </w:p>
    <w:p w:rsidR="0035732C" w:rsidRPr="0053181C" w:rsidRDefault="0035732C" w:rsidP="000B6618">
      <w:pPr>
        <w:spacing w:line="276" w:lineRule="auto"/>
      </w:pPr>
    </w:p>
    <w:p w:rsidR="00A459FB" w:rsidRPr="0053181C" w:rsidRDefault="00A459FB" w:rsidP="000B6618">
      <w:pPr>
        <w:pStyle w:val="Titre3"/>
        <w:spacing w:line="276" w:lineRule="auto"/>
      </w:pPr>
      <w:bookmarkStart w:id="11" w:name="_Toc431272529"/>
      <w:r w:rsidRPr="0053181C">
        <w:t>Engagements actuels et planifiés</w:t>
      </w:r>
      <w:bookmarkEnd w:id="11"/>
    </w:p>
    <w:p w:rsidR="0035732C" w:rsidRPr="0053181C" w:rsidRDefault="0035732C" w:rsidP="000B6618">
      <w:pPr>
        <w:spacing w:line="276" w:lineRule="auto"/>
      </w:pPr>
      <w:r w:rsidRPr="0053181C">
        <w:t>La Guinée est à la fois sensible et exposée au changement climatiqu</w:t>
      </w:r>
      <w:r w:rsidR="000B6618" w:rsidRPr="0053181C">
        <w:t>e. Située aux portes du Sahel,</w:t>
      </w:r>
      <w:r w:rsidRPr="0053181C">
        <w:t xml:space="preserve"> une des régions du monde les plus affectée</w:t>
      </w:r>
      <w:r w:rsidR="000B6618" w:rsidRPr="0053181C">
        <w:t>s</w:t>
      </w:r>
      <w:r w:rsidRPr="0053181C">
        <w:t xml:space="preserve"> par le changement climatique, la Guinée doit diminuer rapidement sa vulnérabilité au changement climatique : c’est un besoin pour sa population, mais aussi pour ses voisins. </w:t>
      </w:r>
    </w:p>
    <w:p w:rsidR="0035732C" w:rsidRPr="0053181C" w:rsidRDefault="0035732C" w:rsidP="000B6618">
      <w:pPr>
        <w:spacing w:line="276" w:lineRule="auto"/>
      </w:pPr>
    </w:p>
    <w:p w:rsidR="000327C0" w:rsidRPr="0053181C" w:rsidRDefault="000327C0">
      <w:pPr>
        <w:spacing w:after="0"/>
        <w:jc w:val="left"/>
        <w:rPr>
          <w:b/>
        </w:rPr>
      </w:pPr>
      <w:r w:rsidRPr="0053181C">
        <w:rPr>
          <w:b/>
        </w:rPr>
        <w:br w:type="page"/>
      </w:r>
    </w:p>
    <w:p w:rsidR="0035732C" w:rsidRPr="0053181C" w:rsidRDefault="0035732C" w:rsidP="000B6618">
      <w:pPr>
        <w:spacing w:line="276" w:lineRule="auto"/>
        <w:rPr>
          <w:b/>
        </w:rPr>
      </w:pPr>
      <w:r w:rsidRPr="0053181C">
        <w:rPr>
          <w:b/>
        </w:rPr>
        <w:lastRenderedPageBreak/>
        <w:t>Par le présent document, et pour faire face aux conséquences locales d</w:t>
      </w:r>
      <w:r w:rsidR="00AC5AF6" w:rsidRPr="0053181C">
        <w:rPr>
          <w:b/>
        </w:rPr>
        <w:t>es</w:t>
      </w:r>
      <w:r w:rsidRPr="0053181C">
        <w:rPr>
          <w:b/>
        </w:rPr>
        <w:t xml:space="preserve"> changement</w:t>
      </w:r>
      <w:r w:rsidR="00AC5AF6" w:rsidRPr="0053181C">
        <w:rPr>
          <w:b/>
        </w:rPr>
        <w:t xml:space="preserve">s </w:t>
      </w:r>
      <w:r w:rsidRPr="0053181C">
        <w:rPr>
          <w:b/>
        </w:rPr>
        <w:t>climatique</w:t>
      </w:r>
      <w:r w:rsidR="00AC5AF6" w:rsidRPr="0053181C">
        <w:rPr>
          <w:b/>
        </w:rPr>
        <w:t>s</w:t>
      </w:r>
      <w:r w:rsidRPr="0053181C">
        <w:rPr>
          <w:b/>
        </w:rPr>
        <w:t xml:space="preserve"> dont elle n’a </w:t>
      </w:r>
      <w:r w:rsidR="007D2A50" w:rsidRPr="0053181C">
        <w:rPr>
          <w:b/>
        </w:rPr>
        <w:t xml:space="preserve">pourtant </w:t>
      </w:r>
      <w:r w:rsidRPr="0053181C">
        <w:rPr>
          <w:b/>
        </w:rPr>
        <w:t>pas la responsabilité</w:t>
      </w:r>
      <w:r w:rsidR="0053181C" w:rsidRPr="0053181C">
        <w:rPr>
          <w:b/>
        </w:rPr>
        <w:t xml:space="preserve"> historique</w:t>
      </w:r>
      <w:r w:rsidRPr="0053181C">
        <w:rPr>
          <w:b/>
        </w:rPr>
        <w:t xml:space="preserve">, la République de Guinée s’engage à : </w:t>
      </w:r>
    </w:p>
    <w:p w:rsidR="009A39F5" w:rsidRPr="0053181C" w:rsidRDefault="009A39F5" w:rsidP="000B6618">
      <w:pPr>
        <w:spacing w:line="276" w:lineRule="auto"/>
        <w:rPr>
          <w:b/>
        </w:rPr>
      </w:pPr>
    </w:p>
    <w:tbl>
      <w:tblPr>
        <w:tblStyle w:val="Grilledutableau"/>
        <w:tblW w:w="10314" w:type="dxa"/>
        <w:tblLook w:val="04A0" w:firstRow="1" w:lastRow="0" w:firstColumn="1" w:lastColumn="0" w:noHBand="0" w:noVBand="1"/>
      </w:tblPr>
      <w:tblGrid>
        <w:gridCol w:w="1951"/>
        <w:gridCol w:w="4536"/>
        <w:gridCol w:w="3827"/>
      </w:tblGrid>
      <w:tr w:rsidR="0040470D" w:rsidRPr="0053181C" w:rsidTr="0040470D">
        <w:tc>
          <w:tcPr>
            <w:tcW w:w="1951" w:type="dxa"/>
            <w:shd w:val="clear" w:color="auto" w:fill="EEECE1" w:themeFill="background2"/>
          </w:tcPr>
          <w:p w:rsidR="0040470D" w:rsidRPr="0053181C" w:rsidRDefault="0040470D" w:rsidP="000B6618">
            <w:pPr>
              <w:spacing w:line="276" w:lineRule="auto"/>
              <w:rPr>
                <w:b/>
                <w:sz w:val="16"/>
              </w:rPr>
            </w:pPr>
            <w:r w:rsidRPr="0053181C">
              <w:rPr>
                <w:b/>
                <w:sz w:val="16"/>
              </w:rPr>
              <w:t>Engagement</w:t>
            </w:r>
          </w:p>
        </w:tc>
        <w:tc>
          <w:tcPr>
            <w:tcW w:w="4536" w:type="dxa"/>
            <w:shd w:val="clear" w:color="auto" w:fill="EEECE1" w:themeFill="background2"/>
          </w:tcPr>
          <w:p w:rsidR="0040470D" w:rsidRPr="0053181C" w:rsidRDefault="008874BE" w:rsidP="008874BE">
            <w:pPr>
              <w:spacing w:line="276" w:lineRule="auto"/>
              <w:rPr>
                <w:b/>
                <w:sz w:val="16"/>
              </w:rPr>
            </w:pPr>
            <w:r w:rsidRPr="0053181C">
              <w:rPr>
                <w:b/>
                <w:sz w:val="16"/>
              </w:rPr>
              <w:t>Con</w:t>
            </w:r>
            <w:r w:rsidR="00CA36A4" w:rsidRPr="0053181C">
              <w:rPr>
                <w:b/>
                <w:sz w:val="16"/>
              </w:rPr>
              <w:t>t</w:t>
            </w:r>
            <w:r w:rsidRPr="0053181C">
              <w:rPr>
                <w:b/>
                <w:sz w:val="16"/>
              </w:rPr>
              <w:t>exte et d</w:t>
            </w:r>
            <w:r w:rsidR="0040470D" w:rsidRPr="0053181C">
              <w:rPr>
                <w:b/>
                <w:sz w:val="16"/>
              </w:rPr>
              <w:t>escription de l’engagement</w:t>
            </w:r>
          </w:p>
        </w:tc>
        <w:tc>
          <w:tcPr>
            <w:tcW w:w="3827" w:type="dxa"/>
            <w:shd w:val="clear" w:color="auto" w:fill="EEECE1" w:themeFill="background2"/>
          </w:tcPr>
          <w:p w:rsidR="0040470D" w:rsidRPr="0053181C" w:rsidRDefault="0040470D" w:rsidP="000B6618">
            <w:pPr>
              <w:spacing w:line="276" w:lineRule="auto"/>
              <w:rPr>
                <w:b/>
                <w:sz w:val="16"/>
              </w:rPr>
            </w:pPr>
            <w:r w:rsidRPr="0053181C">
              <w:rPr>
                <w:b/>
                <w:sz w:val="16"/>
              </w:rPr>
              <w:t>Actions</w:t>
            </w:r>
          </w:p>
        </w:tc>
      </w:tr>
      <w:tr w:rsidR="0040470D" w:rsidRPr="0053181C" w:rsidTr="0040470D">
        <w:tc>
          <w:tcPr>
            <w:tcW w:w="1951" w:type="dxa"/>
          </w:tcPr>
          <w:p w:rsidR="0040470D" w:rsidRPr="0053181C" w:rsidRDefault="0040470D" w:rsidP="000B6618">
            <w:pPr>
              <w:spacing w:line="276" w:lineRule="auto"/>
              <w:rPr>
                <w:b/>
                <w:sz w:val="16"/>
                <w:szCs w:val="16"/>
              </w:rPr>
            </w:pPr>
            <w:r w:rsidRPr="0053181C">
              <w:rPr>
                <w:b/>
                <w:sz w:val="16"/>
                <w:szCs w:val="16"/>
              </w:rPr>
              <w:t>Préserver, pour le bénéfice des populations guinéennes et de la région ouest-africaine, la qualité et la quantité des ressources en eau</w:t>
            </w:r>
          </w:p>
          <w:p w:rsidR="0040470D" w:rsidRPr="0053181C" w:rsidRDefault="0040470D" w:rsidP="000B6618">
            <w:pPr>
              <w:spacing w:line="276" w:lineRule="auto"/>
              <w:rPr>
                <w:b/>
                <w:sz w:val="16"/>
                <w:szCs w:val="16"/>
              </w:rPr>
            </w:pPr>
          </w:p>
        </w:tc>
        <w:tc>
          <w:tcPr>
            <w:tcW w:w="4536" w:type="dxa"/>
          </w:tcPr>
          <w:p w:rsidR="0040470D" w:rsidRPr="0053181C" w:rsidRDefault="0040470D" w:rsidP="000B6618">
            <w:pPr>
              <w:spacing w:line="276" w:lineRule="auto"/>
              <w:rPr>
                <w:sz w:val="16"/>
                <w:szCs w:val="16"/>
              </w:rPr>
            </w:pPr>
            <w:r w:rsidRPr="0053181C">
              <w:rPr>
                <w:sz w:val="16"/>
                <w:szCs w:val="16"/>
              </w:rPr>
              <w:t>La Guinée est considérée comme le «château d’eau de l’Afrique occidentale». Quatre bassins d’une importance capitale pour la</w:t>
            </w:r>
            <w:r w:rsidR="000327C0" w:rsidRPr="0053181C">
              <w:rPr>
                <w:sz w:val="16"/>
                <w:szCs w:val="16"/>
              </w:rPr>
              <w:t xml:space="preserve"> sous-région, du fait notamment des </w:t>
            </w:r>
            <w:r w:rsidRPr="0053181C">
              <w:rPr>
                <w:sz w:val="16"/>
                <w:szCs w:val="16"/>
              </w:rPr>
              <w:t>potentialités qu’ils recèlent en termes de développement économique et de maintien de la biodiversité, prennent leur source en Guinée. Sous l’effet des changements climatiques, le débit des cours d'eau connaîtra des réductions qui pourraient atteindre plus de 50% de la moyenne quotidienne actuelle à l’horizon 2100. Le débit du fleuve Niger devrait ainsi être réduit partout de 16% à 28% (sensibilité 2,50°C) et jusqu'à 23% à 54% (sensibilité 4,5°C). Etant donnée la place stratégique de la Guinée, en amont des principaux bassins ouest-africains, les choix de gestion des ressources en eau auront immanquablement des impacts en aval, au-delà des frontières guinéennes. Ces implications internationales rendent d’autant plus grande la responsabilité de la Guinée quant à une gestion saine de ses ressources dans le contexte actuel de changement climatique.</w:t>
            </w:r>
          </w:p>
          <w:p w:rsidR="0040470D" w:rsidRPr="0053181C" w:rsidRDefault="0040470D" w:rsidP="000B6618">
            <w:pPr>
              <w:spacing w:line="276" w:lineRule="auto"/>
              <w:rPr>
                <w:b/>
                <w:sz w:val="16"/>
                <w:szCs w:val="16"/>
              </w:rPr>
            </w:pPr>
          </w:p>
        </w:tc>
        <w:tc>
          <w:tcPr>
            <w:tcW w:w="3827" w:type="dxa"/>
          </w:tcPr>
          <w:p w:rsidR="0040470D" w:rsidRPr="0053181C" w:rsidRDefault="0040470D" w:rsidP="000B6618">
            <w:pPr>
              <w:pStyle w:val="Commentaire"/>
              <w:spacing w:line="276" w:lineRule="auto"/>
              <w:rPr>
                <w:rFonts w:ascii="Verdana" w:hAnsi="Verdana"/>
                <w:sz w:val="16"/>
                <w:szCs w:val="16"/>
              </w:rPr>
            </w:pPr>
            <w:r w:rsidRPr="0053181C">
              <w:rPr>
                <w:rFonts w:ascii="Verdana" w:hAnsi="Verdana"/>
                <w:sz w:val="16"/>
                <w:szCs w:val="16"/>
              </w:rPr>
              <w:t>Actions prioritaires :</w:t>
            </w:r>
          </w:p>
          <w:p w:rsidR="0040470D" w:rsidRPr="0053181C" w:rsidRDefault="00504337" w:rsidP="00E8127D">
            <w:pPr>
              <w:pStyle w:val="Commentaire"/>
              <w:numPr>
                <w:ilvl w:val="0"/>
                <w:numId w:val="13"/>
              </w:numPr>
              <w:spacing w:line="276" w:lineRule="auto"/>
              <w:ind w:left="34" w:firstLine="0"/>
              <w:jc w:val="both"/>
              <w:rPr>
                <w:rFonts w:ascii="Verdana" w:hAnsi="Verdana"/>
                <w:sz w:val="16"/>
                <w:szCs w:val="16"/>
              </w:rPr>
            </w:pPr>
            <w:r w:rsidRPr="0053181C">
              <w:rPr>
                <w:rFonts w:ascii="Verdana" w:hAnsi="Verdana"/>
                <w:sz w:val="16"/>
                <w:szCs w:val="16"/>
              </w:rPr>
              <w:t>Préservation et r</w:t>
            </w:r>
            <w:r w:rsidR="0040470D" w:rsidRPr="0053181C">
              <w:rPr>
                <w:rFonts w:ascii="Verdana" w:hAnsi="Verdana"/>
                <w:sz w:val="16"/>
                <w:szCs w:val="16"/>
              </w:rPr>
              <w:t>estauration des ripisylves des têtes de sources et des berges, en particulier sur les cours d’eau transfrontaliers</w:t>
            </w:r>
            <w:r w:rsidR="008874BE" w:rsidRPr="0053181C">
              <w:rPr>
                <w:rFonts w:ascii="Verdana" w:hAnsi="Verdana"/>
                <w:sz w:val="16"/>
                <w:szCs w:val="16"/>
              </w:rPr>
              <w:t> ;</w:t>
            </w:r>
          </w:p>
          <w:p w:rsidR="00504337" w:rsidRPr="0053181C" w:rsidRDefault="00504337" w:rsidP="00504337">
            <w:pPr>
              <w:pStyle w:val="Paragraphedeliste"/>
              <w:numPr>
                <w:ilvl w:val="0"/>
                <w:numId w:val="13"/>
              </w:numPr>
              <w:spacing w:line="276" w:lineRule="auto"/>
              <w:ind w:left="34" w:firstLine="0"/>
              <w:rPr>
                <w:sz w:val="16"/>
                <w:szCs w:val="16"/>
              </w:rPr>
            </w:pPr>
            <w:r w:rsidRPr="0053181C">
              <w:rPr>
                <w:sz w:val="16"/>
                <w:szCs w:val="16"/>
              </w:rPr>
              <w:t>Assurer la préservation des berges et du lit des cours d’eau nationaux et transnationaux.</w:t>
            </w:r>
          </w:p>
          <w:p w:rsidR="0040470D" w:rsidRPr="0053181C" w:rsidRDefault="00793665" w:rsidP="00E8127D">
            <w:pPr>
              <w:pStyle w:val="Commentaire"/>
              <w:numPr>
                <w:ilvl w:val="0"/>
                <w:numId w:val="13"/>
              </w:numPr>
              <w:spacing w:line="276" w:lineRule="auto"/>
              <w:ind w:left="34" w:firstLine="0"/>
              <w:jc w:val="both"/>
              <w:rPr>
                <w:rFonts w:ascii="Verdana" w:hAnsi="Verdana"/>
                <w:sz w:val="16"/>
                <w:szCs w:val="16"/>
              </w:rPr>
            </w:pPr>
            <w:r w:rsidRPr="0053181C">
              <w:rPr>
                <w:rFonts w:ascii="Verdana" w:hAnsi="Verdana"/>
                <w:sz w:val="16"/>
                <w:szCs w:val="16"/>
              </w:rPr>
              <w:t xml:space="preserve">Recherche d’alternatives aux </w:t>
            </w:r>
            <w:r w:rsidR="0040470D" w:rsidRPr="0053181C">
              <w:rPr>
                <w:rFonts w:ascii="Verdana" w:hAnsi="Verdana"/>
                <w:sz w:val="16"/>
                <w:szCs w:val="16"/>
              </w:rPr>
              <w:t>activités d’usage et de prélèvement, dégradant la qualité des eaux (fabriques de briques, dragage des lits pour la recherche de minerais)</w:t>
            </w:r>
            <w:r w:rsidR="008874BE" w:rsidRPr="0053181C">
              <w:rPr>
                <w:rFonts w:ascii="Verdana" w:hAnsi="Verdana"/>
                <w:sz w:val="16"/>
                <w:szCs w:val="16"/>
              </w:rPr>
              <w:t> ;</w:t>
            </w:r>
          </w:p>
          <w:p w:rsidR="0040470D" w:rsidRPr="0053181C" w:rsidRDefault="000327C0" w:rsidP="00E8127D">
            <w:pPr>
              <w:pStyle w:val="Commentaire"/>
              <w:numPr>
                <w:ilvl w:val="0"/>
                <w:numId w:val="13"/>
              </w:numPr>
              <w:spacing w:line="276" w:lineRule="auto"/>
              <w:ind w:left="34" w:firstLine="0"/>
              <w:jc w:val="both"/>
              <w:rPr>
                <w:rFonts w:ascii="Verdana" w:hAnsi="Verdana"/>
                <w:sz w:val="16"/>
                <w:szCs w:val="16"/>
              </w:rPr>
            </w:pPr>
            <w:r w:rsidRPr="0053181C">
              <w:rPr>
                <w:rFonts w:ascii="Verdana" w:hAnsi="Verdana"/>
                <w:sz w:val="16"/>
                <w:szCs w:val="16"/>
              </w:rPr>
              <w:t>I</w:t>
            </w:r>
            <w:r w:rsidR="0040470D" w:rsidRPr="0053181C">
              <w:rPr>
                <w:rFonts w:ascii="Verdana" w:hAnsi="Verdana"/>
                <w:sz w:val="16"/>
                <w:szCs w:val="16"/>
              </w:rPr>
              <w:t xml:space="preserve">ntégration de la dimension changement climatique dans les cadres institutionnels et juridiques et organismes de bassins chargés d’assurer la gestion </w:t>
            </w:r>
            <w:r w:rsidR="00504337" w:rsidRPr="0053181C">
              <w:rPr>
                <w:rFonts w:ascii="Verdana" w:hAnsi="Verdana"/>
                <w:sz w:val="16"/>
                <w:szCs w:val="16"/>
              </w:rPr>
              <w:t xml:space="preserve">et l’aménagement </w:t>
            </w:r>
            <w:r w:rsidR="0040470D" w:rsidRPr="0053181C">
              <w:rPr>
                <w:rFonts w:ascii="Verdana" w:hAnsi="Verdana"/>
                <w:sz w:val="16"/>
                <w:szCs w:val="16"/>
              </w:rPr>
              <w:t>des bassins versants transfrontaliers</w:t>
            </w:r>
            <w:r w:rsidR="008874BE" w:rsidRPr="0053181C">
              <w:rPr>
                <w:rFonts w:ascii="Verdana" w:hAnsi="Verdana"/>
                <w:sz w:val="16"/>
                <w:szCs w:val="16"/>
              </w:rPr>
              <w:t> ;</w:t>
            </w:r>
          </w:p>
          <w:p w:rsidR="007D2A50" w:rsidRPr="0053181C" w:rsidRDefault="007D2A50" w:rsidP="00E8127D">
            <w:pPr>
              <w:pStyle w:val="Commentaire"/>
              <w:numPr>
                <w:ilvl w:val="0"/>
                <w:numId w:val="13"/>
              </w:numPr>
              <w:spacing w:line="276" w:lineRule="auto"/>
              <w:ind w:left="34" w:firstLine="0"/>
              <w:jc w:val="both"/>
              <w:rPr>
                <w:rFonts w:ascii="Verdana" w:hAnsi="Verdana"/>
                <w:sz w:val="16"/>
                <w:szCs w:val="16"/>
              </w:rPr>
            </w:pPr>
            <w:r w:rsidRPr="0053181C">
              <w:rPr>
                <w:rFonts w:ascii="Verdana" w:hAnsi="Verdana"/>
                <w:sz w:val="16"/>
                <w:szCs w:val="16"/>
              </w:rPr>
              <w:t xml:space="preserve">Mise en place d’un système de suivi hydro-écologique des </w:t>
            </w:r>
            <w:r w:rsidR="00504337" w:rsidRPr="0053181C">
              <w:rPr>
                <w:rFonts w:ascii="Verdana" w:hAnsi="Verdana"/>
                <w:sz w:val="16"/>
                <w:szCs w:val="16"/>
              </w:rPr>
              <w:t>fleuves internationaux.</w:t>
            </w:r>
          </w:p>
          <w:p w:rsidR="0040470D" w:rsidRPr="0053181C" w:rsidRDefault="0040470D" w:rsidP="00504337">
            <w:pPr>
              <w:pStyle w:val="Paragraphedeliste"/>
              <w:spacing w:line="276" w:lineRule="auto"/>
              <w:ind w:left="34"/>
              <w:rPr>
                <w:b/>
                <w:sz w:val="16"/>
                <w:szCs w:val="16"/>
              </w:rPr>
            </w:pPr>
          </w:p>
        </w:tc>
      </w:tr>
      <w:tr w:rsidR="0040470D" w:rsidRPr="0053181C" w:rsidTr="0040470D">
        <w:tc>
          <w:tcPr>
            <w:tcW w:w="1951" w:type="dxa"/>
          </w:tcPr>
          <w:p w:rsidR="0040470D" w:rsidRPr="0053181C" w:rsidRDefault="00734A1F" w:rsidP="000B6618">
            <w:pPr>
              <w:spacing w:line="276" w:lineRule="auto"/>
              <w:rPr>
                <w:b/>
                <w:sz w:val="16"/>
              </w:rPr>
            </w:pPr>
            <w:r w:rsidRPr="0053181C">
              <w:rPr>
                <w:b/>
                <w:sz w:val="16"/>
              </w:rPr>
              <w:t>Mettre en place les mesures nécessaires à la protection, la conservation et la gestion  des écosystèmes, la redynamisation des activités économiques et le renforcement de la résilience des populations de sa zone côtière</w:t>
            </w:r>
          </w:p>
        </w:tc>
        <w:tc>
          <w:tcPr>
            <w:tcW w:w="4536" w:type="dxa"/>
          </w:tcPr>
          <w:p w:rsidR="0040470D" w:rsidRPr="0053181C" w:rsidRDefault="0040470D" w:rsidP="000B6618">
            <w:pPr>
              <w:spacing w:before="120" w:after="160" w:line="276" w:lineRule="auto"/>
              <w:rPr>
                <w:sz w:val="16"/>
              </w:rPr>
            </w:pPr>
            <w:r w:rsidRPr="0053181C">
              <w:rPr>
                <w:sz w:val="16"/>
              </w:rPr>
              <w:t xml:space="preserve">La zone côtière est une zone stratégique en Guinée. En effet, elle est la première zone économique de la Guinée et abrite environ 38% de la population. Elle joue également un rôle fondamental pour les secteurs agricole et énergétique. Elle contribue pour 24 % de la production nationale en riz. Le potentiel en terres agricoles du littoral est de 1,3 million d’hectares dont 380°000 ha sont cultivés chaque année. Diverses cultures céréalières, fruitières, maraîchères et tubercules sont pratiquées en arrière mangrove. Sur les 385 000 ha de mangrove initialement existants, plus de 140 000 ha ont été convertis en rizière. En ce qui concerne l’énergie, elle fournit par l’intermédiaire de la mangrove 60 % de l’énergie domestique de la capitale et des principales villes du littoral. </w:t>
            </w:r>
          </w:p>
          <w:p w:rsidR="0040470D" w:rsidRPr="0053181C" w:rsidRDefault="0040470D" w:rsidP="000B6618">
            <w:pPr>
              <w:spacing w:before="120" w:after="160" w:line="276" w:lineRule="auto"/>
              <w:rPr>
                <w:sz w:val="16"/>
              </w:rPr>
            </w:pPr>
            <w:r w:rsidRPr="0053181C">
              <w:rPr>
                <w:sz w:val="16"/>
              </w:rPr>
              <w:t>La zone côtière est particulièrement vulnérable aux changements climatiques, du fait de l’élévation du niveau de la mer et de l’intensification de l’érosion sur les côtes, avec des impacts sur les ressources halieutiques, la destruction d’infrastructures dans les villes et villages côtiers et la</w:t>
            </w:r>
            <w:r w:rsidR="00CC13A2">
              <w:rPr>
                <w:sz w:val="16"/>
              </w:rPr>
              <w:t xml:space="preserve"> </w:t>
            </w:r>
            <w:r w:rsidRPr="0053181C">
              <w:rPr>
                <w:sz w:val="16"/>
              </w:rPr>
              <w:t xml:space="preserve">disparition ou la salinisation des plaines rizicoles. </w:t>
            </w:r>
          </w:p>
          <w:p w:rsidR="0040470D" w:rsidRPr="0053181C" w:rsidRDefault="0040470D" w:rsidP="0040470D">
            <w:pPr>
              <w:spacing w:before="120" w:after="160" w:line="276" w:lineRule="auto"/>
              <w:rPr>
                <w:sz w:val="16"/>
              </w:rPr>
            </w:pPr>
            <w:r w:rsidRPr="0053181C">
              <w:rPr>
                <w:sz w:val="16"/>
              </w:rPr>
              <w:t>Tous ces éléments font de la zone côtière une zone soumise à très forte pression, en raison des activités économiques qui s’y implantent, de l’urbanisation anarchique qui s’impose, faute de code littoral et de respect du code foncier, et des impacts des changements climatiques.</w:t>
            </w:r>
          </w:p>
        </w:tc>
        <w:tc>
          <w:tcPr>
            <w:tcW w:w="3827" w:type="dxa"/>
          </w:tcPr>
          <w:p w:rsidR="0040470D" w:rsidRPr="0053181C" w:rsidRDefault="0040470D" w:rsidP="00E8127D">
            <w:pPr>
              <w:pStyle w:val="Paragraphedeliste"/>
              <w:numPr>
                <w:ilvl w:val="0"/>
                <w:numId w:val="14"/>
              </w:numPr>
              <w:spacing w:line="276" w:lineRule="auto"/>
              <w:ind w:left="175" w:firstLine="0"/>
              <w:rPr>
                <w:sz w:val="16"/>
                <w:szCs w:val="16"/>
              </w:rPr>
            </w:pPr>
            <w:r w:rsidRPr="0053181C">
              <w:rPr>
                <w:sz w:val="16"/>
                <w:szCs w:val="16"/>
              </w:rPr>
              <w:t>Actualisation du schéma directeur d’aménagement de la mangrove (SDAM)</w:t>
            </w:r>
            <w:r w:rsidR="008874BE" w:rsidRPr="0053181C">
              <w:rPr>
                <w:sz w:val="16"/>
                <w:szCs w:val="16"/>
              </w:rPr>
              <w:t> ;</w:t>
            </w:r>
          </w:p>
          <w:p w:rsidR="0040470D" w:rsidRPr="0053181C" w:rsidRDefault="0040470D" w:rsidP="00E8127D">
            <w:pPr>
              <w:pStyle w:val="Paragraphedeliste"/>
              <w:numPr>
                <w:ilvl w:val="0"/>
                <w:numId w:val="14"/>
              </w:numPr>
              <w:spacing w:line="276" w:lineRule="auto"/>
              <w:ind w:left="175" w:firstLine="0"/>
              <w:rPr>
                <w:sz w:val="16"/>
                <w:szCs w:val="16"/>
              </w:rPr>
            </w:pPr>
            <w:r w:rsidRPr="0053181C">
              <w:rPr>
                <w:sz w:val="16"/>
                <w:szCs w:val="16"/>
              </w:rPr>
              <w:t>Diminution des sources de dégradation de</w:t>
            </w:r>
            <w:r w:rsidR="006D1D03" w:rsidRPr="0053181C">
              <w:rPr>
                <w:sz w:val="16"/>
                <w:szCs w:val="16"/>
              </w:rPr>
              <w:t xml:space="preserve"> la</w:t>
            </w:r>
            <w:r w:rsidRPr="0053181C">
              <w:rPr>
                <w:sz w:val="16"/>
                <w:szCs w:val="16"/>
              </w:rPr>
              <w:t xml:space="preserve"> mangrove</w:t>
            </w:r>
            <w:r w:rsidR="008874BE" w:rsidRPr="0053181C">
              <w:rPr>
                <w:sz w:val="16"/>
                <w:szCs w:val="16"/>
              </w:rPr>
              <w:t> ;</w:t>
            </w:r>
          </w:p>
          <w:p w:rsidR="0040470D" w:rsidRPr="0053181C" w:rsidRDefault="0040470D" w:rsidP="00E8127D">
            <w:pPr>
              <w:pStyle w:val="Paragraphedeliste"/>
              <w:numPr>
                <w:ilvl w:val="0"/>
                <w:numId w:val="14"/>
              </w:numPr>
              <w:spacing w:after="160" w:line="276" w:lineRule="auto"/>
              <w:ind w:left="175" w:firstLine="0"/>
              <w:rPr>
                <w:sz w:val="16"/>
                <w:szCs w:val="16"/>
              </w:rPr>
            </w:pPr>
            <w:r w:rsidRPr="0053181C">
              <w:rPr>
                <w:sz w:val="16"/>
                <w:szCs w:val="16"/>
              </w:rPr>
              <w:t>Intégration de l’adaptation dans les plans locaux de développement et outils d’aménagement du territoire</w:t>
            </w:r>
            <w:r w:rsidR="008874BE" w:rsidRPr="0053181C">
              <w:rPr>
                <w:sz w:val="16"/>
                <w:szCs w:val="16"/>
              </w:rPr>
              <w:t> ;</w:t>
            </w:r>
          </w:p>
          <w:p w:rsidR="0040470D" w:rsidRPr="0053181C" w:rsidRDefault="0040470D" w:rsidP="00E8127D">
            <w:pPr>
              <w:pStyle w:val="Paragraphedeliste"/>
              <w:numPr>
                <w:ilvl w:val="0"/>
                <w:numId w:val="14"/>
              </w:numPr>
              <w:spacing w:after="160" w:line="276" w:lineRule="auto"/>
              <w:ind w:left="175" w:firstLine="0"/>
              <w:rPr>
                <w:sz w:val="16"/>
                <w:szCs w:val="16"/>
              </w:rPr>
            </w:pPr>
            <w:r w:rsidRPr="0053181C">
              <w:rPr>
                <w:sz w:val="16"/>
                <w:szCs w:val="16"/>
              </w:rPr>
              <w:t>Renforcement de la connaissance scientifique sur l’ensemble du littoral ;</w:t>
            </w:r>
          </w:p>
          <w:p w:rsidR="0040470D" w:rsidRPr="0053181C" w:rsidRDefault="0040470D" w:rsidP="00E8127D">
            <w:pPr>
              <w:pStyle w:val="Paragraphedeliste"/>
              <w:numPr>
                <w:ilvl w:val="0"/>
                <w:numId w:val="14"/>
              </w:numPr>
              <w:spacing w:after="160" w:line="276" w:lineRule="auto"/>
              <w:ind w:left="175" w:firstLine="0"/>
              <w:rPr>
                <w:sz w:val="22"/>
                <w:szCs w:val="22"/>
              </w:rPr>
            </w:pPr>
            <w:r w:rsidRPr="0053181C">
              <w:rPr>
                <w:sz w:val="16"/>
                <w:szCs w:val="16"/>
              </w:rPr>
              <w:t>Développement de la production de riz en améliorant les rendements grâce à l’utilisation de variétés plus adaptées aux impacts des changements climatiques (notamment l’intrusion en eau salée)</w:t>
            </w:r>
            <w:r w:rsidR="008874BE" w:rsidRPr="0053181C">
              <w:rPr>
                <w:sz w:val="16"/>
                <w:szCs w:val="16"/>
              </w:rPr>
              <w:t>.</w:t>
            </w:r>
          </w:p>
          <w:p w:rsidR="0040470D" w:rsidRPr="0053181C" w:rsidRDefault="007815B5" w:rsidP="007815B5">
            <w:pPr>
              <w:pStyle w:val="Paragraphedeliste"/>
              <w:numPr>
                <w:ilvl w:val="0"/>
                <w:numId w:val="14"/>
              </w:numPr>
              <w:spacing w:line="276" w:lineRule="auto"/>
              <w:ind w:left="176" w:firstLine="0"/>
              <w:rPr>
                <w:b/>
                <w:sz w:val="16"/>
              </w:rPr>
            </w:pPr>
            <w:r w:rsidRPr="0053181C">
              <w:rPr>
                <w:sz w:val="16"/>
                <w:szCs w:val="22"/>
              </w:rPr>
              <w:t>Extension des initiatives-pilotes déjà lancées, en particulier le</w:t>
            </w:r>
            <w:r w:rsidR="0040470D" w:rsidRPr="0053181C">
              <w:rPr>
                <w:sz w:val="16"/>
                <w:szCs w:val="22"/>
              </w:rPr>
              <w:t xml:space="preserve"> projet Renforcement de la Résilience et Adaptation aux Impacts Négatifs du Changement Climatique dans les Zones Côtières Vulnérables de Guinée (RAZC) à l’ensemble des communes du littoral.</w:t>
            </w:r>
          </w:p>
        </w:tc>
      </w:tr>
      <w:tr w:rsidR="0040470D" w:rsidRPr="0053181C" w:rsidTr="0040470D">
        <w:tc>
          <w:tcPr>
            <w:tcW w:w="1951" w:type="dxa"/>
          </w:tcPr>
          <w:p w:rsidR="0040470D" w:rsidRPr="0053181C" w:rsidRDefault="0040470D" w:rsidP="000B6618">
            <w:pPr>
              <w:spacing w:line="276" w:lineRule="auto"/>
              <w:rPr>
                <w:b/>
                <w:sz w:val="16"/>
                <w:szCs w:val="16"/>
              </w:rPr>
            </w:pPr>
            <w:r w:rsidRPr="0053181C">
              <w:rPr>
                <w:rStyle w:val="Titre4Car"/>
                <w:sz w:val="16"/>
                <w:szCs w:val="16"/>
              </w:rPr>
              <w:t xml:space="preserve">Accompagner les efforts d’adaptation des communautés rurales pour développer des </w:t>
            </w:r>
            <w:r w:rsidRPr="0053181C">
              <w:rPr>
                <w:rStyle w:val="Titre4Car"/>
                <w:sz w:val="16"/>
                <w:szCs w:val="16"/>
              </w:rPr>
              <w:lastRenderedPageBreak/>
              <w:t xml:space="preserve">techniques </w:t>
            </w:r>
            <w:r w:rsidR="00734A1F" w:rsidRPr="0053181C">
              <w:rPr>
                <w:rStyle w:val="Titre4Car"/>
                <w:sz w:val="16"/>
                <w:szCs w:val="16"/>
              </w:rPr>
              <w:t>agro-sylvo-pastorales</w:t>
            </w:r>
            <w:r w:rsidRPr="0053181C">
              <w:rPr>
                <w:rStyle w:val="Titre4Car"/>
                <w:sz w:val="16"/>
                <w:szCs w:val="16"/>
              </w:rPr>
              <w:t xml:space="preserve"> qui permettent à la fois de poursuivre leurs activités et de préserver les ressources sur lesquelles elles s’appuient</w:t>
            </w:r>
          </w:p>
          <w:p w:rsidR="0040470D" w:rsidRPr="0053181C" w:rsidRDefault="0040470D" w:rsidP="000B6618">
            <w:pPr>
              <w:spacing w:line="276" w:lineRule="auto"/>
              <w:rPr>
                <w:b/>
                <w:sz w:val="16"/>
                <w:szCs w:val="16"/>
              </w:rPr>
            </w:pPr>
          </w:p>
        </w:tc>
        <w:tc>
          <w:tcPr>
            <w:tcW w:w="4536" w:type="dxa"/>
          </w:tcPr>
          <w:p w:rsidR="0040470D" w:rsidRPr="0053181C" w:rsidRDefault="0040470D" w:rsidP="000B6618">
            <w:pPr>
              <w:spacing w:line="276" w:lineRule="auto"/>
              <w:rPr>
                <w:sz w:val="16"/>
                <w:szCs w:val="16"/>
              </w:rPr>
            </w:pPr>
            <w:r w:rsidRPr="0053181C">
              <w:rPr>
                <w:sz w:val="16"/>
                <w:szCs w:val="16"/>
              </w:rPr>
              <w:lastRenderedPageBreak/>
              <w:t xml:space="preserve">La sécurité alimentaire n’est pas assurée actuellement en Guinée. La priorité est donc d’augmenter la production, et ce malgré le risque de voir les rendements diminuer compte tenu des impacts des changements climatiques. </w:t>
            </w:r>
          </w:p>
          <w:p w:rsidR="0053181C" w:rsidRPr="0053181C" w:rsidRDefault="0053181C" w:rsidP="000B6618">
            <w:pPr>
              <w:spacing w:line="276" w:lineRule="auto"/>
              <w:rPr>
                <w:sz w:val="16"/>
                <w:szCs w:val="16"/>
              </w:rPr>
            </w:pPr>
            <w:r w:rsidRPr="0053181C">
              <w:rPr>
                <w:sz w:val="16"/>
                <w:szCs w:val="16"/>
              </w:rPr>
              <w:t xml:space="preserve">Les pratiques agricoles permettant d’assurer une </w:t>
            </w:r>
            <w:r w:rsidRPr="0053181C">
              <w:rPr>
                <w:sz w:val="16"/>
                <w:szCs w:val="16"/>
              </w:rPr>
              <w:lastRenderedPageBreak/>
              <w:t xml:space="preserve">gestion durable des terres et des ressources en eau, et qui seront de nature à limiter les émissions de GES sont à encourager. </w:t>
            </w:r>
          </w:p>
          <w:p w:rsidR="00AC5AF6" w:rsidRPr="0053181C" w:rsidRDefault="00AC5AF6" w:rsidP="000B6618">
            <w:pPr>
              <w:spacing w:line="276" w:lineRule="auto"/>
              <w:rPr>
                <w:b/>
                <w:sz w:val="16"/>
                <w:szCs w:val="16"/>
              </w:rPr>
            </w:pPr>
          </w:p>
        </w:tc>
        <w:tc>
          <w:tcPr>
            <w:tcW w:w="3827" w:type="dxa"/>
          </w:tcPr>
          <w:p w:rsidR="0040470D" w:rsidRPr="0053181C" w:rsidRDefault="0040470D" w:rsidP="00E8127D">
            <w:pPr>
              <w:numPr>
                <w:ilvl w:val="0"/>
                <w:numId w:val="12"/>
              </w:numPr>
              <w:spacing w:after="0" w:line="276" w:lineRule="auto"/>
              <w:ind w:left="175" w:firstLine="0"/>
              <w:contextualSpacing/>
              <w:rPr>
                <w:sz w:val="16"/>
                <w:szCs w:val="16"/>
              </w:rPr>
            </w:pPr>
            <w:r w:rsidRPr="0053181C">
              <w:rPr>
                <w:sz w:val="16"/>
                <w:szCs w:val="16"/>
              </w:rPr>
              <w:lastRenderedPageBreak/>
              <w:t xml:space="preserve">Diversification des </w:t>
            </w:r>
            <w:r w:rsidR="00AC5AF6" w:rsidRPr="0053181C">
              <w:rPr>
                <w:sz w:val="16"/>
                <w:szCs w:val="16"/>
              </w:rPr>
              <w:t>productions agricoles</w:t>
            </w:r>
            <w:r w:rsidR="008874BE" w:rsidRPr="0053181C">
              <w:rPr>
                <w:sz w:val="16"/>
                <w:szCs w:val="16"/>
              </w:rPr>
              <w:t> ;</w:t>
            </w:r>
          </w:p>
          <w:p w:rsidR="00AC5AF6" w:rsidRPr="0053181C" w:rsidRDefault="00AC5AF6" w:rsidP="00E8127D">
            <w:pPr>
              <w:numPr>
                <w:ilvl w:val="0"/>
                <w:numId w:val="12"/>
              </w:numPr>
              <w:spacing w:after="0" w:line="276" w:lineRule="auto"/>
              <w:ind w:left="175" w:firstLine="0"/>
              <w:contextualSpacing/>
              <w:rPr>
                <w:sz w:val="16"/>
                <w:szCs w:val="16"/>
              </w:rPr>
            </w:pPr>
            <w:r w:rsidRPr="0053181C">
              <w:rPr>
                <w:sz w:val="16"/>
                <w:szCs w:val="16"/>
              </w:rPr>
              <w:t xml:space="preserve">Développement de la pisciculture agro-écologique ; </w:t>
            </w:r>
          </w:p>
          <w:p w:rsidR="0040470D" w:rsidRPr="0053181C" w:rsidRDefault="0040470D" w:rsidP="00E8127D">
            <w:pPr>
              <w:numPr>
                <w:ilvl w:val="0"/>
                <w:numId w:val="12"/>
              </w:numPr>
              <w:spacing w:after="0" w:line="276" w:lineRule="auto"/>
              <w:ind w:left="175" w:firstLine="0"/>
              <w:contextualSpacing/>
              <w:rPr>
                <w:sz w:val="16"/>
                <w:szCs w:val="16"/>
              </w:rPr>
            </w:pPr>
            <w:r w:rsidRPr="0053181C">
              <w:rPr>
                <w:sz w:val="16"/>
                <w:szCs w:val="16"/>
              </w:rPr>
              <w:t xml:space="preserve">Variétés et techniques culturales </w:t>
            </w:r>
            <w:r w:rsidR="00AC5AF6" w:rsidRPr="0053181C">
              <w:rPr>
                <w:sz w:val="16"/>
                <w:szCs w:val="16"/>
              </w:rPr>
              <w:t xml:space="preserve">faibles en intrant </w:t>
            </w:r>
            <w:r w:rsidRPr="0053181C">
              <w:rPr>
                <w:sz w:val="16"/>
                <w:szCs w:val="16"/>
              </w:rPr>
              <w:t xml:space="preserve">adaptées à un climat </w:t>
            </w:r>
            <w:r w:rsidRPr="0053181C">
              <w:rPr>
                <w:sz w:val="16"/>
                <w:szCs w:val="16"/>
              </w:rPr>
              <w:lastRenderedPageBreak/>
              <w:t>moins pluvieux</w:t>
            </w:r>
            <w:r w:rsidR="008874BE" w:rsidRPr="0053181C">
              <w:rPr>
                <w:sz w:val="16"/>
                <w:szCs w:val="16"/>
              </w:rPr>
              <w:t>;</w:t>
            </w:r>
          </w:p>
          <w:p w:rsidR="0040470D" w:rsidRPr="0053181C" w:rsidRDefault="0040470D" w:rsidP="00E8127D">
            <w:pPr>
              <w:numPr>
                <w:ilvl w:val="0"/>
                <w:numId w:val="12"/>
              </w:numPr>
              <w:spacing w:after="0" w:line="276" w:lineRule="auto"/>
              <w:ind w:left="175" w:firstLine="0"/>
              <w:contextualSpacing/>
              <w:rPr>
                <w:sz w:val="16"/>
                <w:szCs w:val="16"/>
              </w:rPr>
            </w:pPr>
            <w:r w:rsidRPr="0053181C">
              <w:rPr>
                <w:sz w:val="16"/>
                <w:szCs w:val="16"/>
              </w:rPr>
              <w:t>Irrigation maitrisée</w:t>
            </w:r>
            <w:r w:rsidR="008874BE" w:rsidRPr="0053181C">
              <w:rPr>
                <w:sz w:val="16"/>
                <w:szCs w:val="16"/>
              </w:rPr>
              <w:t> ;</w:t>
            </w:r>
          </w:p>
          <w:p w:rsidR="0040470D" w:rsidRPr="0053181C" w:rsidRDefault="0040470D" w:rsidP="00E8127D">
            <w:pPr>
              <w:numPr>
                <w:ilvl w:val="0"/>
                <w:numId w:val="12"/>
              </w:numPr>
              <w:spacing w:after="0" w:line="276" w:lineRule="auto"/>
              <w:ind w:left="175" w:firstLine="0"/>
              <w:contextualSpacing/>
              <w:rPr>
                <w:sz w:val="16"/>
                <w:szCs w:val="16"/>
              </w:rPr>
            </w:pPr>
            <w:r w:rsidRPr="0053181C">
              <w:rPr>
                <w:sz w:val="16"/>
                <w:szCs w:val="16"/>
              </w:rPr>
              <w:t>Intégration de la dimension changement climatique dans la budgétisation, les plans, programmes et projets de développement</w:t>
            </w:r>
            <w:r w:rsidR="008874BE" w:rsidRPr="0053181C">
              <w:rPr>
                <w:sz w:val="16"/>
                <w:szCs w:val="16"/>
              </w:rPr>
              <w:t> ;</w:t>
            </w:r>
          </w:p>
          <w:p w:rsidR="0040470D" w:rsidRPr="0053181C" w:rsidRDefault="0040470D" w:rsidP="00E8127D">
            <w:pPr>
              <w:numPr>
                <w:ilvl w:val="0"/>
                <w:numId w:val="12"/>
              </w:numPr>
              <w:spacing w:after="0" w:line="276" w:lineRule="auto"/>
              <w:ind w:left="175" w:firstLine="0"/>
              <w:contextualSpacing/>
              <w:rPr>
                <w:sz w:val="16"/>
                <w:szCs w:val="16"/>
              </w:rPr>
            </w:pPr>
            <w:r w:rsidRPr="0053181C">
              <w:rPr>
                <w:sz w:val="16"/>
                <w:szCs w:val="16"/>
              </w:rPr>
              <w:t xml:space="preserve">Développement des aménagements </w:t>
            </w:r>
            <w:r w:rsidR="00CC13A2" w:rsidRPr="0053181C">
              <w:rPr>
                <w:sz w:val="16"/>
                <w:szCs w:val="16"/>
              </w:rPr>
              <w:t>hydro agricoles</w:t>
            </w:r>
            <w:r w:rsidR="008874BE" w:rsidRPr="0053181C">
              <w:rPr>
                <w:sz w:val="16"/>
                <w:szCs w:val="16"/>
              </w:rPr>
              <w:t> ;</w:t>
            </w:r>
          </w:p>
          <w:p w:rsidR="00AC5AF6" w:rsidRPr="0053181C" w:rsidRDefault="00AC5AF6" w:rsidP="00E8127D">
            <w:pPr>
              <w:numPr>
                <w:ilvl w:val="0"/>
                <w:numId w:val="12"/>
              </w:numPr>
              <w:spacing w:after="0" w:line="276" w:lineRule="auto"/>
              <w:ind w:left="175" w:firstLine="0"/>
              <w:contextualSpacing/>
              <w:rPr>
                <w:sz w:val="16"/>
                <w:szCs w:val="16"/>
              </w:rPr>
            </w:pPr>
            <w:r w:rsidRPr="0053181C">
              <w:rPr>
                <w:sz w:val="16"/>
                <w:szCs w:val="16"/>
              </w:rPr>
              <w:t>Développement de techniques de conservation et de transformation des produits agro-sylvo-piscicoles ;</w:t>
            </w:r>
          </w:p>
          <w:p w:rsidR="0040470D" w:rsidRPr="0053181C" w:rsidRDefault="0040470D" w:rsidP="00E8127D">
            <w:pPr>
              <w:pStyle w:val="Paragraphedeliste"/>
              <w:numPr>
                <w:ilvl w:val="0"/>
                <w:numId w:val="12"/>
              </w:numPr>
              <w:spacing w:after="0" w:line="276" w:lineRule="auto"/>
              <w:ind w:left="175" w:firstLine="0"/>
              <w:rPr>
                <w:sz w:val="16"/>
                <w:szCs w:val="16"/>
              </w:rPr>
            </w:pPr>
            <w:r w:rsidRPr="0053181C">
              <w:rPr>
                <w:sz w:val="16"/>
                <w:szCs w:val="16"/>
              </w:rPr>
              <w:t>Meilleure gestion du pastoralisme, transnational notamment, de façon à limiter la dégradation des pâturages et des sols et à atténuer les risques de conflits d’usage</w:t>
            </w:r>
            <w:r w:rsidR="008874BE" w:rsidRPr="0053181C">
              <w:rPr>
                <w:sz w:val="16"/>
                <w:szCs w:val="16"/>
              </w:rPr>
              <w:t>.</w:t>
            </w:r>
          </w:p>
          <w:p w:rsidR="0040470D" w:rsidRPr="0053181C" w:rsidRDefault="0040470D" w:rsidP="000B6618">
            <w:pPr>
              <w:spacing w:line="276" w:lineRule="auto"/>
              <w:rPr>
                <w:b/>
                <w:sz w:val="16"/>
                <w:szCs w:val="16"/>
              </w:rPr>
            </w:pPr>
          </w:p>
        </w:tc>
      </w:tr>
    </w:tbl>
    <w:p w:rsidR="009A39F5" w:rsidRPr="0053181C" w:rsidRDefault="009A39F5" w:rsidP="000B6618">
      <w:pPr>
        <w:spacing w:line="276" w:lineRule="auto"/>
        <w:rPr>
          <w:b/>
        </w:rPr>
      </w:pPr>
    </w:p>
    <w:p w:rsidR="00A459FB" w:rsidRPr="0053181C" w:rsidRDefault="00A459FB" w:rsidP="000B6618">
      <w:pPr>
        <w:pStyle w:val="Titre3"/>
        <w:spacing w:line="276" w:lineRule="auto"/>
      </w:pPr>
      <w:bookmarkStart w:id="12" w:name="_Toc431272530"/>
      <w:r w:rsidRPr="0053181C">
        <w:t>Lacunes, barrieres et besoins</w:t>
      </w:r>
      <w:bookmarkEnd w:id="12"/>
    </w:p>
    <w:p w:rsidR="00472072" w:rsidRPr="0053181C" w:rsidRDefault="00915650" w:rsidP="000B6618">
      <w:pPr>
        <w:spacing w:line="276" w:lineRule="auto"/>
        <w:rPr>
          <w:lang w:val="it-IT"/>
        </w:rPr>
      </w:pPr>
      <w:r w:rsidRPr="0053181C">
        <w:rPr>
          <w:lang w:val="it-IT"/>
        </w:rPr>
        <w:t>La République de Guinée est confrontée à des défis considérables au plan socio-économique, auxquels s’ajoutent les impacts actuels et futurs des changements climatiques. Pour faire face à ces besoins d’adaptation, quatre barrières principales</w:t>
      </w:r>
      <w:r w:rsidR="00AC5AF6" w:rsidRPr="0053181C">
        <w:rPr>
          <w:lang w:val="it-IT"/>
        </w:rPr>
        <w:t xml:space="preserve"> ont été identifiées</w:t>
      </w:r>
      <w:r w:rsidRPr="0053181C">
        <w:rPr>
          <w:lang w:val="it-IT"/>
        </w:rPr>
        <w:t xml:space="preserve">: </w:t>
      </w:r>
    </w:p>
    <w:p w:rsidR="00915650" w:rsidRPr="0053181C" w:rsidRDefault="00915650" w:rsidP="00E8127D">
      <w:pPr>
        <w:pStyle w:val="Paragraphedeliste"/>
        <w:numPr>
          <w:ilvl w:val="0"/>
          <w:numId w:val="16"/>
        </w:numPr>
        <w:spacing w:line="276" w:lineRule="auto"/>
        <w:rPr>
          <w:lang w:val="it-IT"/>
        </w:rPr>
      </w:pPr>
      <w:r w:rsidRPr="0053181C">
        <w:rPr>
          <w:lang w:val="it-IT"/>
        </w:rPr>
        <w:t xml:space="preserve">Les coûts colossaux </w:t>
      </w:r>
      <w:r w:rsidR="00734A1F" w:rsidRPr="0053181C">
        <w:rPr>
          <w:lang w:val="it-IT"/>
        </w:rPr>
        <w:t xml:space="preserve">de l’adaptation, s’ajoutant au </w:t>
      </w:r>
      <w:r w:rsidR="00734A1F" w:rsidRPr="0053181C">
        <w:rPr>
          <w:i/>
          <w:lang w:val="it-IT"/>
        </w:rPr>
        <w:t>gap</w:t>
      </w:r>
      <w:r w:rsidRPr="0053181C">
        <w:rPr>
          <w:lang w:val="it-IT"/>
        </w:rPr>
        <w:t>de financement des besoins essentiels en matière de développement et de réduction de la pauvreté</w:t>
      </w:r>
      <w:r w:rsidR="0053181C">
        <w:rPr>
          <w:lang w:val="it-IT"/>
        </w:rPr>
        <w:t xml:space="preserve"> (source: Document de stratégie de réduction de la pauvreté 2013-2015 – DRSP-III)</w:t>
      </w:r>
      <w:r w:rsidR="00AC5AF6" w:rsidRPr="0053181C">
        <w:rPr>
          <w:lang w:val="it-IT"/>
        </w:rPr>
        <w:t>. L</w:t>
      </w:r>
      <w:r w:rsidR="000327C0" w:rsidRPr="0053181C">
        <w:rPr>
          <w:lang w:val="it-IT"/>
        </w:rPr>
        <w:t xml:space="preserve">es besoins en matière de financement de l’adaptation (additionnels aux besoins de financement du développement) sont estimés entre 670 et 1700 millions USD. </w:t>
      </w:r>
      <w:r w:rsidR="00C91B85" w:rsidRPr="0053181C">
        <w:rPr>
          <w:lang w:val="it-IT"/>
        </w:rPr>
        <w:t>L’adéquation de la réponse internationale pour maintenir le réchauffement global en deça de +2°C contribuera</w:t>
      </w:r>
      <w:r w:rsidR="0053181C">
        <w:rPr>
          <w:lang w:val="it-IT"/>
        </w:rPr>
        <w:t>,</w:t>
      </w:r>
      <w:r w:rsidR="00C91B85" w:rsidRPr="0053181C">
        <w:rPr>
          <w:lang w:val="it-IT"/>
        </w:rPr>
        <w:t xml:space="preserve"> bien entendu</w:t>
      </w:r>
      <w:r w:rsidR="0053181C">
        <w:rPr>
          <w:lang w:val="it-IT"/>
        </w:rPr>
        <w:t>,</w:t>
      </w:r>
      <w:r w:rsidR="00C91B85" w:rsidRPr="0053181C">
        <w:rPr>
          <w:lang w:val="it-IT"/>
        </w:rPr>
        <w:t xml:space="preserve"> à réduire les impacts, et les coûts associés.</w:t>
      </w:r>
    </w:p>
    <w:p w:rsidR="000327C0" w:rsidRPr="0053181C" w:rsidRDefault="000327C0" w:rsidP="000327C0">
      <w:pPr>
        <w:pStyle w:val="Paragraphedeliste"/>
        <w:spacing w:line="276" w:lineRule="auto"/>
        <w:rPr>
          <w:lang w:val="it-IT"/>
        </w:rPr>
      </w:pPr>
    </w:p>
    <w:p w:rsidR="00A459FB" w:rsidRPr="0053181C" w:rsidRDefault="00482049" w:rsidP="00915650">
      <w:pPr>
        <w:spacing w:line="276" w:lineRule="auto"/>
        <w:jc w:val="center"/>
        <w:rPr>
          <w:lang w:val="it-IT"/>
        </w:rPr>
      </w:pPr>
      <w:r>
        <w:rPr>
          <w:noProof/>
          <w:lang w:eastAsia="fr-FR"/>
        </w:rPr>
        <w:drawing>
          <wp:inline distT="0" distB="0" distL="0" distR="0">
            <wp:extent cx="4761781" cy="4114826"/>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3774" cy="4116548"/>
                    </a:xfrm>
                    <a:prstGeom prst="rect">
                      <a:avLst/>
                    </a:prstGeom>
                    <a:noFill/>
                  </pic:spPr>
                </pic:pic>
              </a:graphicData>
            </a:graphic>
          </wp:inline>
        </w:drawing>
      </w:r>
    </w:p>
    <w:p w:rsidR="000327C0" w:rsidRPr="0053181C" w:rsidRDefault="000327C0" w:rsidP="000327C0">
      <w:pPr>
        <w:spacing w:line="276" w:lineRule="auto"/>
        <w:rPr>
          <w:lang w:val="it-IT"/>
        </w:rPr>
      </w:pPr>
      <w:r w:rsidRPr="0053181C">
        <w:rPr>
          <w:lang w:val="it-IT"/>
        </w:rPr>
        <w:t>A titre d’exemple, le coût total du projet de “conservation des écosystèmes de la Mano River Union et la gestion des eaux internationales” s’élève à 31 millions USD sur 5 ans. Les besoins financiers pour le seul engagement sur les ressources en eau pourrait ainsi s’élever, pour les 3 bassins versants internationaux à près de 300 millions USD sur la période 2015-2030.</w:t>
      </w:r>
    </w:p>
    <w:p w:rsidR="000327C0" w:rsidRPr="0053181C" w:rsidRDefault="000327C0" w:rsidP="00915650">
      <w:pPr>
        <w:spacing w:line="276" w:lineRule="auto"/>
        <w:jc w:val="center"/>
        <w:rPr>
          <w:lang w:val="it-IT"/>
        </w:rPr>
      </w:pPr>
    </w:p>
    <w:p w:rsidR="00915650" w:rsidRPr="0053181C" w:rsidRDefault="00915650" w:rsidP="00E8127D">
      <w:pPr>
        <w:pStyle w:val="Paragraphedeliste"/>
        <w:numPr>
          <w:ilvl w:val="0"/>
          <w:numId w:val="16"/>
        </w:numPr>
        <w:spacing w:line="276" w:lineRule="auto"/>
        <w:rPr>
          <w:lang w:val="it-IT"/>
        </w:rPr>
      </w:pPr>
      <w:r w:rsidRPr="0053181C">
        <w:rPr>
          <w:lang w:val="it-IT"/>
        </w:rPr>
        <w:t xml:space="preserve">Les lacunes en matière de données climatiques fiables et robustes, mais aussi de l’ensemble des données </w:t>
      </w:r>
      <w:r w:rsidR="005B55AB" w:rsidRPr="0053181C">
        <w:rPr>
          <w:lang w:val="it-IT"/>
        </w:rPr>
        <w:t xml:space="preserve">statistiques </w:t>
      </w:r>
      <w:r w:rsidRPr="0053181C">
        <w:rPr>
          <w:lang w:val="it-IT"/>
        </w:rPr>
        <w:t>relatives à la gestion des ressources naturelles;</w:t>
      </w:r>
    </w:p>
    <w:p w:rsidR="00915650" w:rsidRPr="0053181C" w:rsidRDefault="00915650" w:rsidP="00E8127D">
      <w:pPr>
        <w:pStyle w:val="Paragraphedeliste"/>
        <w:numPr>
          <w:ilvl w:val="0"/>
          <w:numId w:val="16"/>
        </w:numPr>
        <w:spacing w:line="276" w:lineRule="auto"/>
        <w:rPr>
          <w:lang w:val="it-IT"/>
        </w:rPr>
      </w:pPr>
      <w:r w:rsidRPr="0053181C">
        <w:rPr>
          <w:lang w:val="it-IT"/>
        </w:rPr>
        <w:t>L’insuffisante intégration, à travers les institutions gouvernementales et les collectivités, de la dimension adaptation dans la planification du développement;</w:t>
      </w:r>
    </w:p>
    <w:p w:rsidR="00915650" w:rsidRPr="0053181C" w:rsidRDefault="00915650" w:rsidP="00E8127D">
      <w:pPr>
        <w:pStyle w:val="Paragraphedeliste"/>
        <w:numPr>
          <w:ilvl w:val="0"/>
          <w:numId w:val="16"/>
        </w:numPr>
        <w:spacing w:line="276" w:lineRule="auto"/>
        <w:rPr>
          <w:lang w:val="it-IT"/>
        </w:rPr>
      </w:pPr>
      <w:r w:rsidRPr="0053181C">
        <w:rPr>
          <w:lang w:val="it-IT"/>
        </w:rPr>
        <w:t xml:space="preserve">L’obsolescence </w:t>
      </w:r>
      <w:r w:rsidR="00E73BD3" w:rsidRPr="0053181C">
        <w:rPr>
          <w:lang w:val="it-IT"/>
        </w:rPr>
        <w:t xml:space="preserve">et le non-respect </w:t>
      </w:r>
      <w:r w:rsidRPr="0053181C">
        <w:rPr>
          <w:lang w:val="it-IT"/>
        </w:rPr>
        <w:t>des plans et schémas d’aménagement du territoire</w:t>
      </w:r>
      <w:r w:rsidR="00E73BD3" w:rsidRPr="0053181C">
        <w:rPr>
          <w:lang w:val="it-IT"/>
        </w:rPr>
        <w:t>.</w:t>
      </w:r>
    </w:p>
    <w:p w:rsidR="00A459FB" w:rsidRDefault="00A459FB" w:rsidP="003C018C">
      <w:pPr>
        <w:pStyle w:val="Titre1"/>
        <w:numPr>
          <w:ilvl w:val="0"/>
          <w:numId w:val="8"/>
        </w:numPr>
        <w:spacing w:line="276" w:lineRule="auto"/>
      </w:pPr>
      <w:bookmarkStart w:id="13" w:name="_Toc431272531"/>
      <w:r>
        <w:t>Engagements d’atténuation</w:t>
      </w:r>
      <w:bookmarkEnd w:id="13"/>
    </w:p>
    <w:p w:rsidR="00A459FB" w:rsidRDefault="00A459FB" w:rsidP="000B6618">
      <w:pPr>
        <w:pStyle w:val="Titre3"/>
        <w:spacing w:line="276" w:lineRule="auto"/>
      </w:pPr>
      <w:bookmarkStart w:id="14" w:name="_Toc431272532"/>
      <w:r>
        <w:t xml:space="preserve">Justification </w:t>
      </w:r>
      <w:r w:rsidR="009A39F5">
        <w:t xml:space="preserve">de l’année de référence, </w:t>
      </w:r>
      <w:r>
        <w:t xml:space="preserve">de la periode </w:t>
      </w:r>
      <w:r w:rsidR="009A39F5">
        <w:t xml:space="preserve">d’engagement </w:t>
      </w:r>
      <w:r>
        <w:t>et des secteurs couverts</w:t>
      </w:r>
      <w:bookmarkEnd w:id="14"/>
    </w:p>
    <w:p w:rsidR="004A67AD" w:rsidRPr="0053181C" w:rsidRDefault="004A67AD" w:rsidP="004A67AD">
      <w:pPr>
        <w:spacing w:line="276" w:lineRule="auto"/>
        <w:rPr>
          <w:szCs w:val="18"/>
        </w:rPr>
      </w:pPr>
      <w:r w:rsidRPr="00502BB9">
        <w:rPr>
          <w:szCs w:val="18"/>
        </w:rPr>
        <w:t>La Guinée</w:t>
      </w:r>
      <w:r>
        <w:rPr>
          <w:szCs w:val="18"/>
        </w:rPr>
        <w:t xml:space="preserve"> a publié auprès de la CCNUCC sa Communication Nationale Initiale sur la base de données datant de 1994. Cette année a donc été considérée comme une référence et l’ensemble des résultats en émissions de GES </w:t>
      </w:r>
      <w:r w:rsidRPr="0053181C">
        <w:rPr>
          <w:szCs w:val="18"/>
        </w:rPr>
        <w:t xml:space="preserve">est extrait ou extrapolé à partir des données de ce document. </w:t>
      </w:r>
    </w:p>
    <w:p w:rsidR="004A67AD" w:rsidRPr="0053181C" w:rsidRDefault="004A67AD" w:rsidP="004A67AD">
      <w:pPr>
        <w:spacing w:line="276" w:lineRule="auto"/>
        <w:rPr>
          <w:szCs w:val="18"/>
        </w:rPr>
      </w:pPr>
      <w:r w:rsidRPr="0053181C">
        <w:rPr>
          <w:szCs w:val="18"/>
        </w:rPr>
        <w:t xml:space="preserve">Par ailleurs, pour le secteur de l’énergie, les travaux du programme </w:t>
      </w:r>
      <w:proofErr w:type="spellStart"/>
      <w:r w:rsidRPr="0053181C">
        <w:rPr>
          <w:i/>
          <w:szCs w:val="18"/>
        </w:rPr>
        <w:t>Sustainable</w:t>
      </w:r>
      <w:proofErr w:type="spellEnd"/>
      <w:r w:rsidRPr="0053181C">
        <w:rPr>
          <w:i/>
          <w:szCs w:val="18"/>
        </w:rPr>
        <w:t xml:space="preserve"> </w:t>
      </w:r>
      <w:proofErr w:type="spellStart"/>
      <w:r w:rsidRPr="0053181C">
        <w:rPr>
          <w:i/>
          <w:szCs w:val="18"/>
        </w:rPr>
        <w:t>Energy</w:t>
      </w:r>
      <w:proofErr w:type="spellEnd"/>
      <w:r w:rsidRPr="0053181C">
        <w:rPr>
          <w:i/>
          <w:szCs w:val="18"/>
        </w:rPr>
        <w:t xml:space="preserve"> for All</w:t>
      </w:r>
      <w:r w:rsidRPr="0053181C">
        <w:rPr>
          <w:szCs w:val="18"/>
        </w:rPr>
        <w:t xml:space="preserve"> (SE4ALL, 2014) ont été intégralement repris. Ils portent sur des données des années 2011 – 2014 et élaborent des objectifs à horizon 2030. </w:t>
      </w:r>
    </w:p>
    <w:p w:rsidR="009A39F5" w:rsidRPr="0053181C" w:rsidRDefault="000B7E50" w:rsidP="004A67AD">
      <w:pPr>
        <w:spacing w:line="276" w:lineRule="auto"/>
        <w:rPr>
          <w:szCs w:val="18"/>
        </w:rPr>
      </w:pPr>
      <w:r w:rsidRPr="0053181C">
        <w:rPr>
          <w:szCs w:val="18"/>
        </w:rPr>
        <w:t>Par souci</w:t>
      </w:r>
      <w:r w:rsidR="004A67AD" w:rsidRPr="0053181C">
        <w:rPr>
          <w:szCs w:val="18"/>
        </w:rPr>
        <w:t xml:space="preserve"> de simplicité et de clarté, et conformément aux objectifs du DSRP III, les émissions évitées par les actions du SE4ALL ont été évaluées sur la période 2015-2030.</w:t>
      </w:r>
    </w:p>
    <w:p w:rsidR="004A67AD" w:rsidRPr="0053181C" w:rsidRDefault="004A67AD" w:rsidP="004A67AD">
      <w:pPr>
        <w:spacing w:line="276" w:lineRule="auto"/>
        <w:rPr>
          <w:szCs w:val="18"/>
        </w:rPr>
      </w:pPr>
    </w:p>
    <w:p w:rsidR="009A39F5" w:rsidRDefault="004A67AD" w:rsidP="000B6618">
      <w:pPr>
        <w:spacing w:line="276" w:lineRule="auto"/>
        <w:rPr>
          <w:szCs w:val="18"/>
        </w:rPr>
      </w:pPr>
      <w:r w:rsidRPr="0053181C">
        <w:rPr>
          <w:szCs w:val="18"/>
        </w:rPr>
        <w:t>L’inventaire de gaz à effet de serre réalisé pour la Communication nationale initiale (inventaire sur la base des émissions de 1994) montre que les secteurs de l’</w:t>
      </w:r>
      <w:r w:rsidRPr="0053181C">
        <w:rPr>
          <w:b/>
          <w:szCs w:val="18"/>
        </w:rPr>
        <w:t>énergie</w:t>
      </w:r>
      <w:r w:rsidRPr="0053181C">
        <w:rPr>
          <w:szCs w:val="18"/>
        </w:rPr>
        <w:t xml:space="preserve">, du </w:t>
      </w:r>
      <w:r w:rsidRPr="0053181C">
        <w:rPr>
          <w:b/>
          <w:szCs w:val="18"/>
        </w:rPr>
        <w:t>changement d’utilisation des terres et de la foresterie</w:t>
      </w:r>
      <w:r w:rsidRPr="0053181C">
        <w:rPr>
          <w:szCs w:val="18"/>
        </w:rPr>
        <w:t xml:space="preserve"> (CUTF) et de l</w:t>
      </w:r>
      <w:r w:rsidRPr="0053181C">
        <w:rPr>
          <w:b/>
          <w:szCs w:val="18"/>
        </w:rPr>
        <w:t>’agriculture</w:t>
      </w:r>
      <w:r w:rsidRPr="0053181C">
        <w:rPr>
          <w:szCs w:val="18"/>
        </w:rPr>
        <w:t xml:space="preserve"> sont les principaux émetteurs et constituent donc une priorité stratégique pour la Guinée en matière d’atténuation</w:t>
      </w:r>
      <w:r w:rsidR="000B7E50" w:rsidRPr="0053181C">
        <w:rPr>
          <w:szCs w:val="18"/>
        </w:rPr>
        <w:t xml:space="preserve">, </w:t>
      </w:r>
      <w:r w:rsidR="0053181C" w:rsidRPr="0053181C">
        <w:rPr>
          <w:szCs w:val="18"/>
        </w:rPr>
        <w:t>et</w:t>
      </w:r>
      <w:r w:rsidR="000B7E50" w:rsidRPr="0053181C">
        <w:rPr>
          <w:szCs w:val="18"/>
        </w:rPr>
        <w:t xml:space="preserve"> ont été ainsi inclus dans la CPDN</w:t>
      </w:r>
      <w:r w:rsidRPr="0053181C">
        <w:rPr>
          <w:szCs w:val="18"/>
        </w:rPr>
        <w:t xml:space="preserve">. </w:t>
      </w:r>
    </w:p>
    <w:p w:rsidR="001F3BF5" w:rsidRPr="0053181C" w:rsidRDefault="001F3BF5" w:rsidP="000B6618">
      <w:pPr>
        <w:spacing w:line="276" w:lineRule="auto"/>
        <w:rPr>
          <w:szCs w:val="18"/>
        </w:rPr>
      </w:pPr>
    </w:p>
    <w:p w:rsidR="00352DAB" w:rsidRPr="00832440" w:rsidRDefault="00352DAB" w:rsidP="00352DAB">
      <w:pPr>
        <w:jc w:val="center"/>
        <w:rPr>
          <w:sz w:val="22"/>
        </w:rPr>
      </w:pPr>
      <w:r w:rsidRPr="00832440">
        <w:rPr>
          <w:noProof/>
          <w:sz w:val="22"/>
          <w:lang w:eastAsia="fr-FR"/>
        </w:rPr>
        <w:drawing>
          <wp:inline distT="114300" distB="114300" distL="114300" distR="114300">
            <wp:extent cx="3448050" cy="207645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cstate="print"/>
                    <a:srcRect/>
                    <a:stretch>
                      <a:fillRect/>
                    </a:stretch>
                  </pic:blipFill>
                  <pic:spPr>
                    <a:xfrm>
                      <a:off x="0" y="0"/>
                      <a:ext cx="3448050" cy="2076450"/>
                    </a:xfrm>
                    <a:prstGeom prst="rect">
                      <a:avLst/>
                    </a:prstGeom>
                    <a:ln/>
                  </pic:spPr>
                </pic:pic>
              </a:graphicData>
            </a:graphic>
          </wp:inline>
        </w:drawing>
      </w:r>
    </w:p>
    <w:p w:rsidR="00352DAB" w:rsidRPr="00352DAB" w:rsidRDefault="00352DAB" w:rsidP="00352DAB">
      <w:pPr>
        <w:pStyle w:val="Lgende"/>
        <w:spacing w:after="0" w:line="276" w:lineRule="auto"/>
        <w:jc w:val="center"/>
        <w:rPr>
          <w:bCs w:val="0"/>
          <w:color w:val="5A5A5A" w:themeColor="text1" w:themeTint="A5"/>
          <w:sz w:val="14"/>
        </w:rPr>
      </w:pPr>
      <w:bookmarkStart w:id="15" w:name="_Toc429412405"/>
      <w:r w:rsidRPr="00352DAB">
        <w:rPr>
          <w:bCs w:val="0"/>
          <w:color w:val="5A5A5A" w:themeColor="text1" w:themeTint="A5"/>
          <w:sz w:val="14"/>
        </w:rPr>
        <w:t>Figure: Bilan des émissions de GES, d’après la CNI, hors séquestration de GES (données 1994)</w:t>
      </w:r>
      <w:bookmarkEnd w:id="15"/>
    </w:p>
    <w:p w:rsidR="00352DAB" w:rsidRDefault="00352DAB" w:rsidP="000B6618">
      <w:pPr>
        <w:spacing w:line="276" w:lineRule="auto"/>
        <w:rPr>
          <w:szCs w:val="18"/>
        </w:rPr>
      </w:pPr>
    </w:p>
    <w:p w:rsidR="004A67AD" w:rsidRPr="0053181C" w:rsidRDefault="0039016E" w:rsidP="004A67AD">
      <w:pPr>
        <w:spacing w:line="276" w:lineRule="auto"/>
        <w:rPr>
          <w:szCs w:val="18"/>
        </w:rPr>
      </w:pPr>
      <w:r w:rsidRPr="0053181C">
        <w:rPr>
          <w:szCs w:val="18"/>
        </w:rPr>
        <w:t>L’absence</w:t>
      </w:r>
      <w:r w:rsidR="000B7E50" w:rsidRPr="0053181C">
        <w:rPr>
          <w:szCs w:val="18"/>
        </w:rPr>
        <w:t>, dans la présente CPDN,</w:t>
      </w:r>
      <w:r w:rsidR="00CC13A2">
        <w:rPr>
          <w:szCs w:val="18"/>
        </w:rPr>
        <w:t xml:space="preserve"> </w:t>
      </w:r>
      <w:r w:rsidR="00352DAB" w:rsidRPr="0053181C">
        <w:rPr>
          <w:szCs w:val="18"/>
        </w:rPr>
        <w:t xml:space="preserve">d’engagements relatifs aux </w:t>
      </w:r>
      <w:r w:rsidR="004A67AD" w:rsidRPr="0053181C">
        <w:rPr>
          <w:szCs w:val="18"/>
        </w:rPr>
        <w:t>postes d’émissions “procédés indust</w:t>
      </w:r>
      <w:r w:rsidR="00C91B85" w:rsidRPr="0053181C">
        <w:rPr>
          <w:szCs w:val="18"/>
        </w:rPr>
        <w:t>riels” et “déchets” s’explique</w:t>
      </w:r>
      <w:r w:rsidR="004A67AD" w:rsidRPr="0053181C">
        <w:rPr>
          <w:szCs w:val="18"/>
        </w:rPr>
        <w:t xml:space="preserve"> par : </w:t>
      </w:r>
    </w:p>
    <w:p w:rsidR="004A67AD" w:rsidRPr="0053181C" w:rsidRDefault="00352DAB" w:rsidP="004A67AD">
      <w:pPr>
        <w:pStyle w:val="Paragraphedeliste"/>
        <w:numPr>
          <w:ilvl w:val="0"/>
          <w:numId w:val="18"/>
        </w:numPr>
        <w:spacing w:line="276" w:lineRule="auto"/>
        <w:rPr>
          <w:szCs w:val="18"/>
        </w:rPr>
      </w:pPr>
      <w:r w:rsidRPr="0053181C">
        <w:rPr>
          <w:szCs w:val="18"/>
        </w:rPr>
        <w:t>Le fait que les émissions de ces secteurs, selon les évaluations réalisées</w:t>
      </w:r>
      <w:r w:rsidR="004A67AD" w:rsidRPr="0053181C">
        <w:rPr>
          <w:szCs w:val="18"/>
        </w:rPr>
        <w:t xml:space="preserve"> (Communication Nationale Initiale, travaux de la Seconde Communication Nationale)</w:t>
      </w:r>
      <w:proofErr w:type="gramStart"/>
      <w:r w:rsidRPr="0053181C">
        <w:rPr>
          <w:szCs w:val="18"/>
        </w:rPr>
        <w:t>,</w:t>
      </w:r>
      <w:r w:rsidR="004A67AD" w:rsidRPr="0053181C">
        <w:rPr>
          <w:b/>
          <w:szCs w:val="18"/>
        </w:rPr>
        <w:t>sont</w:t>
      </w:r>
      <w:proofErr w:type="gramEnd"/>
      <w:r w:rsidR="004A67AD" w:rsidRPr="0053181C">
        <w:rPr>
          <w:b/>
          <w:szCs w:val="18"/>
        </w:rPr>
        <w:t xml:space="preserve"> d’un ordre de grandeur </w:t>
      </w:r>
      <w:r w:rsidR="00C91B85" w:rsidRPr="0053181C">
        <w:rPr>
          <w:b/>
          <w:szCs w:val="18"/>
        </w:rPr>
        <w:t xml:space="preserve">très </w:t>
      </w:r>
      <w:r w:rsidR="004A67AD" w:rsidRPr="0053181C">
        <w:rPr>
          <w:b/>
          <w:szCs w:val="18"/>
        </w:rPr>
        <w:t>inférieur aux autres</w:t>
      </w:r>
      <w:r w:rsidR="0039016E" w:rsidRPr="0053181C">
        <w:rPr>
          <w:b/>
          <w:szCs w:val="18"/>
        </w:rPr>
        <w:t xml:space="preserve">, </w:t>
      </w:r>
      <w:r w:rsidR="0039016E" w:rsidRPr="0053181C">
        <w:rPr>
          <w:szCs w:val="18"/>
        </w:rPr>
        <w:t>compte tenu des méthodologies de comptabilisation des émissions</w:t>
      </w:r>
      <w:r w:rsidRPr="0053181C">
        <w:rPr>
          <w:szCs w:val="18"/>
        </w:rPr>
        <w:t xml:space="preserve"> et de la faible structuration de ces secteurs</w:t>
      </w:r>
      <w:r w:rsidR="004A67AD" w:rsidRPr="0053181C">
        <w:rPr>
          <w:szCs w:val="18"/>
        </w:rPr>
        <w:t> ;</w:t>
      </w:r>
    </w:p>
    <w:p w:rsidR="004A67AD" w:rsidRPr="0053181C" w:rsidRDefault="004A67AD" w:rsidP="004A67AD">
      <w:pPr>
        <w:pStyle w:val="Paragraphedeliste"/>
        <w:numPr>
          <w:ilvl w:val="0"/>
          <w:numId w:val="14"/>
        </w:numPr>
        <w:spacing w:line="276" w:lineRule="auto"/>
        <w:rPr>
          <w:szCs w:val="18"/>
        </w:rPr>
      </w:pPr>
      <w:r w:rsidRPr="0053181C">
        <w:rPr>
          <w:szCs w:val="18"/>
        </w:rPr>
        <w:t>la collecte et le traitement des déchets et eaux d’assainissement restent très limités, malgré l’importance du secteur en matière de préservation de l’environnement, de qualité de vie et</w:t>
      </w:r>
      <w:r w:rsidR="00352DAB" w:rsidRPr="0053181C">
        <w:rPr>
          <w:szCs w:val="18"/>
        </w:rPr>
        <w:t xml:space="preserve"> de santé pour ses populations. Néanmoins, c</w:t>
      </w:r>
      <w:r w:rsidR="0039016E" w:rsidRPr="0053181C">
        <w:t>ompte tenu des projections de croissance démographique, qui impacteront le niveau des émissions du secteur des déchets, l</w:t>
      </w:r>
      <w:r w:rsidRPr="0053181C">
        <w:t>a contribution nationale de la Guinée pourra</w:t>
      </w:r>
      <w:r w:rsidR="0039016E" w:rsidRPr="0053181C">
        <w:t xml:space="preserve"> lors d’une prochaine révision, intégrer ce secteur, sur la base d’une meilleure connaissance des émissions liées à travers la mise en place des installations et de modalités de gestion appropriées.</w:t>
      </w:r>
    </w:p>
    <w:p w:rsidR="001F3BF5" w:rsidRDefault="001F3BF5" w:rsidP="000B6618">
      <w:pPr>
        <w:spacing w:line="276" w:lineRule="auto"/>
      </w:pPr>
    </w:p>
    <w:p w:rsidR="00A706F8" w:rsidRDefault="00A706F8" w:rsidP="000B6618">
      <w:pPr>
        <w:spacing w:line="276" w:lineRule="auto"/>
      </w:pPr>
    </w:p>
    <w:p w:rsidR="00A706F8" w:rsidRDefault="00A706F8" w:rsidP="000B6618">
      <w:pPr>
        <w:spacing w:line="276" w:lineRule="auto"/>
      </w:pPr>
    </w:p>
    <w:p w:rsidR="00366931" w:rsidRPr="00366931" w:rsidRDefault="00366931" w:rsidP="000B6618">
      <w:pPr>
        <w:spacing w:line="276" w:lineRule="auto"/>
      </w:pPr>
      <w:r w:rsidRPr="00366931">
        <w:lastRenderedPageBreak/>
        <w:t xml:space="preserve">La CNI 94 considère les </w:t>
      </w:r>
      <w:r w:rsidR="00482049">
        <w:t xml:space="preserve">tendances </w:t>
      </w:r>
      <w:r w:rsidRPr="00366931">
        <w:t>suivantes (prolongées jusqu’en 2030) :</w:t>
      </w:r>
    </w:p>
    <w:p w:rsidR="00366931" w:rsidRDefault="00366931" w:rsidP="000B6618">
      <w:pPr>
        <w:spacing w:line="276" w:lineRule="auto"/>
        <w:jc w:val="center"/>
      </w:pPr>
      <w:r>
        <w:rPr>
          <w:noProof/>
          <w:lang w:eastAsia="fr-FR"/>
        </w:rPr>
        <w:drawing>
          <wp:inline distT="114300" distB="114300" distL="114300" distR="114300">
            <wp:extent cx="3438525" cy="207645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cstate="print"/>
                    <a:srcRect/>
                    <a:stretch>
                      <a:fillRect/>
                    </a:stretch>
                  </pic:blipFill>
                  <pic:spPr>
                    <a:xfrm>
                      <a:off x="0" y="0"/>
                      <a:ext cx="3438525" cy="2076450"/>
                    </a:xfrm>
                    <a:prstGeom prst="rect">
                      <a:avLst/>
                    </a:prstGeom>
                    <a:ln/>
                  </pic:spPr>
                </pic:pic>
              </a:graphicData>
            </a:graphic>
          </wp:inline>
        </w:drawing>
      </w:r>
    </w:p>
    <w:p w:rsidR="00366931" w:rsidRPr="00C91B85" w:rsidRDefault="00366931" w:rsidP="00C91B85">
      <w:pPr>
        <w:pStyle w:val="Lgende"/>
        <w:spacing w:after="0" w:line="276" w:lineRule="auto"/>
        <w:jc w:val="center"/>
        <w:rPr>
          <w:b w:val="0"/>
          <w:bCs w:val="0"/>
          <w:color w:val="5A5A5A" w:themeColor="text1" w:themeTint="A5"/>
          <w:sz w:val="14"/>
        </w:rPr>
      </w:pPr>
      <w:bookmarkStart w:id="16" w:name="_Toc429412408"/>
      <w:r w:rsidRPr="00C91B85">
        <w:rPr>
          <w:bCs w:val="0"/>
          <w:color w:val="5A5A5A" w:themeColor="text1" w:themeTint="A5"/>
          <w:sz w:val="14"/>
        </w:rPr>
        <w:t>Figure :</w:t>
      </w:r>
      <w:r w:rsidRPr="00C91B85">
        <w:rPr>
          <w:b w:val="0"/>
          <w:bCs w:val="0"/>
          <w:color w:val="5A5A5A" w:themeColor="text1" w:themeTint="A5"/>
          <w:sz w:val="14"/>
        </w:rPr>
        <w:t xml:space="preserve"> Projection des émissions de la Guinée (hors CUTF)</w:t>
      </w:r>
      <w:bookmarkEnd w:id="16"/>
      <w:r w:rsidRPr="00C91B85">
        <w:rPr>
          <w:b w:val="0"/>
          <w:bCs w:val="0"/>
          <w:color w:val="5A5A5A" w:themeColor="text1" w:themeTint="A5"/>
          <w:sz w:val="14"/>
        </w:rPr>
        <w:t xml:space="preserve"> (source : d’après CNI 1994) </w:t>
      </w:r>
    </w:p>
    <w:p w:rsidR="00366931" w:rsidRPr="00A25DAE" w:rsidRDefault="00366931" w:rsidP="000B6618">
      <w:pPr>
        <w:spacing w:after="0" w:line="276" w:lineRule="auto"/>
        <w:jc w:val="center"/>
        <w:rPr>
          <w:b/>
          <w:bCs/>
          <w:smallCaps/>
        </w:rPr>
      </w:pPr>
    </w:p>
    <w:p w:rsidR="00366931" w:rsidRPr="00366931" w:rsidRDefault="00366931" w:rsidP="000B6618">
      <w:pPr>
        <w:spacing w:line="276" w:lineRule="auto"/>
      </w:pPr>
      <w:r w:rsidRPr="00366931">
        <w:t>Le ta</w:t>
      </w:r>
      <w:r w:rsidR="000B7E50">
        <w:t xml:space="preserve">ux de croissance des émissions serait </w:t>
      </w:r>
      <w:r w:rsidRPr="00366931">
        <w:t>de 4,4% par an sur la période. Par habitant, les émissions passeraient de 2,1 à 2,7 tCO</w:t>
      </w:r>
      <w:r w:rsidRPr="00366931">
        <w:rPr>
          <w:vertAlign w:val="subscript"/>
        </w:rPr>
        <w:t>2</w:t>
      </w:r>
      <w:r w:rsidRPr="00366931">
        <w:t xml:space="preserve">e/hab. Au total, cela représenterait </w:t>
      </w:r>
      <w:r w:rsidRPr="00366931">
        <w:rPr>
          <w:szCs w:val="22"/>
        </w:rPr>
        <w:t>un doublement sur 20 ans et près de 55 M t</w:t>
      </w:r>
      <w:r w:rsidRPr="00366931">
        <w:t>CO</w:t>
      </w:r>
      <w:r w:rsidRPr="00366931">
        <w:rPr>
          <w:vertAlign w:val="subscript"/>
        </w:rPr>
        <w:t>2</w:t>
      </w:r>
      <w:r w:rsidRPr="00366931">
        <w:t>e en 2030.</w:t>
      </w:r>
    </w:p>
    <w:p w:rsidR="00A459FB" w:rsidRDefault="00A459FB" w:rsidP="000B6618">
      <w:pPr>
        <w:pStyle w:val="Titre3"/>
        <w:spacing w:line="276" w:lineRule="auto"/>
      </w:pPr>
      <w:bookmarkStart w:id="17" w:name="_Toc431272533"/>
      <w:r>
        <w:t>Engagements et potentiels d’atténuation</w:t>
      </w:r>
      <w:bookmarkEnd w:id="17"/>
    </w:p>
    <w:p w:rsidR="0035732C" w:rsidRDefault="0035732C" w:rsidP="000B6618">
      <w:pPr>
        <w:spacing w:line="276" w:lineRule="auto"/>
        <w:rPr>
          <w:b/>
        </w:rPr>
      </w:pPr>
      <w:r>
        <w:rPr>
          <w:b/>
        </w:rPr>
        <w:t xml:space="preserve">Par le présent document, et dans l’optique de participer à l’effort mondial de décarbonisation des économies, la République de Guinée s’engage à : </w:t>
      </w:r>
    </w:p>
    <w:p w:rsidR="003C1DC5" w:rsidRDefault="003C1DC5" w:rsidP="000B6618">
      <w:pPr>
        <w:spacing w:line="276" w:lineRule="auto"/>
      </w:pPr>
    </w:p>
    <w:tbl>
      <w:tblPr>
        <w:tblStyle w:val="Grilledutableau"/>
        <w:tblW w:w="0" w:type="auto"/>
        <w:tblLook w:val="04A0" w:firstRow="1" w:lastRow="0" w:firstColumn="1" w:lastColumn="0" w:noHBand="0" w:noVBand="1"/>
      </w:tblPr>
      <w:tblGrid>
        <w:gridCol w:w="1526"/>
        <w:gridCol w:w="3969"/>
        <w:gridCol w:w="3118"/>
        <w:gridCol w:w="1731"/>
      </w:tblGrid>
      <w:tr w:rsidR="000B6618" w:rsidRPr="009A39F5" w:rsidTr="00482049">
        <w:tc>
          <w:tcPr>
            <w:tcW w:w="1526" w:type="dxa"/>
            <w:shd w:val="clear" w:color="auto" w:fill="EEECE1" w:themeFill="background2"/>
          </w:tcPr>
          <w:p w:rsidR="009A39F5" w:rsidRPr="009A39F5" w:rsidRDefault="009A39F5" w:rsidP="000B6618">
            <w:pPr>
              <w:spacing w:line="276" w:lineRule="auto"/>
              <w:rPr>
                <w:b/>
                <w:sz w:val="16"/>
              </w:rPr>
            </w:pPr>
            <w:r w:rsidRPr="009A39F5">
              <w:rPr>
                <w:b/>
                <w:sz w:val="16"/>
              </w:rPr>
              <w:t>Engagement</w:t>
            </w:r>
          </w:p>
        </w:tc>
        <w:tc>
          <w:tcPr>
            <w:tcW w:w="3969" w:type="dxa"/>
            <w:shd w:val="clear" w:color="auto" w:fill="EEECE1" w:themeFill="background2"/>
          </w:tcPr>
          <w:p w:rsidR="009A39F5" w:rsidRPr="009A39F5" w:rsidRDefault="00CA36A4" w:rsidP="00B95E5E">
            <w:pPr>
              <w:spacing w:line="276" w:lineRule="auto"/>
              <w:rPr>
                <w:b/>
                <w:sz w:val="16"/>
              </w:rPr>
            </w:pPr>
            <w:r>
              <w:rPr>
                <w:b/>
                <w:sz w:val="16"/>
              </w:rPr>
              <w:t>Contexte</w:t>
            </w:r>
            <w:r w:rsidR="00B95E5E">
              <w:rPr>
                <w:b/>
                <w:sz w:val="16"/>
              </w:rPr>
              <w:t xml:space="preserve"> et d</w:t>
            </w:r>
            <w:r w:rsidR="009A39F5" w:rsidRPr="009A39F5">
              <w:rPr>
                <w:b/>
                <w:sz w:val="16"/>
              </w:rPr>
              <w:t>escription de l’engagement</w:t>
            </w:r>
          </w:p>
        </w:tc>
        <w:tc>
          <w:tcPr>
            <w:tcW w:w="3118" w:type="dxa"/>
            <w:shd w:val="clear" w:color="auto" w:fill="EEECE1" w:themeFill="background2"/>
          </w:tcPr>
          <w:p w:rsidR="009A39F5" w:rsidRPr="009A39F5" w:rsidRDefault="009A39F5" w:rsidP="000B6618">
            <w:pPr>
              <w:spacing w:line="276" w:lineRule="auto"/>
              <w:rPr>
                <w:b/>
                <w:sz w:val="16"/>
              </w:rPr>
            </w:pPr>
            <w:r w:rsidRPr="009A39F5">
              <w:rPr>
                <w:b/>
                <w:sz w:val="16"/>
              </w:rPr>
              <w:t>Objectifs</w:t>
            </w:r>
          </w:p>
        </w:tc>
        <w:tc>
          <w:tcPr>
            <w:tcW w:w="1731" w:type="dxa"/>
            <w:shd w:val="clear" w:color="auto" w:fill="EEECE1" w:themeFill="background2"/>
          </w:tcPr>
          <w:p w:rsidR="009A39F5" w:rsidRPr="009A39F5" w:rsidRDefault="009A39F5" w:rsidP="000B6618">
            <w:pPr>
              <w:spacing w:line="276" w:lineRule="auto"/>
              <w:rPr>
                <w:b/>
                <w:sz w:val="16"/>
              </w:rPr>
            </w:pPr>
            <w:r w:rsidRPr="009A39F5">
              <w:rPr>
                <w:b/>
                <w:sz w:val="16"/>
              </w:rPr>
              <w:t>Réduction d’émissions escomptées</w:t>
            </w:r>
            <w:r w:rsidR="007A7D31">
              <w:rPr>
                <w:rStyle w:val="Appelnotedebasdep"/>
                <w:b/>
                <w:sz w:val="16"/>
              </w:rPr>
              <w:footnoteReference w:id="1"/>
            </w:r>
          </w:p>
        </w:tc>
      </w:tr>
      <w:tr w:rsidR="000B6618" w:rsidTr="00482049">
        <w:tc>
          <w:tcPr>
            <w:tcW w:w="1526" w:type="dxa"/>
          </w:tcPr>
          <w:p w:rsidR="009A39F5" w:rsidRDefault="001369A2" w:rsidP="000B6618">
            <w:pPr>
              <w:spacing w:line="276" w:lineRule="auto"/>
              <w:rPr>
                <w:b/>
                <w:sz w:val="16"/>
              </w:rPr>
            </w:pPr>
            <w:r>
              <w:rPr>
                <w:b/>
                <w:sz w:val="16"/>
              </w:rPr>
              <w:t>Produire 30</w:t>
            </w:r>
            <w:r w:rsidR="009A39F5" w:rsidRPr="009A39F5">
              <w:rPr>
                <w:b/>
                <w:sz w:val="16"/>
              </w:rPr>
              <w:t>% de son énergie (hors bois-énergie) par des énergies renouvelables</w:t>
            </w:r>
          </w:p>
          <w:p w:rsidR="002E6672" w:rsidRDefault="002E6672" w:rsidP="000B6618">
            <w:pPr>
              <w:spacing w:line="276" w:lineRule="auto"/>
              <w:rPr>
                <w:b/>
                <w:sz w:val="16"/>
              </w:rPr>
            </w:pPr>
          </w:p>
          <w:p w:rsidR="002E6672" w:rsidRPr="009A39F5" w:rsidRDefault="002E6672" w:rsidP="000B6618">
            <w:pPr>
              <w:spacing w:line="276" w:lineRule="auto"/>
              <w:rPr>
                <w:b/>
                <w:sz w:val="16"/>
              </w:rPr>
            </w:pPr>
            <w:r>
              <w:rPr>
                <w:b/>
                <w:sz w:val="16"/>
              </w:rPr>
              <w:t>(SE4ALL)</w:t>
            </w:r>
          </w:p>
        </w:tc>
        <w:tc>
          <w:tcPr>
            <w:tcW w:w="3969" w:type="dxa"/>
          </w:tcPr>
          <w:p w:rsidR="009A39F5" w:rsidRPr="009A39F5" w:rsidRDefault="009A39F5" w:rsidP="000B6618">
            <w:pPr>
              <w:spacing w:line="276" w:lineRule="auto"/>
              <w:rPr>
                <w:sz w:val="16"/>
              </w:rPr>
            </w:pPr>
            <w:r w:rsidRPr="009A39F5">
              <w:rPr>
                <w:sz w:val="16"/>
              </w:rPr>
              <w:t>Les trois sources d’</w:t>
            </w:r>
            <w:r w:rsidR="005F216B" w:rsidRPr="009A39F5">
              <w:rPr>
                <w:sz w:val="16"/>
              </w:rPr>
              <w:t>énergie</w:t>
            </w:r>
            <w:r w:rsidRPr="009A39F5">
              <w:rPr>
                <w:sz w:val="16"/>
              </w:rPr>
              <w:t xml:space="preserve"> qui composent le mix </w:t>
            </w:r>
            <w:r w:rsidR="005F216B" w:rsidRPr="009A39F5">
              <w:rPr>
                <w:sz w:val="16"/>
              </w:rPr>
              <w:t>énergétique</w:t>
            </w:r>
            <w:r w:rsidR="00CC13A2">
              <w:rPr>
                <w:sz w:val="16"/>
              </w:rPr>
              <w:t xml:space="preserve"> </w:t>
            </w:r>
            <w:r w:rsidR="005F216B" w:rsidRPr="009A39F5">
              <w:rPr>
                <w:sz w:val="16"/>
              </w:rPr>
              <w:t>guinéen</w:t>
            </w:r>
            <w:r w:rsidRPr="009A39F5">
              <w:rPr>
                <w:sz w:val="16"/>
              </w:rPr>
              <w:t xml:space="preserve"> (en 20</w:t>
            </w:r>
            <w:r w:rsidR="003C1DC5">
              <w:rPr>
                <w:sz w:val="16"/>
              </w:rPr>
              <w:t>11) sont : la biomasse (pour 77</w:t>
            </w:r>
            <w:r w:rsidRPr="009A39F5">
              <w:rPr>
                <w:sz w:val="16"/>
              </w:rPr>
              <w:t xml:space="preserve">%) ; les hydrocarbures </w:t>
            </w:r>
            <w:r w:rsidR="005F216B" w:rsidRPr="009A39F5">
              <w:rPr>
                <w:sz w:val="16"/>
              </w:rPr>
              <w:t>import</w:t>
            </w:r>
            <w:r w:rsidR="005F216B">
              <w:rPr>
                <w:sz w:val="16"/>
              </w:rPr>
              <w:t>é</w:t>
            </w:r>
            <w:r w:rsidR="005F216B" w:rsidRPr="009A39F5">
              <w:rPr>
                <w:sz w:val="16"/>
              </w:rPr>
              <w:t>s</w:t>
            </w:r>
            <w:r w:rsidR="003C1DC5">
              <w:rPr>
                <w:sz w:val="16"/>
              </w:rPr>
              <w:t xml:space="preserve"> (pour 22</w:t>
            </w:r>
            <w:r w:rsidRPr="009A39F5">
              <w:rPr>
                <w:sz w:val="16"/>
              </w:rPr>
              <w:t>%), l’</w:t>
            </w:r>
            <w:r w:rsidR="005F216B" w:rsidRPr="009A39F5">
              <w:rPr>
                <w:sz w:val="16"/>
              </w:rPr>
              <w:t>hydroélectricité</w:t>
            </w:r>
            <w:r w:rsidR="003C1DC5">
              <w:rPr>
                <w:sz w:val="16"/>
              </w:rPr>
              <w:t>́ (pour environ 1</w:t>
            </w:r>
            <w:r w:rsidRPr="009A39F5">
              <w:rPr>
                <w:sz w:val="16"/>
              </w:rPr>
              <w:t xml:space="preserve">%) et les </w:t>
            </w:r>
            <w:r w:rsidR="005F216B" w:rsidRPr="009A39F5">
              <w:rPr>
                <w:sz w:val="16"/>
              </w:rPr>
              <w:t>énergies</w:t>
            </w:r>
            <w:r w:rsidRPr="009A39F5">
              <w:rPr>
                <w:sz w:val="16"/>
              </w:rPr>
              <w:t xml:space="preserve"> nouvelles </w:t>
            </w:r>
            <w:r w:rsidR="00E33D5B">
              <w:rPr>
                <w:sz w:val="16"/>
              </w:rPr>
              <w:t>et</w:t>
            </w:r>
            <w:r w:rsidRPr="009A39F5">
              <w:rPr>
                <w:sz w:val="16"/>
              </w:rPr>
              <w:t xml:space="preserve"> renouvelables comme le solaire, l’</w:t>
            </w:r>
            <w:r w:rsidR="005F216B" w:rsidRPr="009A39F5">
              <w:rPr>
                <w:sz w:val="16"/>
              </w:rPr>
              <w:t>éolien</w:t>
            </w:r>
            <w:r w:rsidRPr="009A39F5">
              <w:rPr>
                <w:sz w:val="16"/>
              </w:rPr>
              <w:t xml:space="preserve"> et le biogaz (pour environ 0,02 %). </w:t>
            </w:r>
          </w:p>
          <w:p w:rsidR="009A39F5" w:rsidRPr="009A39F5" w:rsidRDefault="009A39F5" w:rsidP="000B6618">
            <w:pPr>
              <w:spacing w:line="276" w:lineRule="auto"/>
              <w:rPr>
                <w:sz w:val="16"/>
              </w:rPr>
            </w:pPr>
          </w:p>
          <w:p w:rsidR="009A39F5" w:rsidRPr="009A39F5" w:rsidRDefault="009A39F5" w:rsidP="00482049">
            <w:pPr>
              <w:spacing w:line="276" w:lineRule="auto"/>
              <w:rPr>
                <w:sz w:val="16"/>
              </w:rPr>
            </w:pPr>
            <w:r w:rsidRPr="009A39F5">
              <w:rPr>
                <w:sz w:val="16"/>
              </w:rPr>
              <w:t xml:space="preserve">La </w:t>
            </w:r>
            <w:r w:rsidR="005F216B" w:rsidRPr="009A39F5">
              <w:rPr>
                <w:sz w:val="16"/>
              </w:rPr>
              <w:t>Guinée</w:t>
            </w:r>
            <w:r w:rsidR="00CC13A2">
              <w:rPr>
                <w:sz w:val="16"/>
              </w:rPr>
              <w:t xml:space="preserve"> </w:t>
            </w:r>
            <w:r w:rsidR="005F216B" w:rsidRPr="009A39F5">
              <w:rPr>
                <w:sz w:val="16"/>
              </w:rPr>
              <w:t>présente</w:t>
            </w:r>
            <w:r w:rsidRPr="009A39F5">
              <w:rPr>
                <w:sz w:val="16"/>
              </w:rPr>
              <w:t xml:space="preserve"> un </w:t>
            </w:r>
            <w:r w:rsidR="005F216B" w:rsidRPr="009A39F5">
              <w:rPr>
                <w:sz w:val="16"/>
              </w:rPr>
              <w:t>déficit</w:t>
            </w:r>
            <w:r w:rsidRPr="009A39F5">
              <w:rPr>
                <w:sz w:val="16"/>
              </w:rPr>
              <w:t xml:space="preserve"> de production </w:t>
            </w:r>
            <w:r w:rsidR="005F216B" w:rsidRPr="009A39F5">
              <w:rPr>
                <w:sz w:val="16"/>
              </w:rPr>
              <w:t>électrique</w:t>
            </w:r>
            <w:r w:rsidRPr="009A39F5">
              <w:rPr>
                <w:sz w:val="16"/>
              </w:rPr>
              <w:t xml:space="preserve"> structurel et croissant sous l’effet conjugué d’une augmentation rapide de la demande (qui devrait encore s’</w:t>
            </w:r>
            <w:r w:rsidR="005F216B" w:rsidRPr="009A39F5">
              <w:rPr>
                <w:sz w:val="16"/>
              </w:rPr>
              <w:t>accélérer</w:t>
            </w:r>
            <w:r w:rsidRPr="009A39F5">
              <w:rPr>
                <w:sz w:val="16"/>
              </w:rPr>
              <w:t xml:space="preserve"> dans les </w:t>
            </w:r>
            <w:r w:rsidR="005F216B" w:rsidRPr="009A39F5">
              <w:rPr>
                <w:sz w:val="16"/>
              </w:rPr>
              <w:t>années</w:t>
            </w:r>
            <w:r w:rsidRPr="009A39F5">
              <w:rPr>
                <w:sz w:val="16"/>
              </w:rPr>
              <w:t xml:space="preserve"> </w:t>
            </w:r>
            <w:proofErr w:type="spellStart"/>
            <w:r w:rsidRPr="009A39F5">
              <w:rPr>
                <w:sz w:val="16"/>
              </w:rPr>
              <w:t>a</w:t>
            </w:r>
            <w:proofErr w:type="spellEnd"/>
            <w:r w:rsidRPr="009A39F5">
              <w:rPr>
                <w:sz w:val="16"/>
              </w:rPr>
              <w:t>̀ venir</w:t>
            </w:r>
            <w:r w:rsidR="00965A14">
              <w:rPr>
                <w:sz w:val="16"/>
              </w:rPr>
              <w:t>, notamment</w:t>
            </w:r>
            <w:r w:rsidRPr="009A39F5">
              <w:rPr>
                <w:sz w:val="16"/>
              </w:rPr>
              <w:t xml:space="preserve"> avec le développement </w:t>
            </w:r>
            <w:r w:rsidR="005F216B" w:rsidRPr="009A39F5">
              <w:rPr>
                <w:sz w:val="16"/>
              </w:rPr>
              <w:t>prévu</w:t>
            </w:r>
            <w:r w:rsidRPr="009A39F5">
              <w:rPr>
                <w:sz w:val="16"/>
              </w:rPr>
              <w:t xml:space="preserve"> de sites miniers d’importance majeure) et d’une progression lente de l’offre due au manque d’investissement et à la </w:t>
            </w:r>
            <w:r w:rsidR="005F216B" w:rsidRPr="009A39F5">
              <w:rPr>
                <w:sz w:val="16"/>
              </w:rPr>
              <w:t>dégradation</w:t>
            </w:r>
            <w:r w:rsidRPr="009A39F5">
              <w:rPr>
                <w:sz w:val="16"/>
              </w:rPr>
              <w:t xml:space="preserve"> progressive de l’outil de production. L’objectif du gouvernement est pourtant </w:t>
            </w:r>
            <w:r w:rsidR="003C1DC5">
              <w:rPr>
                <w:sz w:val="16"/>
              </w:rPr>
              <w:t xml:space="preserve">de rendre l’électricité disponible à </w:t>
            </w:r>
            <w:r w:rsidRPr="009A39F5">
              <w:rPr>
                <w:sz w:val="16"/>
              </w:rPr>
              <w:t>100% de sa population en 2030 (contre 18,1% en 2011).</w:t>
            </w:r>
          </w:p>
        </w:tc>
        <w:tc>
          <w:tcPr>
            <w:tcW w:w="3118" w:type="dxa"/>
          </w:tcPr>
          <w:p w:rsidR="009A39F5" w:rsidRPr="009A39F5" w:rsidRDefault="009A39F5" w:rsidP="000B6618">
            <w:pPr>
              <w:spacing w:line="276" w:lineRule="auto"/>
              <w:rPr>
                <w:sz w:val="16"/>
                <w:szCs w:val="16"/>
              </w:rPr>
            </w:pPr>
            <w:r w:rsidRPr="009A39F5">
              <w:rPr>
                <w:sz w:val="16"/>
                <w:szCs w:val="16"/>
              </w:rPr>
              <w:t xml:space="preserve">La Guinée, conformément aux travaux menés dans le cadre du programme SE4ALL, ambitionne d’ici à 2030 : </w:t>
            </w:r>
          </w:p>
          <w:p w:rsidR="009A39F5" w:rsidRPr="009A39F5" w:rsidRDefault="009A39F5" w:rsidP="00E8127D">
            <w:pPr>
              <w:numPr>
                <w:ilvl w:val="0"/>
                <w:numId w:val="9"/>
              </w:numPr>
              <w:spacing w:after="0" w:line="276" w:lineRule="auto"/>
              <w:ind w:left="258" w:hanging="224"/>
              <w:contextualSpacing/>
              <w:rPr>
                <w:sz w:val="16"/>
                <w:szCs w:val="16"/>
              </w:rPr>
            </w:pPr>
            <w:r w:rsidRPr="009A39F5">
              <w:rPr>
                <w:sz w:val="16"/>
                <w:szCs w:val="16"/>
              </w:rPr>
              <w:t>La mise en service de 1650 MW de centrales hydroélectriques (127MW en 2011) ;</w:t>
            </w:r>
          </w:p>
          <w:p w:rsidR="009A39F5" w:rsidRPr="009A39F5" w:rsidRDefault="009A39F5" w:rsidP="00E8127D">
            <w:pPr>
              <w:numPr>
                <w:ilvl w:val="0"/>
                <w:numId w:val="9"/>
              </w:numPr>
              <w:spacing w:after="0" w:line="276" w:lineRule="auto"/>
              <w:ind w:left="258" w:hanging="224"/>
              <w:contextualSpacing/>
              <w:rPr>
                <w:sz w:val="16"/>
                <w:szCs w:val="16"/>
              </w:rPr>
            </w:pPr>
            <w:r w:rsidRPr="009A39F5">
              <w:rPr>
                <w:sz w:val="16"/>
                <w:szCs w:val="16"/>
              </w:rPr>
              <w:t>L’installation de 47MW supplémentaire</w:t>
            </w:r>
            <w:r>
              <w:rPr>
                <w:sz w:val="16"/>
                <w:szCs w:val="16"/>
              </w:rPr>
              <w:t>s (3MW en 2011) d’</w:t>
            </w:r>
            <w:r w:rsidR="005F216B">
              <w:rPr>
                <w:sz w:val="16"/>
                <w:szCs w:val="16"/>
              </w:rPr>
              <w:t>énergie</w:t>
            </w:r>
            <w:r>
              <w:rPr>
                <w:sz w:val="16"/>
                <w:szCs w:val="16"/>
              </w:rPr>
              <w:t xml:space="preserve"> solaire et </w:t>
            </w:r>
            <w:r w:rsidR="005F216B">
              <w:rPr>
                <w:sz w:val="16"/>
                <w:szCs w:val="16"/>
              </w:rPr>
              <w:t>éolienne</w:t>
            </w:r>
            <w:r w:rsidRPr="009A39F5">
              <w:rPr>
                <w:sz w:val="16"/>
                <w:szCs w:val="16"/>
              </w:rPr>
              <w:t>;</w:t>
            </w:r>
          </w:p>
          <w:p w:rsidR="009A39F5" w:rsidRPr="009A39F5" w:rsidRDefault="009A39F5" w:rsidP="00E8127D">
            <w:pPr>
              <w:numPr>
                <w:ilvl w:val="0"/>
                <w:numId w:val="9"/>
              </w:numPr>
              <w:spacing w:after="0" w:line="276" w:lineRule="auto"/>
              <w:ind w:left="258" w:hanging="224"/>
              <w:contextualSpacing/>
              <w:rPr>
                <w:sz w:val="16"/>
                <w:szCs w:val="16"/>
              </w:rPr>
            </w:pPr>
            <w:r w:rsidRPr="009A39F5">
              <w:rPr>
                <w:sz w:val="16"/>
                <w:szCs w:val="16"/>
              </w:rPr>
              <w:t xml:space="preserve">L’accroissement de l’offre </w:t>
            </w:r>
            <w:r>
              <w:rPr>
                <w:sz w:val="16"/>
                <w:szCs w:val="16"/>
              </w:rPr>
              <w:t xml:space="preserve">en </w:t>
            </w:r>
            <w:r w:rsidRPr="009A39F5">
              <w:rPr>
                <w:sz w:val="16"/>
                <w:szCs w:val="16"/>
              </w:rPr>
              <w:t xml:space="preserve">biocarburants et autres </w:t>
            </w:r>
            <w:r w:rsidR="005F216B" w:rsidRPr="009A39F5">
              <w:rPr>
                <w:sz w:val="16"/>
                <w:szCs w:val="16"/>
              </w:rPr>
              <w:t>énergies</w:t>
            </w:r>
            <w:r w:rsidRPr="009A39F5">
              <w:rPr>
                <w:sz w:val="16"/>
                <w:szCs w:val="16"/>
              </w:rPr>
              <w:t xml:space="preserve"> modernes (40 </w:t>
            </w:r>
            <w:proofErr w:type="spellStart"/>
            <w:r w:rsidRPr="009A39F5">
              <w:rPr>
                <w:sz w:val="16"/>
                <w:szCs w:val="16"/>
              </w:rPr>
              <w:t>ktep</w:t>
            </w:r>
            <w:proofErr w:type="spellEnd"/>
            <w:r w:rsidRPr="009A39F5">
              <w:rPr>
                <w:sz w:val="16"/>
                <w:szCs w:val="16"/>
              </w:rPr>
              <w:t xml:space="preserve"> de butane et biogaz, 3000 </w:t>
            </w:r>
            <w:proofErr w:type="spellStart"/>
            <w:r w:rsidRPr="009A39F5">
              <w:rPr>
                <w:sz w:val="16"/>
                <w:szCs w:val="16"/>
              </w:rPr>
              <w:t>kWc</w:t>
            </w:r>
            <w:proofErr w:type="spellEnd"/>
            <w:r w:rsidRPr="009A39F5">
              <w:rPr>
                <w:sz w:val="16"/>
                <w:szCs w:val="16"/>
              </w:rPr>
              <w:t xml:space="preserve"> de biocarburant)</w:t>
            </w:r>
            <w:r w:rsidR="003C1DC5">
              <w:rPr>
                <w:sz w:val="16"/>
                <w:szCs w:val="16"/>
              </w:rPr>
              <w:t>.</w:t>
            </w:r>
          </w:p>
          <w:p w:rsidR="009A39F5" w:rsidRPr="009A39F5" w:rsidRDefault="009A39F5" w:rsidP="000B6618">
            <w:pPr>
              <w:spacing w:line="276" w:lineRule="auto"/>
              <w:rPr>
                <w:b/>
                <w:sz w:val="16"/>
                <w:szCs w:val="16"/>
              </w:rPr>
            </w:pPr>
          </w:p>
        </w:tc>
        <w:tc>
          <w:tcPr>
            <w:tcW w:w="1731" w:type="dxa"/>
          </w:tcPr>
          <w:p w:rsidR="009A39F5" w:rsidRPr="00444DAC" w:rsidRDefault="009A39F5" w:rsidP="000B6618">
            <w:pPr>
              <w:spacing w:line="276" w:lineRule="auto"/>
              <w:rPr>
                <w:b/>
                <w:sz w:val="16"/>
                <w:szCs w:val="16"/>
              </w:rPr>
            </w:pPr>
            <w:r w:rsidRPr="009A39F5">
              <w:rPr>
                <w:sz w:val="16"/>
                <w:szCs w:val="16"/>
              </w:rPr>
              <w:t xml:space="preserve">Le potentiel d’atténuation de cet engagement est évalué à </w:t>
            </w:r>
            <w:r w:rsidRPr="00444DAC">
              <w:rPr>
                <w:b/>
                <w:sz w:val="16"/>
                <w:szCs w:val="16"/>
              </w:rPr>
              <w:t>34 Mt CO2e cumulées sur les 15 prochaines années.</w:t>
            </w:r>
          </w:p>
          <w:p w:rsidR="009A39F5" w:rsidRPr="009A39F5" w:rsidRDefault="009A39F5" w:rsidP="000B6618">
            <w:pPr>
              <w:spacing w:line="276" w:lineRule="auto"/>
              <w:rPr>
                <w:b/>
                <w:sz w:val="16"/>
                <w:szCs w:val="16"/>
              </w:rPr>
            </w:pPr>
          </w:p>
        </w:tc>
      </w:tr>
      <w:tr w:rsidR="000B6618" w:rsidTr="00482049">
        <w:tc>
          <w:tcPr>
            <w:tcW w:w="1526" w:type="dxa"/>
            <w:tcBorders>
              <w:bottom w:val="single" w:sz="4" w:space="0" w:color="auto"/>
            </w:tcBorders>
          </w:tcPr>
          <w:p w:rsidR="009A39F5" w:rsidRPr="00387646" w:rsidRDefault="009A39F5" w:rsidP="000B6618">
            <w:pPr>
              <w:spacing w:line="276" w:lineRule="auto"/>
              <w:rPr>
                <w:b/>
                <w:sz w:val="16"/>
                <w:szCs w:val="16"/>
              </w:rPr>
            </w:pPr>
            <w:r w:rsidRPr="009A39F5">
              <w:rPr>
                <w:b/>
                <w:sz w:val="16"/>
                <w:szCs w:val="16"/>
              </w:rPr>
              <w:t>Soutenir la diffusion de technologie</w:t>
            </w:r>
            <w:r w:rsidR="003C1DC5">
              <w:rPr>
                <w:b/>
                <w:sz w:val="16"/>
                <w:szCs w:val="16"/>
              </w:rPr>
              <w:t>s</w:t>
            </w:r>
            <w:r w:rsidR="00CC13A2">
              <w:rPr>
                <w:b/>
                <w:sz w:val="16"/>
                <w:szCs w:val="16"/>
              </w:rPr>
              <w:t xml:space="preserve"> </w:t>
            </w:r>
            <w:r w:rsidR="003C1DC5">
              <w:rPr>
                <w:b/>
                <w:sz w:val="16"/>
                <w:szCs w:val="16"/>
              </w:rPr>
              <w:t>et</w:t>
            </w:r>
            <w:r w:rsidRPr="009A39F5">
              <w:rPr>
                <w:b/>
                <w:sz w:val="16"/>
                <w:szCs w:val="16"/>
              </w:rPr>
              <w:t xml:space="preserve"> pratiques économes ou alternatives au bois-</w:t>
            </w:r>
            <w:r w:rsidRPr="00387646">
              <w:rPr>
                <w:b/>
                <w:sz w:val="16"/>
                <w:szCs w:val="16"/>
              </w:rPr>
              <w:t xml:space="preserve">énergie et charbon de </w:t>
            </w:r>
            <w:r w:rsidRPr="00387646">
              <w:rPr>
                <w:b/>
                <w:sz w:val="16"/>
                <w:szCs w:val="16"/>
              </w:rPr>
              <w:lastRenderedPageBreak/>
              <w:t>bois</w:t>
            </w:r>
          </w:p>
          <w:p w:rsidR="009A39F5" w:rsidRDefault="009A39F5" w:rsidP="000B6618">
            <w:pPr>
              <w:spacing w:line="276" w:lineRule="auto"/>
              <w:rPr>
                <w:b/>
                <w:sz w:val="16"/>
                <w:szCs w:val="16"/>
              </w:rPr>
            </w:pPr>
          </w:p>
          <w:p w:rsidR="002E6672" w:rsidRPr="00511CB8" w:rsidRDefault="002E6672" w:rsidP="000B6618">
            <w:pPr>
              <w:spacing w:line="276" w:lineRule="auto"/>
              <w:rPr>
                <w:b/>
                <w:sz w:val="16"/>
                <w:szCs w:val="16"/>
              </w:rPr>
            </w:pPr>
            <w:r w:rsidRPr="00511CB8">
              <w:rPr>
                <w:b/>
                <w:sz w:val="16"/>
              </w:rPr>
              <w:t>(SE4ALL</w:t>
            </w:r>
            <w:r w:rsidR="00511CB8">
              <w:rPr>
                <w:b/>
                <w:sz w:val="16"/>
              </w:rPr>
              <w:t xml:space="preserve"> et Stratégie biodiversité</w:t>
            </w:r>
            <w:r w:rsidRPr="00511CB8">
              <w:rPr>
                <w:b/>
                <w:sz w:val="16"/>
              </w:rPr>
              <w:t>)</w:t>
            </w:r>
          </w:p>
        </w:tc>
        <w:tc>
          <w:tcPr>
            <w:tcW w:w="3969" w:type="dxa"/>
            <w:tcBorders>
              <w:bottom w:val="single" w:sz="4" w:space="0" w:color="auto"/>
            </w:tcBorders>
          </w:tcPr>
          <w:p w:rsidR="00965A14" w:rsidRPr="0053181C" w:rsidRDefault="009A39F5" w:rsidP="00965A14">
            <w:pPr>
              <w:spacing w:line="276" w:lineRule="auto"/>
              <w:rPr>
                <w:sz w:val="16"/>
                <w:szCs w:val="16"/>
              </w:rPr>
            </w:pPr>
            <w:r w:rsidRPr="0053181C">
              <w:rPr>
                <w:sz w:val="16"/>
                <w:szCs w:val="16"/>
              </w:rPr>
              <w:lastRenderedPageBreak/>
              <w:t xml:space="preserve">La biomasse-énergie (essentiellement </w:t>
            </w:r>
            <w:r w:rsidR="005F216B" w:rsidRPr="0053181C">
              <w:rPr>
                <w:sz w:val="16"/>
                <w:szCs w:val="16"/>
              </w:rPr>
              <w:t>constituée</w:t>
            </w:r>
            <w:r w:rsidRPr="0053181C">
              <w:rPr>
                <w:sz w:val="16"/>
                <w:szCs w:val="16"/>
              </w:rPr>
              <w:t xml:space="preserve"> de bois de chauffe et charbon de bois) </w:t>
            </w:r>
            <w:r w:rsidR="005F216B" w:rsidRPr="0053181C">
              <w:rPr>
                <w:sz w:val="16"/>
                <w:szCs w:val="16"/>
              </w:rPr>
              <w:t>représente</w:t>
            </w:r>
            <w:r w:rsidRPr="0053181C">
              <w:rPr>
                <w:sz w:val="16"/>
                <w:szCs w:val="16"/>
              </w:rPr>
              <w:t xml:space="preserve"> 77 % de la consommation primaire brute en 2011 et est </w:t>
            </w:r>
            <w:r w:rsidR="005F216B" w:rsidRPr="0053181C">
              <w:rPr>
                <w:sz w:val="16"/>
                <w:szCs w:val="16"/>
              </w:rPr>
              <w:t>utilisée</w:t>
            </w:r>
            <w:r w:rsidRPr="0053181C">
              <w:rPr>
                <w:sz w:val="16"/>
                <w:szCs w:val="16"/>
              </w:rPr>
              <w:t xml:space="preserve"> par plus de 85 % des </w:t>
            </w:r>
            <w:r w:rsidR="005F216B" w:rsidRPr="0053181C">
              <w:rPr>
                <w:sz w:val="16"/>
                <w:szCs w:val="16"/>
              </w:rPr>
              <w:t>ménages</w:t>
            </w:r>
            <w:r w:rsidRPr="0053181C">
              <w:rPr>
                <w:sz w:val="16"/>
                <w:szCs w:val="16"/>
              </w:rPr>
              <w:t xml:space="preserve"> pour qui elle constitue la principale source d’</w:t>
            </w:r>
            <w:r w:rsidR="005F216B" w:rsidRPr="0053181C">
              <w:rPr>
                <w:sz w:val="16"/>
                <w:szCs w:val="16"/>
              </w:rPr>
              <w:t>énergie</w:t>
            </w:r>
            <w:r w:rsidRPr="0053181C">
              <w:rPr>
                <w:sz w:val="16"/>
                <w:szCs w:val="16"/>
              </w:rPr>
              <w:t>.</w:t>
            </w:r>
            <w:r w:rsidR="00965A14" w:rsidRPr="0053181C">
              <w:rPr>
                <w:sz w:val="16"/>
                <w:szCs w:val="16"/>
              </w:rPr>
              <w:t xml:space="preserve"> Cette situation se traduit par la perte progressive du couvert forestier des bassins d’approvisionnement urbain</w:t>
            </w:r>
            <w:r w:rsidR="003C1DC5" w:rsidRPr="0053181C">
              <w:rPr>
                <w:sz w:val="16"/>
                <w:szCs w:val="16"/>
              </w:rPr>
              <w:t xml:space="preserve"> et</w:t>
            </w:r>
            <w:r w:rsidR="00965A14" w:rsidRPr="0053181C">
              <w:rPr>
                <w:sz w:val="16"/>
                <w:szCs w:val="16"/>
              </w:rPr>
              <w:t xml:space="preserve"> la dégradation des milieux </w:t>
            </w:r>
            <w:r w:rsidR="00965A14" w:rsidRPr="0053181C">
              <w:rPr>
                <w:sz w:val="16"/>
                <w:szCs w:val="16"/>
              </w:rPr>
              <w:lastRenderedPageBreak/>
              <w:t xml:space="preserve">(particulièrement des sols). </w:t>
            </w:r>
          </w:p>
          <w:p w:rsidR="009A39F5" w:rsidRPr="0053181C" w:rsidRDefault="009A39F5" w:rsidP="000B6618">
            <w:pPr>
              <w:spacing w:line="276" w:lineRule="auto"/>
              <w:rPr>
                <w:sz w:val="16"/>
                <w:szCs w:val="16"/>
              </w:rPr>
            </w:pPr>
          </w:p>
          <w:p w:rsidR="009A39F5" w:rsidRPr="0053181C" w:rsidRDefault="009A39F5" w:rsidP="000B6618">
            <w:pPr>
              <w:spacing w:line="276" w:lineRule="auto"/>
              <w:rPr>
                <w:sz w:val="16"/>
                <w:szCs w:val="16"/>
              </w:rPr>
            </w:pPr>
            <w:r w:rsidRPr="0053181C">
              <w:rPr>
                <w:sz w:val="16"/>
                <w:szCs w:val="16"/>
              </w:rPr>
              <w:t xml:space="preserve">Les rendements d’utilisation des combustibles traditionnels sont </w:t>
            </w:r>
            <w:r w:rsidR="005F216B" w:rsidRPr="0053181C">
              <w:rPr>
                <w:sz w:val="16"/>
                <w:szCs w:val="16"/>
              </w:rPr>
              <w:t>très</w:t>
            </w:r>
            <w:r w:rsidR="003C1DC5" w:rsidRPr="0053181C">
              <w:rPr>
                <w:sz w:val="16"/>
                <w:szCs w:val="16"/>
              </w:rPr>
              <w:t xml:space="preserve"> faibles (entre 5% et 15</w:t>
            </w:r>
            <w:r w:rsidRPr="0053181C">
              <w:rPr>
                <w:sz w:val="16"/>
                <w:szCs w:val="16"/>
              </w:rPr>
              <w:t xml:space="preserve">% de rendement énergétique en fonction des technologies). Les </w:t>
            </w:r>
            <w:r w:rsidR="005F216B" w:rsidRPr="0053181C">
              <w:rPr>
                <w:sz w:val="16"/>
                <w:szCs w:val="16"/>
              </w:rPr>
              <w:t>filières</w:t>
            </w:r>
            <w:r w:rsidRPr="0053181C">
              <w:rPr>
                <w:sz w:val="16"/>
                <w:szCs w:val="16"/>
              </w:rPr>
              <w:t xml:space="preserve"> biomasse-énergie recèlent plusieurs domaines importants d’application de technologies et de savoir-faire pour améliorer l’efficacité́ énergétique (production et consommation).</w:t>
            </w:r>
          </w:p>
          <w:p w:rsidR="009A39F5" w:rsidRPr="0053181C" w:rsidRDefault="009A39F5" w:rsidP="000B6618">
            <w:pPr>
              <w:spacing w:line="276" w:lineRule="auto"/>
              <w:rPr>
                <w:sz w:val="16"/>
                <w:szCs w:val="16"/>
              </w:rPr>
            </w:pPr>
          </w:p>
          <w:p w:rsidR="00CA36A4" w:rsidRPr="0053181C" w:rsidRDefault="00CA36A4" w:rsidP="001915A4">
            <w:pPr>
              <w:spacing w:line="276" w:lineRule="auto"/>
              <w:rPr>
                <w:sz w:val="16"/>
                <w:szCs w:val="16"/>
              </w:rPr>
            </w:pPr>
            <w:r w:rsidRPr="0053181C">
              <w:rPr>
                <w:sz w:val="16"/>
                <w:szCs w:val="16"/>
              </w:rPr>
              <w:t xml:space="preserve">Plusieurs programmes de diffusion de foyers </w:t>
            </w:r>
            <w:r w:rsidR="00CC13A2" w:rsidRPr="0053181C">
              <w:rPr>
                <w:sz w:val="16"/>
                <w:szCs w:val="16"/>
              </w:rPr>
              <w:t>améliorés</w:t>
            </w:r>
            <w:r w:rsidRPr="0053181C">
              <w:rPr>
                <w:sz w:val="16"/>
                <w:szCs w:val="16"/>
              </w:rPr>
              <w:t xml:space="preserve"> ont </w:t>
            </w:r>
            <w:r w:rsidR="005F216B" w:rsidRPr="0053181C">
              <w:rPr>
                <w:sz w:val="16"/>
                <w:szCs w:val="16"/>
              </w:rPr>
              <w:t>été</w:t>
            </w:r>
            <w:r w:rsidRPr="0053181C">
              <w:rPr>
                <w:sz w:val="16"/>
                <w:szCs w:val="16"/>
              </w:rPr>
              <w:t>́ élaboré</w:t>
            </w:r>
            <w:proofErr w:type="spellStart"/>
            <w:r w:rsidRPr="0053181C">
              <w:rPr>
                <w:sz w:val="16"/>
                <w:szCs w:val="16"/>
              </w:rPr>
              <w:t>s a</w:t>
            </w:r>
            <w:proofErr w:type="spellEnd"/>
            <w:r w:rsidRPr="0053181C">
              <w:rPr>
                <w:sz w:val="16"/>
                <w:szCs w:val="16"/>
              </w:rPr>
              <w:t xml:space="preserve">̀ cet effet et mis en œuvre depuis 1985, ainsi que des politiques de gestion durable de la biomasse. C’est en 1998 que le Gouvernement </w:t>
            </w:r>
            <w:r w:rsidR="005F216B" w:rsidRPr="0053181C">
              <w:rPr>
                <w:sz w:val="16"/>
                <w:szCs w:val="16"/>
              </w:rPr>
              <w:t>guinéen</w:t>
            </w:r>
            <w:r w:rsidRPr="0053181C">
              <w:rPr>
                <w:sz w:val="16"/>
                <w:szCs w:val="16"/>
              </w:rPr>
              <w:t xml:space="preserve"> a </w:t>
            </w:r>
            <w:r w:rsidR="00CC13A2" w:rsidRPr="0053181C">
              <w:rPr>
                <w:sz w:val="16"/>
                <w:szCs w:val="16"/>
              </w:rPr>
              <w:t>adopté</w:t>
            </w:r>
            <w:r w:rsidRPr="0053181C">
              <w:rPr>
                <w:sz w:val="16"/>
                <w:szCs w:val="16"/>
              </w:rPr>
              <w:t xml:space="preserve">́ une politique sectorielle de gestion des </w:t>
            </w:r>
            <w:r w:rsidR="005F216B" w:rsidRPr="0053181C">
              <w:rPr>
                <w:sz w:val="16"/>
                <w:szCs w:val="16"/>
              </w:rPr>
              <w:t>énergies</w:t>
            </w:r>
            <w:r w:rsidRPr="0053181C">
              <w:rPr>
                <w:sz w:val="16"/>
                <w:szCs w:val="16"/>
              </w:rPr>
              <w:t xml:space="preserve"> traditionnelles dont une composante est de permettre l’</w:t>
            </w:r>
            <w:r w:rsidR="005F216B" w:rsidRPr="0053181C">
              <w:rPr>
                <w:sz w:val="16"/>
                <w:szCs w:val="16"/>
              </w:rPr>
              <w:t>amélioration</w:t>
            </w:r>
            <w:r w:rsidRPr="0053181C">
              <w:rPr>
                <w:sz w:val="16"/>
                <w:szCs w:val="16"/>
              </w:rPr>
              <w:t xml:space="preserve"> des </w:t>
            </w:r>
            <w:r w:rsidR="005F216B" w:rsidRPr="0053181C">
              <w:rPr>
                <w:sz w:val="16"/>
                <w:szCs w:val="16"/>
              </w:rPr>
              <w:t>équipements</w:t>
            </w:r>
            <w:r w:rsidRPr="0053181C">
              <w:rPr>
                <w:sz w:val="16"/>
                <w:szCs w:val="16"/>
              </w:rPr>
              <w:t xml:space="preserve"> de carbonisation pour la production de charbon de bois. Ces politiques ont permis de diffuser 256 711 foyers, ce qui a permis une </w:t>
            </w:r>
            <w:r w:rsidR="005F216B" w:rsidRPr="0053181C">
              <w:rPr>
                <w:sz w:val="16"/>
                <w:szCs w:val="16"/>
              </w:rPr>
              <w:t>économie</w:t>
            </w:r>
            <w:r w:rsidRPr="0053181C">
              <w:rPr>
                <w:sz w:val="16"/>
                <w:szCs w:val="16"/>
              </w:rPr>
              <w:t xml:space="preserve"> de 506 353 tonnes de bois </w:t>
            </w:r>
            <w:r w:rsidR="005F216B" w:rsidRPr="0053181C">
              <w:rPr>
                <w:sz w:val="16"/>
                <w:szCs w:val="16"/>
              </w:rPr>
              <w:t>énergie</w:t>
            </w:r>
            <w:r w:rsidRPr="0053181C">
              <w:rPr>
                <w:sz w:val="16"/>
                <w:szCs w:val="16"/>
              </w:rPr>
              <w:t>, soit 6 575 ha de couvert sauvegardé. Le</w:t>
            </w:r>
            <w:r w:rsidR="001915A4" w:rsidRPr="0053181C">
              <w:rPr>
                <w:sz w:val="16"/>
                <w:szCs w:val="16"/>
              </w:rPr>
              <w:t xml:space="preserve"> Programme intégré d’accès aux services énergétiques modernes (</w:t>
            </w:r>
            <w:r w:rsidRPr="0053181C">
              <w:rPr>
                <w:sz w:val="16"/>
                <w:szCs w:val="16"/>
              </w:rPr>
              <w:t>P</w:t>
            </w:r>
            <w:r w:rsidR="001915A4" w:rsidRPr="0053181C">
              <w:rPr>
                <w:sz w:val="16"/>
                <w:szCs w:val="16"/>
              </w:rPr>
              <w:t>RONIASE</w:t>
            </w:r>
            <w:proofErr w:type="gramStart"/>
            <w:r w:rsidR="001915A4" w:rsidRPr="0053181C">
              <w:rPr>
                <w:sz w:val="16"/>
                <w:szCs w:val="16"/>
              </w:rPr>
              <w:t>)</w:t>
            </w:r>
            <w:r w:rsidR="005F216B" w:rsidRPr="0053181C">
              <w:rPr>
                <w:sz w:val="16"/>
                <w:szCs w:val="16"/>
              </w:rPr>
              <w:t>prévoit</w:t>
            </w:r>
            <w:proofErr w:type="gramEnd"/>
            <w:r w:rsidRPr="0053181C">
              <w:rPr>
                <w:sz w:val="16"/>
                <w:szCs w:val="16"/>
              </w:rPr>
              <w:t xml:space="preserve"> à l’horizon 2015, de diffuser 10 000 foyers </w:t>
            </w:r>
            <w:r w:rsidR="005F216B" w:rsidRPr="0053181C">
              <w:rPr>
                <w:sz w:val="16"/>
                <w:szCs w:val="16"/>
              </w:rPr>
              <w:t>améliorés</w:t>
            </w:r>
            <w:r w:rsidRPr="0053181C">
              <w:rPr>
                <w:sz w:val="16"/>
                <w:szCs w:val="16"/>
              </w:rPr>
              <w:t xml:space="preserve"> de cuisson au bois de feu et au charbon de bois et 2 000 fours </w:t>
            </w:r>
            <w:r w:rsidR="005F216B" w:rsidRPr="0053181C">
              <w:rPr>
                <w:sz w:val="16"/>
                <w:szCs w:val="16"/>
              </w:rPr>
              <w:t>améliorés</w:t>
            </w:r>
            <w:r w:rsidRPr="0053181C">
              <w:rPr>
                <w:sz w:val="16"/>
                <w:szCs w:val="16"/>
              </w:rPr>
              <w:t xml:space="preserve"> de carbonisation du bois pour la production de charbon de bois. S’y ajoute un programme de </w:t>
            </w:r>
            <w:r w:rsidR="005F216B" w:rsidRPr="0053181C">
              <w:rPr>
                <w:sz w:val="16"/>
                <w:szCs w:val="16"/>
              </w:rPr>
              <w:t>développement</w:t>
            </w:r>
            <w:r w:rsidRPr="0053181C">
              <w:rPr>
                <w:sz w:val="16"/>
                <w:szCs w:val="16"/>
              </w:rPr>
              <w:t xml:space="preserve"> de cuiseurs </w:t>
            </w:r>
            <w:r w:rsidR="005F216B" w:rsidRPr="0053181C">
              <w:rPr>
                <w:sz w:val="16"/>
                <w:szCs w:val="16"/>
              </w:rPr>
              <w:t>économes</w:t>
            </w:r>
            <w:r w:rsidRPr="0053181C">
              <w:rPr>
                <w:sz w:val="16"/>
                <w:szCs w:val="16"/>
              </w:rPr>
              <w:t xml:space="preserve"> à bois </w:t>
            </w:r>
            <w:r w:rsidR="005F216B" w:rsidRPr="0053181C">
              <w:rPr>
                <w:sz w:val="16"/>
                <w:szCs w:val="16"/>
              </w:rPr>
              <w:t>destinés</w:t>
            </w:r>
            <w:r w:rsidRPr="0053181C">
              <w:rPr>
                <w:sz w:val="16"/>
                <w:szCs w:val="16"/>
              </w:rPr>
              <w:t xml:space="preserve"> au milieu rural. </w:t>
            </w:r>
          </w:p>
        </w:tc>
        <w:tc>
          <w:tcPr>
            <w:tcW w:w="3118" w:type="dxa"/>
            <w:tcBorders>
              <w:bottom w:val="single" w:sz="4" w:space="0" w:color="auto"/>
            </w:tcBorders>
          </w:tcPr>
          <w:p w:rsidR="009A39F5" w:rsidRPr="0053181C" w:rsidRDefault="009A39F5" w:rsidP="000B6618">
            <w:pPr>
              <w:spacing w:line="276" w:lineRule="auto"/>
              <w:rPr>
                <w:sz w:val="16"/>
                <w:szCs w:val="16"/>
              </w:rPr>
            </w:pPr>
            <w:r w:rsidRPr="0053181C">
              <w:rPr>
                <w:sz w:val="16"/>
                <w:szCs w:val="16"/>
              </w:rPr>
              <w:lastRenderedPageBreak/>
              <w:t>Par conséquent, la Guinée ambitionne d’ici à 2030 une réduction de la demande finale de bois de feu et de charbon de bois par habitant (niveaux urbain et rural) de 50</w:t>
            </w:r>
            <w:r w:rsidR="00366931" w:rsidRPr="0053181C">
              <w:rPr>
                <w:sz w:val="16"/>
                <w:szCs w:val="16"/>
              </w:rPr>
              <w:t>%</w:t>
            </w:r>
            <w:r w:rsidRPr="0053181C">
              <w:rPr>
                <w:sz w:val="16"/>
                <w:szCs w:val="16"/>
              </w:rPr>
              <w:t xml:space="preserve"> par rapport à 2011, notamment par</w:t>
            </w:r>
            <w:r w:rsidR="00387646" w:rsidRPr="0053181C">
              <w:rPr>
                <w:sz w:val="16"/>
                <w:szCs w:val="16"/>
              </w:rPr>
              <w:t> </w:t>
            </w:r>
            <w:r w:rsidRPr="0053181C">
              <w:rPr>
                <w:sz w:val="16"/>
                <w:szCs w:val="16"/>
              </w:rPr>
              <w:t xml:space="preserve">: </w:t>
            </w:r>
          </w:p>
          <w:p w:rsidR="009A39F5" w:rsidRPr="0053181C" w:rsidRDefault="00366931" w:rsidP="00E8127D">
            <w:pPr>
              <w:numPr>
                <w:ilvl w:val="0"/>
                <w:numId w:val="10"/>
              </w:numPr>
              <w:spacing w:after="0" w:line="276" w:lineRule="auto"/>
              <w:ind w:left="175" w:firstLine="0"/>
              <w:contextualSpacing/>
              <w:rPr>
                <w:sz w:val="16"/>
                <w:szCs w:val="16"/>
              </w:rPr>
            </w:pPr>
            <w:r w:rsidRPr="0053181C">
              <w:rPr>
                <w:sz w:val="16"/>
              </w:rPr>
              <w:t>la structuration de filières industrielles locales permetta</w:t>
            </w:r>
            <w:r w:rsidR="00387646" w:rsidRPr="0053181C">
              <w:rPr>
                <w:sz w:val="16"/>
              </w:rPr>
              <w:t xml:space="preserve">nt </w:t>
            </w:r>
            <w:r w:rsidR="00387646" w:rsidRPr="0053181C">
              <w:rPr>
                <w:sz w:val="16"/>
              </w:rPr>
              <w:lastRenderedPageBreak/>
              <w:t>l’introduction d’au moins</w:t>
            </w:r>
            <w:r w:rsidRPr="0053181C">
              <w:rPr>
                <w:sz w:val="16"/>
              </w:rPr>
              <w:t xml:space="preserve"> 1 000 000 foyers améliorés</w:t>
            </w:r>
            <w:r w:rsidR="009A39F5" w:rsidRPr="0053181C">
              <w:rPr>
                <w:sz w:val="16"/>
                <w:szCs w:val="16"/>
              </w:rPr>
              <w:t xml:space="preserve">; </w:t>
            </w:r>
          </w:p>
          <w:p w:rsidR="009A39F5" w:rsidRPr="0053181C" w:rsidRDefault="009A39F5" w:rsidP="00E8127D">
            <w:pPr>
              <w:numPr>
                <w:ilvl w:val="0"/>
                <w:numId w:val="10"/>
              </w:numPr>
              <w:spacing w:after="0" w:line="276" w:lineRule="auto"/>
              <w:ind w:left="175" w:firstLine="0"/>
              <w:contextualSpacing/>
              <w:rPr>
                <w:sz w:val="16"/>
                <w:szCs w:val="16"/>
              </w:rPr>
            </w:pPr>
            <w:r w:rsidRPr="0053181C">
              <w:rPr>
                <w:sz w:val="16"/>
                <w:szCs w:val="16"/>
              </w:rPr>
              <w:t>la mise en place de 5000 unités de carbonisation du bois ayant un meilleur rendement pondéral ;</w:t>
            </w:r>
          </w:p>
          <w:p w:rsidR="009A39F5" w:rsidRPr="0053181C" w:rsidRDefault="009A39F5" w:rsidP="00E8127D">
            <w:pPr>
              <w:numPr>
                <w:ilvl w:val="0"/>
                <w:numId w:val="10"/>
              </w:numPr>
              <w:spacing w:after="0" w:line="276" w:lineRule="auto"/>
              <w:ind w:left="175" w:firstLine="0"/>
              <w:contextualSpacing/>
              <w:rPr>
                <w:sz w:val="16"/>
                <w:szCs w:val="16"/>
              </w:rPr>
            </w:pPr>
            <w:r w:rsidRPr="0053181C">
              <w:rPr>
                <w:sz w:val="16"/>
                <w:szCs w:val="16"/>
              </w:rPr>
              <w:t xml:space="preserve">la substitution par le butane (40 </w:t>
            </w:r>
            <w:proofErr w:type="spellStart"/>
            <w:r w:rsidRPr="0053181C">
              <w:rPr>
                <w:sz w:val="16"/>
                <w:szCs w:val="16"/>
              </w:rPr>
              <w:t>ktep</w:t>
            </w:r>
            <w:proofErr w:type="spellEnd"/>
            <w:r w:rsidRPr="0053181C">
              <w:rPr>
                <w:sz w:val="16"/>
                <w:szCs w:val="16"/>
              </w:rPr>
              <w:t>) ;</w:t>
            </w:r>
          </w:p>
          <w:p w:rsidR="00387646" w:rsidRPr="0053181C" w:rsidRDefault="00511CB8" w:rsidP="00E8127D">
            <w:pPr>
              <w:numPr>
                <w:ilvl w:val="0"/>
                <w:numId w:val="10"/>
              </w:numPr>
              <w:spacing w:after="0" w:line="276" w:lineRule="auto"/>
              <w:ind w:left="175" w:firstLine="0"/>
              <w:contextualSpacing/>
              <w:rPr>
                <w:sz w:val="16"/>
                <w:szCs w:val="16"/>
              </w:rPr>
            </w:pPr>
            <w:r w:rsidRPr="0053181C">
              <w:rPr>
                <w:sz w:val="16"/>
                <w:szCs w:val="16"/>
              </w:rPr>
              <w:t>l’extension des initiatives pilotes de diffusion de fumoirs améliorés et de briques en terre stabilisée.</w:t>
            </w:r>
          </w:p>
          <w:p w:rsidR="009A39F5" w:rsidRPr="0053181C" w:rsidRDefault="009A39F5" w:rsidP="000B6618">
            <w:pPr>
              <w:spacing w:line="276" w:lineRule="auto"/>
              <w:rPr>
                <w:sz w:val="16"/>
                <w:szCs w:val="16"/>
              </w:rPr>
            </w:pPr>
          </w:p>
          <w:p w:rsidR="009A39F5" w:rsidRPr="0053181C" w:rsidRDefault="009A39F5" w:rsidP="00CA36A4">
            <w:pPr>
              <w:spacing w:line="276" w:lineRule="auto"/>
              <w:rPr>
                <w:b/>
                <w:sz w:val="16"/>
                <w:szCs w:val="16"/>
              </w:rPr>
            </w:pPr>
          </w:p>
        </w:tc>
        <w:tc>
          <w:tcPr>
            <w:tcW w:w="1731" w:type="dxa"/>
            <w:tcBorders>
              <w:bottom w:val="single" w:sz="4" w:space="0" w:color="auto"/>
            </w:tcBorders>
          </w:tcPr>
          <w:p w:rsidR="009A39F5" w:rsidRPr="009A39F5" w:rsidRDefault="009A39F5" w:rsidP="000B6618">
            <w:pPr>
              <w:spacing w:line="276" w:lineRule="auto"/>
              <w:rPr>
                <w:sz w:val="16"/>
                <w:szCs w:val="16"/>
              </w:rPr>
            </w:pPr>
            <w:r w:rsidRPr="009A39F5">
              <w:rPr>
                <w:sz w:val="16"/>
                <w:szCs w:val="16"/>
              </w:rPr>
              <w:lastRenderedPageBreak/>
              <w:t xml:space="preserve">Le potentiel d’atténuation de cet engagement est évalué à </w:t>
            </w:r>
            <w:r w:rsidRPr="00444DAC">
              <w:rPr>
                <w:b/>
                <w:sz w:val="16"/>
                <w:szCs w:val="16"/>
              </w:rPr>
              <w:t>23 Mt CO2e cumulées sur les 15 prochaines années.</w:t>
            </w:r>
          </w:p>
          <w:p w:rsidR="009A39F5" w:rsidRPr="009A39F5" w:rsidRDefault="009A39F5" w:rsidP="000B6618">
            <w:pPr>
              <w:spacing w:line="276" w:lineRule="auto"/>
              <w:rPr>
                <w:b/>
                <w:sz w:val="16"/>
                <w:szCs w:val="16"/>
              </w:rPr>
            </w:pPr>
          </w:p>
        </w:tc>
      </w:tr>
      <w:tr w:rsidR="000B6618" w:rsidRPr="009A39F5" w:rsidTr="00482049">
        <w:tc>
          <w:tcPr>
            <w:tcW w:w="1526" w:type="dxa"/>
            <w:tcBorders>
              <w:bottom w:val="single" w:sz="4" w:space="0" w:color="auto"/>
            </w:tcBorders>
          </w:tcPr>
          <w:p w:rsidR="009A39F5" w:rsidRPr="009A39F5" w:rsidRDefault="009A39F5" w:rsidP="000B6618">
            <w:pPr>
              <w:spacing w:line="276" w:lineRule="auto"/>
              <w:rPr>
                <w:b/>
                <w:sz w:val="16"/>
              </w:rPr>
            </w:pPr>
            <w:r w:rsidRPr="009A39F5">
              <w:rPr>
                <w:b/>
                <w:sz w:val="16"/>
              </w:rPr>
              <w:lastRenderedPageBreak/>
              <w:t>Améliorer la performance énergétique de l’économie guinéenne</w:t>
            </w:r>
          </w:p>
          <w:p w:rsidR="009A39F5" w:rsidRDefault="009A39F5" w:rsidP="000B6618">
            <w:pPr>
              <w:spacing w:line="276" w:lineRule="auto"/>
              <w:rPr>
                <w:b/>
                <w:sz w:val="16"/>
              </w:rPr>
            </w:pPr>
          </w:p>
          <w:p w:rsidR="002E6672" w:rsidRPr="009A39F5" w:rsidRDefault="002E6672" w:rsidP="000B6618">
            <w:pPr>
              <w:spacing w:line="276" w:lineRule="auto"/>
              <w:rPr>
                <w:b/>
                <w:sz w:val="16"/>
              </w:rPr>
            </w:pPr>
            <w:r>
              <w:rPr>
                <w:b/>
                <w:sz w:val="16"/>
              </w:rPr>
              <w:t>(SE4ALL)</w:t>
            </w:r>
          </w:p>
        </w:tc>
        <w:tc>
          <w:tcPr>
            <w:tcW w:w="3969" w:type="dxa"/>
            <w:tcBorders>
              <w:bottom w:val="single" w:sz="4" w:space="0" w:color="auto"/>
            </w:tcBorders>
          </w:tcPr>
          <w:p w:rsidR="009A39F5" w:rsidRPr="009A39F5" w:rsidRDefault="009A39F5" w:rsidP="000B6618">
            <w:pPr>
              <w:spacing w:line="276" w:lineRule="auto"/>
              <w:rPr>
                <w:sz w:val="16"/>
              </w:rPr>
            </w:pPr>
            <w:r w:rsidRPr="009A39F5">
              <w:rPr>
                <w:sz w:val="16"/>
              </w:rPr>
              <w:t>Il existe un important potentiel d’</w:t>
            </w:r>
            <w:r w:rsidR="005F216B" w:rsidRPr="009A39F5">
              <w:rPr>
                <w:sz w:val="16"/>
              </w:rPr>
              <w:t>économie</w:t>
            </w:r>
            <w:r w:rsidRPr="009A39F5">
              <w:rPr>
                <w:sz w:val="16"/>
              </w:rPr>
              <w:t xml:space="preserve"> d’</w:t>
            </w:r>
            <w:r w:rsidR="005F216B" w:rsidRPr="009A39F5">
              <w:rPr>
                <w:sz w:val="16"/>
              </w:rPr>
              <w:t>énergie</w:t>
            </w:r>
            <w:r w:rsidRPr="009A39F5">
              <w:rPr>
                <w:sz w:val="16"/>
              </w:rPr>
              <w:t xml:space="preserve"> sur toutes les </w:t>
            </w:r>
            <w:r w:rsidR="005F216B" w:rsidRPr="009A39F5">
              <w:rPr>
                <w:sz w:val="16"/>
              </w:rPr>
              <w:t>filières</w:t>
            </w:r>
            <w:r w:rsidRPr="009A39F5">
              <w:rPr>
                <w:sz w:val="16"/>
              </w:rPr>
              <w:t xml:space="preserve"> énergétiques nationales actives en </w:t>
            </w:r>
            <w:r w:rsidR="005F216B" w:rsidRPr="009A39F5">
              <w:rPr>
                <w:sz w:val="16"/>
              </w:rPr>
              <w:t>Guinée</w:t>
            </w:r>
            <w:r w:rsidRPr="009A39F5">
              <w:rPr>
                <w:sz w:val="16"/>
              </w:rPr>
              <w:t xml:space="preserve"> et dans les secteurs d’</w:t>
            </w:r>
            <w:r w:rsidR="005F216B" w:rsidRPr="009A39F5">
              <w:rPr>
                <w:sz w:val="16"/>
              </w:rPr>
              <w:t>activités</w:t>
            </w:r>
            <w:r w:rsidR="00CC13A2">
              <w:rPr>
                <w:sz w:val="16"/>
              </w:rPr>
              <w:t xml:space="preserve"> </w:t>
            </w:r>
            <w:r w:rsidR="005F216B" w:rsidRPr="009A39F5">
              <w:rPr>
                <w:sz w:val="16"/>
              </w:rPr>
              <w:t>économiques</w:t>
            </w:r>
            <w:r w:rsidRPr="009A39F5">
              <w:rPr>
                <w:sz w:val="16"/>
              </w:rPr>
              <w:t>. L’</w:t>
            </w:r>
            <w:r w:rsidR="005F216B" w:rsidRPr="009A39F5">
              <w:rPr>
                <w:sz w:val="16"/>
              </w:rPr>
              <w:t>intensité</w:t>
            </w:r>
            <w:r w:rsidRPr="009A39F5">
              <w:rPr>
                <w:sz w:val="16"/>
              </w:rPr>
              <w:t xml:space="preserve">́ </w:t>
            </w:r>
            <w:r w:rsidR="005F216B" w:rsidRPr="009A39F5">
              <w:rPr>
                <w:sz w:val="16"/>
              </w:rPr>
              <w:t>énergétique</w:t>
            </w:r>
            <w:r w:rsidRPr="009A39F5">
              <w:rPr>
                <w:sz w:val="16"/>
              </w:rPr>
              <w:t xml:space="preserve"> du Produit </w:t>
            </w:r>
            <w:r w:rsidR="005F216B" w:rsidRPr="009A39F5">
              <w:rPr>
                <w:sz w:val="16"/>
              </w:rPr>
              <w:t>Intérieur</w:t>
            </w:r>
            <w:r w:rsidRPr="009A39F5">
              <w:rPr>
                <w:sz w:val="16"/>
              </w:rPr>
              <w:t xml:space="preserve"> Brut (PIB) est quant à elle </w:t>
            </w:r>
            <w:r w:rsidR="005F216B" w:rsidRPr="009A39F5">
              <w:rPr>
                <w:sz w:val="16"/>
              </w:rPr>
              <w:t>évaluée</w:t>
            </w:r>
            <w:r w:rsidRPr="009A39F5">
              <w:rPr>
                <w:sz w:val="16"/>
              </w:rPr>
              <w:t xml:space="preserve"> à 0,55 </w:t>
            </w:r>
            <w:proofErr w:type="spellStart"/>
            <w:r w:rsidRPr="009A39F5">
              <w:rPr>
                <w:sz w:val="16"/>
              </w:rPr>
              <w:t>kep</w:t>
            </w:r>
            <w:proofErr w:type="spellEnd"/>
            <w:r w:rsidRPr="009A39F5">
              <w:rPr>
                <w:sz w:val="16"/>
              </w:rPr>
              <w:t xml:space="preserve"> / 1 USD produit.</w:t>
            </w:r>
          </w:p>
          <w:p w:rsidR="009A39F5" w:rsidRPr="009A39F5" w:rsidRDefault="009A39F5" w:rsidP="000B6618">
            <w:pPr>
              <w:spacing w:line="276" w:lineRule="auto"/>
              <w:rPr>
                <w:sz w:val="16"/>
              </w:rPr>
            </w:pPr>
          </w:p>
          <w:p w:rsidR="009A39F5" w:rsidRPr="009A39F5" w:rsidRDefault="009A39F5" w:rsidP="000B6618">
            <w:pPr>
              <w:spacing w:line="276" w:lineRule="auto"/>
              <w:rPr>
                <w:b/>
                <w:sz w:val="16"/>
              </w:rPr>
            </w:pPr>
            <w:r w:rsidRPr="009A39F5">
              <w:rPr>
                <w:sz w:val="16"/>
              </w:rPr>
              <w:t>L’</w:t>
            </w:r>
            <w:r w:rsidR="005F216B" w:rsidRPr="009A39F5">
              <w:rPr>
                <w:sz w:val="16"/>
              </w:rPr>
              <w:t>efficacité</w:t>
            </w:r>
            <w:r w:rsidRPr="009A39F5">
              <w:rPr>
                <w:sz w:val="16"/>
              </w:rPr>
              <w:t xml:space="preserve">́ globale du </w:t>
            </w:r>
            <w:r w:rsidR="005F216B" w:rsidRPr="009A39F5">
              <w:rPr>
                <w:sz w:val="16"/>
              </w:rPr>
              <w:t>système</w:t>
            </w:r>
            <w:r w:rsidR="00CC13A2">
              <w:rPr>
                <w:sz w:val="16"/>
              </w:rPr>
              <w:t xml:space="preserve"> </w:t>
            </w:r>
            <w:r w:rsidR="005F216B" w:rsidRPr="009A39F5">
              <w:rPr>
                <w:sz w:val="16"/>
              </w:rPr>
              <w:t>énergétique</w:t>
            </w:r>
            <w:r w:rsidRPr="009A39F5">
              <w:rPr>
                <w:sz w:val="16"/>
              </w:rPr>
              <w:t xml:space="preserve"> de la </w:t>
            </w:r>
            <w:r w:rsidR="005F216B" w:rsidRPr="009A39F5">
              <w:rPr>
                <w:sz w:val="16"/>
              </w:rPr>
              <w:t>Guinée</w:t>
            </w:r>
            <w:r w:rsidRPr="009A39F5">
              <w:rPr>
                <w:sz w:val="16"/>
              </w:rPr>
              <w:t xml:space="preserve"> en 2011, </w:t>
            </w:r>
            <w:r w:rsidR="005F216B" w:rsidRPr="009A39F5">
              <w:rPr>
                <w:sz w:val="16"/>
              </w:rPr>
              <w:t>mesurée</w:t>
            </w:r>
            <w:r w:rsidRPr="009A39F5">
              <w:rPr>
                <w:sz w:val="16"/>
              </w:rPr>
              <w:t xml:space="preserve"> à travers le ratio « énergie utile sur consommation </w:t>
            </w:r>
            <w:r w:rsidR="005F216B" w:rsidRPr="009A39F5">
              <w:rPr>
                <w:sz w:val="16"/>
              </w:rPr>
              <w:t>énergétique</w:t>
            </w:r>
            <w:r w:rsidRPr="009A39F5">
              <w:rPr>
                <w:sz w:val="16"/>
              </w:rPr>
              <w:t xml:space="preserve"> brute » serait de l’ordre de 19 %.</w:t>
            </w:r>
          </w:p>
        </w:tc>
        <w:tc>
          <w:tcPr>
            <w:tcW w:w="3118" w:type="dxa"/>
            <w:tcBorders>
              <w:bottom w:val="single" w:sz="4" w:space="0" w:color="auto"/>
            </w:tcBorders>
          </w:tcPr>
          <w:p w:rsidR="009A39F5" w:rsidRPr="009A39F5" w:rsidRDefault="009A39F5" w:rsidP="000B6618">
            <w:pPr>
              <w:spacing w:line="276" w:lineRule="auto"/>
              <w:rPr>
                <w:sz w:val="16"/>
              </w:rPr>
            </w:pPr>
            <w:r w:rsidRPr="009A39F5">
              <w:rPr>
                <w:sz w:val="16"/>
              </w:rPr>
              <w:t xml:space="preserve">L’objectif est de doubler ce ratio d’ici à 2030, notamment par :  </w:t>
            </w:r>
          </w:p>
          <w:p w:rsidR="009A39F5" w:rsidRPr="0053181C" w:rsidRDefault="009A39F5" w:rsidP="00E8127D">
            <w:pPr>
              <w:numPr>
                <w:ilvl w:val="0"/>
                <w:numId w:val="11"/>
              </w:numPr>
              <w:spacing w:after="0" w:line="276" w:lineRule="auto"/>
              <w:ind w:left="250" w:hanging="75"/>
              <w:contextualSpacing/>
              <w:rPr>
                <w:sz w:val="16"/>
              </w:rPr>
            </w:pPr>
            <w:r w:rsidRPr="009A39F5">
              <w:rPr>
                <w:sz w:val="16"/>
              </w:rPr>
              <w:t xml:space="preserve">L’amélioration de 50 % des rendements de la production </w:t>
            </w:r>
            <w:r w:rsidRPr="0053181C">
              <w:rPr>
                <w:sz w:val="16"/>
              </w:rPr>
              <w:t xml:space="preserve">de l'électricité par rapport </w:t>
            </w:r>
            <w:proofErr w:type="spellStart"/>
            <w:r w:rsidRPr="0053181C">
              <w:rPr>
                <w:sz w:val="16"/>
              </w:rPr>
              <w:t>a</w:t>
            </w:r>
            <w:proofErr w:type="spellEnd"/>
            <w:r w:rsidRPr="0053181C">
              <w:rPr>
                <w:sz w:val="16"/>
              </w:rPr>
              <w:t xml:space="preserve">̀ la situation de </w:t>
            </w:r>
            <w:r w:rsidR="005F216B" w:rsidRPr="0053181C">
              <w:rPr>
                <w:sz w:val="16"/>
              </w:rPr>
              <w:t>référence</w:t>
            </w:r>
            <w:r w:rsidR="002B394C" w:rsidRPr="0053181C">
              <w:rPr>
                <w:sz w:val="16"/>
              </w:rPr>
              <w:t xml:space="preserve"> (2011)</w:t>
            </w:r>
            <w:r w:rsidRPr="0053181C">
              <w:rPr>
                <w:sz w:val="16"/>
              </w:rPr>
              <w:t>;</w:t>
            </w:r>
          </w:p>
          <w:p w:rsidR="00CA36A4" w:rsidRPr="00CA36A4" w:rsidRDefault="009A39F5" w:rsidP="00CA36A4">
            <w:pPr>
              <w:numPr>
                <w:ilvl w:val="0"/>
                <w:numId w:val="11"/>
              </w:numPr>
              <w:spacing w:after="0" w:line="276" w:lineRule="auto"/>
              <w:ind w:left="250" w:hanging="75"/>
              <w:contextualSpacing/>
              <w:rPr>
                <w:b/>
                <w:sz w:val="16"/>
              </w:rPr>
            </w:pPr>
            <w:r w:rsidRPr="0053181C">
              <w:rPr>
                <w:sz w:val="16"/>
              </w:rPr>
              <w:t xml:space="preserve">La baisse </w:t>
            </w:r>
            <w:r w:rsidRPr="009A39F5">
              <w:rPr>
                <w:sz w:val="16"/>
              </w:rPr>
              <w:t xml:space="preserve">des consommations </w:t>
            </w:r>
            <w:r w:rsidR="005F216B" w:rsidRPr="009A39F5">
              <w:rPr>
                <w:sz w:val="16"/>
              </w:rPr>
              <w:t>spécifiques</w:t>
            </w:r>
            <w:r w:rsidRPr="009A39F5">
              <w:rPr>
                <w:sz w:val="16"/>
              </w:rPr>
              <w:t xml:space="preserve"> des secteurs transport, </w:t>
            </w:r>
            <w:r w:rsidR="005F216B" w:rsidRPr="009A39F5">
              <w:rPr>
                <w:sz w:val="16"/>
              </w:rPr>
              <w:t>résidence</w:t>
            </w:r>
            <w:r w:rsidRPr="009A39F5">
              <w:rPr>
                <w:sz w:val="16"/>
              </w:rPr>
              <w:t xml:space="preserve"> et administration publique à travers l'amélioration de la </w:t>
            </w:r>
            <w:r w:rsidR="005F216B" w:rsidRPr="009A39F5">
              <w:rPr>
                <w:sz w:val="16"/>
              </w:rPr>
              <w:t>qualité</w:t>
            </w:r>
            <w:r w:rsidRPr="009A39F5">
              <w:rPr>
                <w:sz w:val="16"/>
              </w:rPr>
              <w:t xml:space="preserve">́ du parc des transports, la promotion du transport public, la diffusion des lampadaires solaires, des lampes et </w:t>
            </w:r>
            <w:r w:rsidR="005F216B" w:rsidRPr="009A39F5">
              <w:rPr>
                <w:sz w:val="16"/>
              </w:rPr>
              <w:t>équipements</w:t>
            </w:r>
            <w:r w:rsidR="00CC13A2">
              <w:rPr>
                <w:sz w:val="16"/>
              </w:rPr>
              <w:t xml:space="preserve"> </w:t>
            </w:r>
            <w:r w:rsidR="005F216B" w:rsidRPr="009A39F5">
              <w:rPr>
                <w:sz w:val="16"/>
              </w:rPr>
              <w:t>électriques</w:t>
            </w:r>
            <w:r w:rsidRPr="009A39F5">
              <w:rPr>
                <w:sz w:val="16"/>
              </w:rPr>
              <w:t xml:space="preserve"> à basse consommation, ainsi que la mise en œuvre de normes d’</w:t>
            </w:r>
            <w:r w:rsidR="005F216B" w:rsidRPr="009A39F5">
              <w:rPr>
                <w:sz w:val="16"/>
              </w:rPr>
              <w:t>efficacité</w:t>
            </w:r>
            <w:r w:rsidRPr="009A39F5">
              <w:rPr>
                <w:sz w:val="16"/>
              </w:rPr>
              <w:t xml:space="preserve">́ dans la conception des </w:t>
            </w:r>
            <w:r w:rsidR="001369A2" w:rsidRPr="009A39F5">
              <w:rPr>
                <w:sz w:val="16"/>
              </w:rPr>
              <w:t>bâtiments</w:t>
            </w:r>
            <w:r w:rsidR="00CA36A4">
              <w:rPr>
                <w:b/>
                <w:sz w:val="16"/>
              </w:rPr>
              <w:t>.</w:t>
            </w:r>
          </w:p>
        </w:tc>
        <w:tc>
          <w:tcPr>
            <w:tcW w:w="1731" w:type="dxa"/>
            <w:tcBorders>
              <w:bottom w:val="single" w:sz="4" w:space="0" w:color="auto"/>
            </w:tcBorders>
          </w:tcPr>
          <w:p w:rsidR="001369A2" w:rsidRPr="009A39F5" w:rsidRDefault="00444DAC" w:rsidP="000B6618">
            <w:pPr>
              <w:spacing w:line="276" w:lineRule="auto"/>
              <w:rPr>
                <w:b/>
                <w:sz w:val="16"/>
              </w:rPr>
            </w:pPr>
            <w:r>
              <w:rPr>
                <w:b/>
                <w:sz w:val="16"/>
              </w:rPr>
              <w:t xml:space="preserve">Les données disponibles ne permettent pas actuellement d’évaluer le potentiel d’atténuation de cet engagement. </w:t>
            </w:r>
          </w:p>
        </w:tc>
      </w:tr>
      <w:tr w:rsidR="00393909" w:rsidRPr="009A39F5" w:rsidTr="00393909">
        <w:tc>
          <w:tcPr>
            <w:tcW w:w="10344" w:type="dxa"/>
            <w:gridSpan w:val="4"/>
            <w:tcBorders>
              <w:top w:val="single" w:sz="4" w:space="0" w:color="auto"/>
              <w:left w:val="single" w:sz="4" w:space="0" w:color="auto"/>
              <w:bottom w:val="single" w:sz="4" w:space="0" w:color="auto"/>
              <w:right w:val="single" w:sz="4" w:space="0" w:color="auto"/>
            </w:tcBorders>
          </w:tcPr>
          <w:p w:rsidR="00393909" w:rsidRPr="00393909" w:rsidRDefault="00393909" w:rsidP="00393909">
            <w:pPr>
              <w:pStyle w:val="Titre3"/>
              <w:spacing w:line="276" w:lineRule="auto"/>
            </w:pPr>
            <w:bookmarkStart w:id="18" w:name="_Toc431271796"/>
            <w:bookmarkStart w:id="19" w:name="_Toc431272534"/>
            <w:r>
              <w:t>Lacunes, barrieres et besoins</w:t>
            </w:r>
            <w:bookmarkEnd w:id="18"/>
            <w:bookmarkEnd w:id="19"/>
          </w:p>
          <w:p w:rsidR="007E550D" w:rsidRPr="00347866" w:rsidRDefault="00393909" w:rsidP="00393909">
            <w:pPr>
              <w:spacing w:line="276" w:lineRule="auto"/>
              <w:rPr>
                <w:sz w:val="16"/>
              </w:rPr>
            </w:pPr>
            <w:r w:rsidRPr="00347866">
              <w:rPr>
                <w:sz w:val="16"/>
              </w:rPr>
              <w:t xml:space="preserve">Les investissements </w:t>
            </w:r>
            <w:r w:rsidR="00086F26" w:rsidRPr="00347866">
              <w:rPr>
                <w:sz w:val="16"/>
              </w:rPr>
              <w:t>nécessaires</w:t>
            </w:r>
            <w:r w:rsidRPr="00347866">
              <w:rPr>
                <w:sz w:val="16"/>
              </w:rPr>
              <w:t xml:space="preserve"> pour atteindre les objectifs de SE4ALL en </w:t>
            </w:r>
            <w:r w:rsidR="00086F26" w:rsidRPr="00347866">
              <w:rPr>
                <w:sz w:val="16"/>
              </w:rPr>
              <w:t>Guinée</w:t>
            </w:r>
            <w:r w:rsidRPr="00347866">
              <w:rPr>
                <w:sz w:val="16"/>
              </w:rPr>
              <w:t xml:space="preserve"> sont </w:t>
            </w:r>
            <w:r w:rsidR="00086F26" w:rsidRPr="00347866">
              <w:rPr>
                <w:sz w:val="16"/>
              </w:rPr>
              <w:t>évalués</w:t>
            </w:r>
            <w:r w:rsidRPr="00347866">
              <w:rPr>
                <w:sz w:val="16"/>
              </w:rPr>
              <w:t xml:space="preserve"> en valeur actuelle à 8</w:t>
            </w:r>
            <w:r w:rsidR="00E9553A">
              <w:rPr>
                <w:sz w:val="16"/>
              </w:rPr>
              <w:t> </w:t>
            </w:r>
            <w:r w:rsidRPr="00347866">
              <w:rPr>
                <w:sz w:val="16"/>
              </w:rPr>
              <w:t>179 milli</w:t>
            </w:r>
            <w:r w:rsidR="00E9553A">
              <w:rPr>
                <w:sz w:val="16"/>
              </w:rPr>
              <w:t>ons</w:t>
            </w:r>
            <w:r w:rsidRPr="00347866">
              <w:rPr>
                <w:sz w:val="16"/>
              </w:rPr>
              <w:t xml:space="preserve"> USD sur 20 ans (2011-2030). Ceci </w:t>
            </w:r>
            <w:r w:rsidR="00086F26" w:rsidRPr="00347866">
              <w:rPr>
                <w:sz w:val="16"/>
              </w:rPr>
              <w:t>équivaut</w:t>
            </w:r>
            <w:r w:rsidRPr="00347866">
              <w:rPr>
                <w:sz w:val="16"/>
              </w:rPr>
              <w:t xml:space="preserve"> </w:t>
            </w:r>
            <w:proofErr w:type="spellStart"/>
            <w:r w:rsidRPr="00347866">
              <w:rPr>
                <w:sz w:val="16"/>
              </w:rPr>
              <w:t>a</w:t>
            </w:r>
            <w:proofErr w:type="spellEnd"/>
            <w:r w:rsidRPr="00347866">
              <w:rPr>
                <w:sz w:val="16"/>
              </w:rPr>
              <w:t xml:space="preserve">̀ environ 409 millions USD d’investissement annuel sur 20 ans, y compris les actions en cours depuis 2011. </w:t>
            </w:r>
          </w:p>
          <w:p w:rsidR="00393909" w:rsidRDefault="00393909" w:rsidP="007E550D">
            <w:pPr>
              <w:spacing w:line="276" w:lineRule="auto"/>
              <w:rPr>
                <w:b/>
                <w:sz w:val="16"/>
              </w:rPr>
            </w:pPr>
            <w:r w:rsidRPr="00347866">
              <w:rPr>
                <w:sz w:val="16"/>
              </w:rPr>
              <w:t>A l’heure actuelle, seul 20% de ce plan d’investissement a été</w:t>
            </w:r>
            <w:r w:rsidR="007E550D" w:rsidRPr="00347866">
              <w:rPr>
                <w:sz w:val="16"/>
              </w:rPr>
              <w:t xml:space="preserve"> effectivement</w:t>
            </w:r>
            <w:r w:rsidRPr="00347866">
              <w:rPr>
                <w:sz w:val="16"/>
              </w:rPr>
              <w:t xml:space="preserve"> mobilisé par le gouvernement de Guinée. </w:t>
            </w:r>
            <w:r w:rsidRPr="00347866">
              <w:rPr>
                <w:b/>
                <w:sz w:val="16"/>
              </w:rPr>
              <w:t>Les besoins financiers pour les seules mesures de déploiement des énergies renouvelables et d’efficacité énergétique sont donc évalués à plus de 6,5 milliards USD</w:t>
            </w:r>
            <w:r w:rsidRPr="00347866">
              <w:rPr>
                <w:sz w:val="16"/>
              </w:rPr>
              <w:t>.</w:t>
            </w:r>
          </w:p>
        </w:tc>
      </w:tr>
      <w:tr w:rsidR="00393909" w:rsidTr="00393909">
        <w:tc>
          <w:tcPr>
            <w:tcW w:w="10344" w:type="dxa"/>
            <w:gridSpan w:val="4"/>
            <w:tcBorders>
              <w:top w:val="single" w:sz="4" w:space="0" w:color="auto"/>
              <w:left w:val="nil"/>
              <w:right w:val="nil"/>
            </w:tcBorders>
          </w:tcPr>
          <w:p w:rsidR="00393909" w:rsidRPr="00444DAC" w:rsidRDefault="00393909" w:rsidP="000B6618">
            <w:pPr>
              <w:spacing w:line="276" w:lineRule="auto"/>
              <w:rPr>
                <w:sz w:val="16"/>
              </w:rPr>
            </w:pPr>
          </w:p>
        </w:tc>
      </w:tr>
      <w:tr w:rsidR="000B6618" w:rsidTr="00482049">
        <w:tc>
          <w:tcPr>
            <w:tcW w:w="1526" w:type="dxa"/>
          </w:tcPr>
          <w:p w:rsidR="004D411F" w:rsidRPr="002E6672" w:rsidRDefault="004D411F" w:rsidP="000B6618">
            <w:pPr>
              <w:spacing w:line="276" w:lineRule="auto"/>
              <w:rPr>
                <w:b/>
                <w:sz w:val="16"/>
                <w:szCs w:val="16"/>
              </w:rPr>
            </w:pPr>
            <w:r w:rsidRPr="002E6672">
              <w:rPr>
                <w:b/>
                <w:sz w:val="16"/>
                <w:szCs w:val="16"/>
              </w:rPr>
              <w:lastRenderedPageBreak/>
              <w:t>Rendre climato-compatible l’exploitation des ressources minières</w:t>
            </w:r>
          </w:p>
          <w:p w:rsidR="009A39F5" w:rsidRPr="002E6672" w:rsidRDefault="009A39F5" w:rsidP="000B6618">
            <w:pPr>
              <w:spacing w:line="276" w:lineRule="auto"/>
              <w:rPr>
                <w:b/>
                <w:sz w:val="16"/>
                <w:szCs w:val="16"/>
              </w:rPr>
            </w:pPr>
          </w:p>
        </w:tc>
        <w:tc>
          <w:tcPr>
            <w:tcW w:w="3969" w:type="dxa"/>
          </w:tcPr>
          <w:p w:rsidR="00DD3AFC" w:rsidRPr="00DD3AFC" w:rsidRDefault="00DD3AFC" w:rsidP="000B6618">
            <w:pPr>
              <w:spacing w:line="276" w:lineRule="auto"/>
              <w:rPr>
                <w:sz w:val="16"/>
                <w:szCs w:val="22"/>
              </w:rPr>
            </w:pPr>
            <w:r w:rsidRPr="00DD3AFC">
              <w:rPr>
                <w:sz w:val="16"/>
                <w:szCs w:val="22"/>
              </w:rPr>
              <w:t xml:space="preserve">Le </w:t>
            </w:r>
            <w:r w:rsidRPr="00DD3AFC">
              <w:rPr>
                <w:b/>
                <w:sz w:val="16"/>
                <w:szCs w:val="22"/>
              </w:rPr>
              <w:t>développement du secteur minier</w:t>
            </w:r>
            <w:r w:rsidRPr="00DD3AFC">
              <w:rPr>
                <w:sz w:val="16"/>
                <w:szCs w:val="22"/>
              </w:rPr>
              <w:t xml:space="preserve"> constitue l’un des enjeux économiques majeurs de Guinée, compte tenu de son potentiel en matière d’emplois et de ressources fiscales. Ainsi, le secteur minier est amené à devenir l’un des piliers de l’économie guinéenne. Il y a donc là une opportunité pour faire du secteur minier de Guinée, un </w:t>
            </w:r>
            <w:r w:rsidRPr="00DD3AFC">
              <w:rPr>
                <w:b/>
                <w:sz w:val="16"/>
                <w:szCs w:val="22"/>
              </w:rPr>
              <w:t>exemple en matière d’intégration des enjeux climatiques</w:t>
            </w:r>
            <w:r w:rsidRPr="00DD3AFC">
              <w:rPr>
                <w:sz w:val="16"/>
                <w:szCs w:val="22"/>
              </w:rPr>
              <w:t xml:space="preserve"> (atténuation/adaptation), tout au long de la chaîne de valeur</w:t>
            </w:r>
            <w:r w:rsidR="00B95E5E">
              <w:rPr>
                <w:sz w:val="16"/>
                <w:szCs w:val="22"/>
              </w:rPr>
              <w:t>.</w:t>
            </w:r>
          </w:p>
          <w:p w:rsidR="004D411F" w:rsidRPr="004D411F" w:rsidRDefault="004D411F" w:rsidP="000B6618">
            <w:pPr>
              <w:spacing w:line="276" w:lineRule="auto"/>
              <w:rPr>
                <w:sz w:val="16"/>
                <w:szCs w:val="16"/>
              </w:rPr>
            </w:pPr>
            <w:r w:rsidRPr="004D411F">
              <w:rPr>
                <w:sz w:val="16"/>
                <w:szCs w:val="16"/>
              </w:rPr>
              <w:t xml:space="preserve">Les mines en exploitation représentent environ 25% des revenus de l’Etat. Les principales ressources </w:t>
            </w:r>
            <w:r w:rsidR="005F216B" w:rsidRPr="004D411F">
              <w:rPr>
                <w:sz w:val="16"/>
                <w:szCs w:val="16"/>
              </w:rPr>
              <w:t>minérales</w:t>
            </w:r>
            <w:r w:rsidRPr="004D411F">
              <w:rPr>
                <w:sz w:val="16"/>
                <w:szCs w:val="16"/>
              </w:rPr>
              <w:t xml:space="preserve"> du pays sont la bauxite (</w:t>
            </w:r>
            <w:r w:rsidR="00514F4E">
              <w:rPr>
                <w:sz w:val="16"/>
                <w:szCs w:val="16"/>
              </w:rPr>
              <w:t xml:space="preserve">plus de </w:t>
            </w:r>
            <w:r w:rsidRPr="004D411F">
              <w:rPr>
                <w:sz w:val="16"/>
                <w:szCs w:val="16"/>
              </w:rPr>
              <w:t xml:space="preserve">30 % des </w:t>
            </w:r>
            <w:r w:rsidR="005F216B" w:rsidRPr="004D411F">
              <w:rPr>
                <w:sz w:val="16"/>
                <w:szCs w:val="16"/>
              </w:rPr>
              <w:t>réserves</w:t>
            </w:r>
            <w:r w:rsidRPr="004D411F">
              <w:rPr>
                <w:sz w:val="16"/>
                <w:szCs w:val="16"/>
              </w:rPr>
              <w:t xml:space="preserve"> mondiales), le minerai de fer (9 milliards de tonnes), de diamant, d’or, etc. Elles sont en cours d’exploitation par des multinationales actives en </w:t>
            </w:r>
            <w:r w:rsidR="005F216B" w:rsidRPr="004D411F">
              <w:rPr>
                <w:sz w:val="16"/>
                <w:szCs w:val="16"/>
              </w:rPr>
              <w:t>Guinée</w:t>
            </w:r>
            <w:r w:rsidRPr="004D411F">
              <w:rPr>
                <w:sz w:val="16"/>
                <w:szCs w:val="16"/>
              </w:rPr>
              <w:t xml:space="preserve"> depuis les </w:t>
            </w:r>
            <w:r w:rsidR="005F216B" w:rsidRPr="004D411F">
              <w:rPr>
                <w:sz w:val="16"/>
                <w:szCs w:val="16"/>
              </w:rPr>
              <w:t>années</w:t>
            </w:r>
            <w:r w:rsidRPr="004D411F">
              <w:rPr>
                <w:sz w:val="16"/>
                <w:szCs w:val="16"/>
              </w:rPr>
              <w:t xml:space="preserve"> 1960 pour certaines. L’exploitation </w:t>
            </w:r>
            <w:r w:rsidR="005F216B" w:rsidRPr="004D411F">
              <w:rPr>
                <w:sz w:val="16"/>
                <w:szCs w:val="16"/>
              </w:rPr>
              <w:t>minière</w:t>
            </w:r>
            <w:r w:rsidRPr="004D411F">
              <w:rPr>
                <w:sz w:val="16"/>
                <w:szCs w:val="16"/>
              </w:rPr>
              <w:t xml:space="preserve"> artisanale à petite </w:t>
            </w:r>
            <w:r w:rsidR="005F216B" w:rsidRPr="004D411F">
              <w:rPr>
                <w:sz w:val="16"/>
                <w:szCs w:val="16"/>
              </w:rPr>
              <w:t>échelle</w:t>
            </w:r>
            <w:r w:rsidRPr="004D411F">
              <w:rPr>
                <w:sz w:val="16"/>
                <w:szCs w:val="16"/>
              </w:rPr>
              <w:t xml:space="preserve"> est </w:t>
            </w:r>
            <w:r w:rsidR="005F216B" w:rsidRPr="004D411F">
              <w:rPr>
                <w:sz w:val="16"/>
                <w:szCs w:val="16"/>
              </w:rPr>
              <w:t>également</w:t>
            </w:r>
            <w:r w:rsidRPr="004D411F">
              <w:rPr>
                <w:sz w:val="16"/>
                <w:szCs w:val="16"/>
              </w:rPr>
              <w:t xml:space="preserve"> en expansion notamment pour l’or et le diamant qui o</w:t>
            </w:r>
            <w:r w:rsidR="00DD3AFC">
              <w:rPr>
                <w:sz w:val="16"/>
                <w:szCs w:val="16"/>
              </w:rPr>
              <w:t xml:space="preserve">ccupent directement </w:t>
            </w:r>
            <w:r w:rsidR="001915A4">
              <w:rPr>
                <w:sz w:val="16"/>
                <w:szCs w:val="16"/>
              </w:rPr>
              <w:t xml:space="preserve">ou indirectement </w:t>
            </w:r>
            <w:r w:rsidR="00DD3AFC">
              <w:rPr>
                <w:sz w:val="16"/>
                <w:szCs w:val="16"/>
              </w:rPr>
              <w:t xml:space="preserve">plus de </w:t>
            </w:r>
            <w:r w:rsidR="001915A4">
              <w:rPr>
                <w:sz w:val="16"/>
                <w:szCs w:val="16"/>
              </w:rPr>
              <w:t>1</w:t>
            </w:r>
            <w:r w:rsidR="00DD3AFC">
              <w:rPr>
                <w:sz w:val="16"/>
                <w:szCs w:val="16"/>
              </w:rPr>
              <w:t>00 </w:t>
            </w:r>
            <w:r w:rsidRPr="004D411F">
              <w:rPr>
                <w:sz w:val="16"/>
                <w:szCs w:val="16"/>
              </w:rPr>
              <w:t xml:space="preserve">000 personnes. </w:t>
            </w:r>
          </w:p>
          <w:p w:rsidR="004D411F" w:rsidRPr="004D411F" w:rsidRDefault="004D411F" w:rsidP="000B6618">
            <w:pPr>
              <w:spacing w:line="276" w:lineRule="auto"/>
              <w:rPr>
                <w:sz w:val="16"/>
                <w:szCs w:val="16"/>
              </w:rPr>
            </w:pPr>
          </w:p>
          <w:p w:rsidR="004D411F" w:rsidRPr="004D411F" w:rsidRDefault="004D411F" w:rsidP="000B6618">
            <w:pPr>
              <w:spacing w:line="276" w:lineRule="auto"/>
              <w:rPr>
                <w:sz w:val="16"/>
                <w:szCs w:val="16"/>
              </w:rPr>
            </w:pPr>
            <w:r w:rsidRPr="004D411F">
              <w:rPr>
                <w:sz w:val="16"/>
                <w:szCs w:val="16"/>
              </w:rPr>
              <w:t>Le secteur industriel minier est le premier consommateur d’</w:t>
            </w:r>
            <w:r w:rsidR="005F216B" w:rsidRPr="004D411F">
              <w:rPr>
                <w:sz w:val="16"/>
                <w:szCs w:val="16"/>
              </w:rPr>
              <w:t>énergie</w:t>
            </w:r>
            <w:r w:rsidRPr="004D411F">
              <w:rPr>
                <w:sz w:val="16"/>
                <w:szCs w:val="16"/>
              </w:rPr>
              <w:t xml:space="preserve"> conventionnelle (</w:t>
            </w:r>
            <w:r w:rsidR="005F216B" w:rsidRPr="004D411F">
              <w:rPr>
                <w:sz w:val="16"/>
                <w:szCs w:val="16"/>
              </w:rPr>
              <w:t>électricité</w:t>
            </w:r>
            <w:r w:rsidRPr="004D411F">
              <w:rPr>
                <w:sz w:val="16"/>
                <w:szCs w:val="16"/>
              </w:rPr>
              <w:t xml:space="preserve">́ et hydrocarbures) en </w:t>
            </w:r>
            <w:r w:rsidR="005F216B" w:rsidRPr="004D411F">
              <w:rPr>
                <w:sz w:val="16"/>
                <w:szCs w:val="16"/>
              </w:rPr>
              <w:t>Guinée</w:t>
            </w:r>
            <w:r w:rsidRPr="004D411F">
              <w:rPr>
                <w:sz w:val="16"/>
                <w:szCs w:val="16"/>
              </w:rPr>
              <w:t xml:space="preserve">. Il est </w:t>
            </w:r>
            <w:r w:rsidR="005F216B" w:rsidRPr="004D411F">
              <w:rPr>
                <w:sz w:val="16"/>
                <w:szCs w:val="16"/>
              </w:rPr>
              <w:t>constitué</w:t>
            </w:r>
            <w:r w:rsidRPr="004D411F">
              <w:rPr>
                <w:sz w:val="16"/>
                <w:szCs w:val="16"/>
              </w:rPr>
              <w:t>́ d’auto-producteurs d’</w:t>
            </w:r>
            <w:r w:rsidR="005F216B" w:rsidRPr="004D411F">
              <w:rPr>
                <w:sz w:val="16"/>
                <w:szCs w:val="16"/>
              </w:rPr>
              <w:t>électricité</w:t>
            </w:r>
            <w:r w:rsidRPr="004D411F">
              <w:rPr>
                <w:sz w:val="16"/>
                <w:szCs w:val="16"/>
              </w:rPr>
              <w:t xml:space="preserve">́ qui consomment </w:t>
            </w:r>
            <w:r w:rsidR="005F216B" w:rsidRPr="004D411F">
              <w:rPr>
                <w:sz w:val="16"/>
                <w:szCs w:val="16"/>
              </w:rPr>
              <w:t>près</w:t>
            </w:r>
            <w:r w:rsidRPr="004D411F">
              <w:rPr>
                <w:sz w:val="16"/>
                <w:szCs w:val="16"/>
              </w:rPr>
              <w:t xml:space="preserve"> de la moitié (47%), de l’</w:t>
            </w:r>
            <w:r w:rsidR="005F216B" w:rsidRPr="004D411F">
              <w:rPr>
                <w:sz w:val="16"/>
                <w:szCs w:val="16"/>
              </w:rPr>
              <w:t>énergie</w:t>
            </w:r>
            <w:r w:rsidRPr="004D411F">
              <w:rPr>
                <w:sz w:val="16"/>
                <w:szCs w:val="16"/>
              </w:rPr>
              <w:t xml:space="preserve"> primaire conventionnelle disponible. </w:t>
            </w:r>
          </w:p>
          <w:p w:rsidR="009A39F5" w:rsidRPr="004D411F" w:rsidRDefault="009A39F5" w:rsidP="000B6618">
            <w:pPr>
              <w:spacing w:line="276" w:lineRule="auto"/>
              <w:rPr>
                <w:b/>
                <w:sz w:val="16"/>
                <w:szCs w:val="16"/>
              </w:rPr>
            </w:pPr>
          </w:p>
        </w:tc>
        <w:tc>
          <w:tcPr>
            <w:tcW w:w="3118" w:type="dxa"/>
          </w:tcPr>
          <w:p w:rsidR="00E76AE3" w:rsidRPr="0053181C" w:rsidRDefault="004D411F" w:rsidP="00E8127D">
            <w:pPr>
              <w:numPr>
                <w:ilvl w:val="0"/>
                <w:numId w:val="11"/>
              </w:numPr>
              <w:spacing w:after="0" w:line="276" w:lineRule="auto"/>
              <w:ind w:left="176" w:firstLine="0"/>
              <w:contextualSpacing/>
              <w:rPr>
                <w:sz w:val="16"/>
                <w:szCs w:val="16"/>
              </w:rPr>
            </w:pPr>
            <w:r w:rsidRPr="00C43126">
              <w:rPr>
                <w:sz w:val="16"/>
                <w:szCs w:val="16"/>
              </w:rPr>
              <w:t xml:space="preserve">Renforcer l’application du </w:t>
            </w:r>
            <w:r w:rsidR="00444DAC" w:rsidRPr="00C43126">
              <w:rPr>
                <w:sz w:val="16"/>
                <w:szCs w:val="16"/>
              </w:rPr>
              <w:t>C</w:t>
            </w:r>
            <w:r w:rsidRPr="00C43126">
              <w:rPr>
                <w:sz w:val="16"/>
                <w:szCs w:val="16"/>
              </w:rPr>
              <w:t>ode minier de 2013</w:t>
            </w:r>
            <w:r w:rsidR="00981532" w:rsidRPr="00C43126">
              <w:rPr>
                <w:sz w:val="16"/>
                <w:szCs w:val="16"/>
              </w:rPr>
              <w:t xml:space="preserve">, dont l’un des </w:t>
            </w:r>
            <w:r w:rsidR="00981532" w:rsidRPr="0053181C">
              <w:rPr>
                <w:sz w:val="16"/>
                <w:szCs w:val="16"/>
              </w:rPr>
              <w:t>piliers est le respect de l’environnement</w:t>
            </w:r>
            <w:r w:rsidR="00AD4A2C" w:rsidRPr="0053181C">
              <w:rPr>
                <w:sz w:val="16"/>
                <w:szCs w:val="16"/>
              </w:rPr>
              <w:t xml:space="preserve"> et le Code de l’environnement</w:t>
            </w:r>
            <w:r w:rsidR="00981532" w:rsidRPr="0053181C">
              <w:rPr>
                <w:sz w:val="16"/>
                <w:szCs w:val="16"/>
              </w:rPr>
              <w:t xml:space="preserve"> (et ses textes d’application) ;</w:t>
            </w:r>
          </w:p>
          <w:p w:rsidR="004D411F" w:rsidRPr="0053181C" w:rsidRDefault="00E76AE3" w:rsidP="00E8127D">
            <w:pPr>
              <w:numPr>
                <w:ilvl w:val="0"/>
                <w:numId w:val="11"/>
              </w:numPr>
              <w:spacing w:after="0" w:line="276" w:lineRule="auto"/>
              <w:ind w:left="176" w:firstLine="0"/>
              <w:contextualSpacing/>
              <w:rPr>
                <w:sz w:val="16"/>
                <w:szCs w:val="16"/>
              </w:rPr>
            </w:pPr>
            <w:r w:rsidRPr="0053181C">
              <w:rPr>
                <w:sz w:val="16"/>
                <w:szCs w:val="16"/>
              </w:rPr>
              <w:t>I</w:t>
            </w:r>
            <w:r w:rsidR="00C43126" w:rsidRPr="0053181C">
              <w:rPr>
                <w:sz w:val="16"/>
                <w:szCs w:val="16"/>
              </w:rPr>
              <w:t>mposer</w:t>
            </w:r>
            <w:r w:rsidR="000D37A0" w:rsidRPr="0053181C">
              <w:rPr>
                <w:sz w:val="16"/>
                <w:szCs w:val="16"/>
              </w:rPr>
              <w:t xml:space="preserve"> la prise en compte des impacts des changements climatiques dans les Plans de Gestion Environnemental et Social</w:t>
            </w:r>
            <w:r w:rsidR="00C43126" w:rsidRPr="0053181C">
              <w:rPr>
                <w:sz w:val="16"/>
                <w:szCs w:val="16"/>
              </w:rPr>
              <w:t xml:space="preserve"> à tous les projets d’exploitation minière traditionnelle ou moderne ;</w:t>
            </w:r>
          </w:p>
          <w:p w:rsidR="00444DAC" w:rsidRPr="00444DAC" w:rsidRDefault="00444DAC" w:rsidP="00E8127D">
            <w:pPr>
              <w:pStyle w:val="Commentaire"/>
              <w:numPr>
                <w:ilvl w:val="0"/>
                <w:numId w:val="11"/>
              </w:numPr>
              <w:spacing w:line="276" w:lineRule="auto"/>
              <w:ind w:left="176" w:firstLine="0"/>
              <w:rPr>
                <w:rFonts w:ascii="Verdana" w:hAnsi="Verdana"/>
                <w:sz w:val="16"/>
                <w:szCs w:val="16"/>
              </w:rPr>
            </w:pPr>
            <w:r w:rsidRPr="0053181C">
              <w:rPr>
                <w:rFonts w:ascii="Verdana" w:hAnsi="Verdana"/>
                <w:sz w:val="16"/>
                <w:szCs w:val="16"/>
              </w:rPr>
              <w:t>Evaluer la faisabilité de la création</w:t>
            </w:r>
            <w:r w:rsidR="00981532" w:rsidRPr="0053181C">
              <w:rPr>
                <w:rFonts w:ascii="Verdana" w:hAnsi="Verdana"/>
                <w:sz w:val="16"/>
                <w:szCs w:val="16"/>
              </w:rPr>
              <w:t xml:space="preserve"> et le fonctionnement</w:t>
            </w:r>
            <w:r w:rsidRPr="0053181C">
              <w:rPr>
                <w:rFonts w:ascii="Verdana" w:hAnsi="Verdana"/>
                <w:sz w:val="16"/>
                <w:szCs w:val="16"/>
              </w:rPr>
              <w:t xml:space="preserve"> d’un mécanisme financier pour financer la </w:t>
            </w:r>
            <w:r w:rsidR="00B95E5E" w:rsidRPr="0053181C">
              <w:rPr>
                <w:rFonts w:ascii="Verdana" w:hAnsi="Verdana"/>
                <w:sz w:val="16"/>
                <w:szCs w:val="16"/>
              </w:rPr>
              <w:t xml:space="preserve">contribution </w:t>
            </w:r>
            <w:r w:rsidR="00B95E5E">
              <w:rPr>
                <w:rFonts w:ascii="Verdana" w:hAnsi="Verdana"/>
                <w:sz w:val="16"/>
                <w:szCs w:val="16"/>
              </w:rPr>
              <w:t xml:space="preserve">à la </w:t>
            </w:r>
            <w:r w:rsidRPr="00444DAC">
              <w:rPr>
                <w:rFonts w:ascii="Verdana" w:hAnsi="Verdana"/>
                <w:sz w:val="16"/>
                <w:szCs w:val="16"/>
              </w:rPr>
              <w:t xml:space="preserve">lutte contre les </w:t>
            </w:r>
            <w:r>
              <w:rPr>
                <w:rFonts w:ascii="Verdana" w:hAnsi="Verdana"/>
                <w:sz w:val="16"/>
                <w:szCs w:val="16"/>
              </w:rPr>
              <w:t xml:space="preserve">changements climatiques </w:t>
            </w:r>
            <w:r w:rsidRPr="00444DAC">
              <w:rPr>
                <w:rFonts w:ascii="Verdana" w:hAnsi="Verdana"/>
                <w:sz w:val="16"/>
                <w:szCs w:val="16"/>
              </w:rPr>
              <w:t>par le secteur minier</w:t>
            </w:r>
            <w:r w:rsidR="00B95E5E">
              <w:rPr>
                <w:rFonts w:ascii="Verdana" w:hAnsi="Verdana"/>
                <w:sz w:val="16"/>
                <w:szCs w:val="16"/>
              </w:rPr>
              <w:t> ;</w:t>
            </w:r>
          </w:p>
          <w:p w:rsidR="004D411F" w:rsidRPr="00444DAC" w:rsidRDefault="004D411F" w:rsidP="00E8127D">
            <w:pPr>
              <w:numPr>
                <w:ilvl w:val="0"/>
                <w:numId w:val="11"/>
              </w:numPr>
              <w:spacing w:after="0" w:line="276" w:lineRule="auto"/>
              <w:ind w:left="176" w:firstLine="0"/>
              <w:contextualSpacing/>
              <w:rPr>
                <w:sz w:val="16"/>
                <w:szCs w:val="16"/>
              </w:rPr>
            </w:pPr>
            <w:r w:rsidRPr="00444DAC">
              <w:rPr>
                <w:sz w:val="16"/>
                <w:szCs w:val="16"/>
              </w:rPr>
              <w:t xml:space="preserve">Renforcer </w:t>
            </w:r>
            <w:r w:rsidR="00444DAC">
              <w:rPr>
                <w:sz w:val="16"/>
                <w:szCs w:val="16"/>
              </w:rPr>
              <w:t>l’</w:t>
            </w:r>
            <w:r w:rsidRPr="00444DAC">
              <w:rPr>
                <w:sz w:val="16"/>
                <w:szCs w:val="16"/>
              </w:rPr>
              <w:t>efficacité énergétique du secteur (</w:t>
            </w:r>
            <w:r w:rsidR="00444DAC">
              <w:rPr>
                <w:sz w:val="16"/>
                <w:szCs w:val="16"/>
              </w:rPr>
              <w:t xml:space="preserve">le </w:t>
            </w:r>
            <w:r w:rsidRPr="00444DAC">
              <w:rPr>
                <w:sz w:val="16"/>
                <w:szCs w:val="16"/>
              </w:rPr>
              <w:t>potentiel d'amélioration de l’</w:t>
            </w:r>
            <w:r w:rsidR="005F216B" w:rsidRPr="00444DAC">
              <w:rPr>
                <w:sz w:val="16"/>
                <w:szCs w:val="16"/>
              </w:rPr>
              <w:t>efficacité</w:t>
            </w:r>
            <w:r w:rsidRPr="00444DAC">
              <w:rPr>
                <w:sz w:val="16"/>
                <w:szCs w:val="16"/>
              </w:rPr>
              <w:t xml:space="preserve">́ </w:t>
            </w:r>
            <w:r w:rsidR="005F216B" w:rsidRPr="00444DAC">
              <w:rPr>
                <w:sz w:val="16"/>
                <w:szCs w:val="16"/>
              </w:rPr>
              <w:t>énergétique</w:t>
            </w:r>
            <w:r w:rsidRPr="00444DAC">
              <w:rPr>
                <w:sz w:val="16"/>
                <w:szCs w:val="16"/>
              </w:rPr>
              <w:t xml:space="preserve"> a </w:t>
            </w:r>
            <w:r w:rsidR="005F216B" w:rsidRPr="00444DAC">
              <w:rPr>
                <w:sz w:val="16"/>
                <w:szCs w:val="16"/>
              </w:rPr>
              <w:t>été</w:t>
            </w:r>
            <w:r w:rsidRPr="00444DAC">
              <w:rPr>
                <w:sz w:val="16"/>
                <w:szCs w:val="16"/>
              </w:rPr>
              <w:t xml:space="preserve">́ </w:t>
            </w:r>
            <w:r w:rsidR="005F216B" w:rsidRPr="00444DAC">
              <w:rPr>
                <w:sz w:val="16"/>
                <w:szCs w:val="16"/>
              </w:rPr>
              <w:t>évalué</w:t>
            </w:r>
            <w:r w:rsidRPr="00444DAC">
              <w:rPr>
                <w:sz w:val="16"/>
                <w:szCs w:val="16"/>
              </w:rPr>
              <w:t>́ à 51 016 tep/an)</w:t>
            </w:r>
            <w:r w:rsidR="000D37A0">
              <w:rPr>
                <w:sz w:val="16"/>
                <w:szCs w:val="16"/>
              </w:rPr>
              <w:t> ;</w:t>
            </w:r>
          </w:p>
          <w:p w:rsidR="004D411F" w:rsidRDefault="004D411F" w:rsidP="00E8127D">
            <w:pPr>
              <w:numPr>
                <w:ilvl w:val="0"/>
                <w:numId w:val="11"/>
              </w:numPr>
              <w:spacing w:after="0" w:line="276" w:lineRule="auto"/>
              <w:ind w:left="175" w:firstLine="0"/>
              <w:contextualSpacing/>
              <w:rPr>
                <w:sz w:val="16"/>
                <w:szCs w:val="16"/>
              </w:rPr>
            </w:pPr>
            <w:r w:rsidRPr="00444DAC">
              <w:rPr>
                <w:sz w:val="16"/>
                <w:szCs w:val="16"/>
              </w:rPr>
              <w:t xml:space="preserve">Fournir autant que possible une électricité renouvelable à ce secteur. Les </w:t>
            </w:r>
            <w:r w:rsidR="005F216B" w:rsidRPr="00444DAC">
              <w:rPr>
                <w:sz w:val="16"/>
                <w:szCs w:val="16"/>
              </w:rPr>
              <w:t>prévisions</w:t>
            </w:r>
            <w:r w:rsidRPr="00444DAC">
              <w:rPr>
                <w:sz w:val="16"/>
                <w:szCs w:val="16"/>
              </w:rPr>
              <w:t xml:space="preserve"> en </w:t>
            </w:r>
            <w:r w:rsidR="005F216B" w:rsidRPr="00444DAC">
              <w:rPr>
                <w:sz w:val="16"/>
                <w:szCs w:val="16"/>
              </w:rPr>
              <w:t>matière</w:t>
            </w:r>
            <w:r w:rsidRPr="00444DAC">
              <w:rPr>
                <w:sz w:val="16"/>
                <w:szCs w:val="16"/>
              </w:rPr>
              <w:t xml:space="preserve"> de demande future d'électricité du secteur minier, dans un </w:t>
            </w:r>
            <w:r w:rsidR="005F216B" w:rsidRPr="00444DAC">
              <w:rPr>
                <w:sz w:val="16"/>
                <w:szCs w:val="16"/>
              </w:rPr>
              <w:t>scénario</w:t>
            </w:r>
            <w:r w:rsidRPr="00444DAC">
              <w:rPr>
                <w:sz w:val="16"/>
                <w:szCs w:val="16"/>
              </w:rPr>
              <w:t xml:space="preserve"> haut (avec deux fonderies d’aluminium et une </w:t>
            </w:r>
            <w:r w:rsidR="005F216B" w:rsidRPr="00444DAC">
              <w:rPr>
                <w:sz w:val="16"/>
                <w:szCs w:val="16"/>
              </w:rPr>
              <w:t>aciérie</w:t>
            </w:r>
            <w:r w:rsidRPr="00444DAC">
              <w:rPr>
                <w:sz w:val="16"/>
                <w:szCs w:val="16"/>
              </w:rPr>
              <w:t>) pourraient à elles seules absorber</w:t>
            </w:r>
            <w:r w:rsidRPr="004D411F">
              <w:rPr>
                <w:sz w:val="16"/>
                <w:szCs w:val="16"/>
              </w:rPr>
              <w:t xml:space="preserve"> plus de 80% du potentiel hydroélectrique (6</w:t>
            </w:r>
            <w:r w:rsidR="00FF4E97">
              <w:rPr>
                <w:sz w:val="16"/>
                <w:szCs w:val="16"/>
              </w:rPr>
              <w:t> </w:t>
            </w:r>
            <w:r w:rsidRPr="004D411F">
              <w:rPr>
                <w:sz w:val="16"/>
                <w:szCs w:val="16"/>
              </w:rPr>
              <w:t xml:space="preserve">000 MW) inventorié à ce jour. </w:t>
            </w:r>
          </w:p>
          <w:p w:rsidR="009A39F5" w:rsidRPr="004D411F" w:rsidRDefault="009A39F5" w:rsidP="000B6618">
            <w:pPr>
              <w:spacing w:line="276" w:lineRule="auto"/>
              <w:rPr>
                <w:b/>
                <w:sz w:val="16"/>
                <w:szCs w:val="16"/>
              </w:rPr>
            </w:pPr>
          </w:p>
        </w:tc>
        <w:tc>
          <w:tcPr>
            <w:tcW w:w="1731" w:type="dxa"/>
          </w:tcPr>
          <w:p w:rsidR="00444DAC" w:rsidRPr="00444DAC" w:rsidRDefault="00444DAC" w:rsidP="000B6618">
            <w:pPr>
              <w:spacing w:line="276" w:lineRule="auto"/>
              <w:rPr>
                <w:sz w:val="16"/>
              </w:rPr>
            </w:pPr>
            <w:r w:rsidRPr="00444DAC">
              <w:rPr>
                <w:sz w:val="16"/>
              </w:rPr>
              <w:t xml:space="preserve">Le potentiel d’atténuation de cet engagement (volet efficacité énergétique) pourrait représenter jusqu’à </w:t>
            </w:r>
            <w:r w:rsidRPr="00444DAC">
              <w:rPr>
                <w:b/>
                <w:sz w:val="16"/>
              </w:rPr>
              <w:t>9</w:t>
            </w:r>
            <w:r>
              <w:rPr>
                <w:b/>
                <w:sz w:val="16"/>
              </w:rPr>
              <w:t> </w:t>
            </w:r>
            <w:r w:rsidRPr="00444DAC">
              <w:rPr>
                <w:b/>
                <w:sz w:val="16"/>
              </w:rPr>
              <w:t>Mt CO2e cumulées sur les 15 prochaines années.</w:t>
            </w:r>
          </w:p>
          <w:p w:rsidR="009A39F5" w:rsidRPr="004D411F" w:rsidRDefault="009A39F5" w:rsidP="000B6618">
            <w:pPr>
              <w:spacing w:line="276" w:lineRule="auto"/>
              <w:rPr>
                <w:b/>
                <w:sz w:val="16"/>
                <w:szCs w:val="16"/>
              </w:rPr>
            </w:pPr>
          </w:p>
        </w:tc>
      </w:tr>
      <w:tr w:rsidR="00393909" w:rsidTr="00393909">
        <w:tc>
          <w:tcPr>
            <w:tcW w:w="10344" w:type="dxa"/>
            <w:gridSpan w:val="4"/>
            <w:tcBorders>
              <w:bottom w:val="single" w:sz="4" w:space="0" w:color="auto"/>
            </w:tcBorders>
          </w:tcPr>
          <w:p w:rsidR="00393909" w:rsidRPr="00393909" w:rsidRDefault="00393909" w:rsidP="00393909">
            <w:pPr>
              <w:pStyle w:val="Titre3"/>
              <w:spacing w:line="276" w:lineRule="auto"/>
            </w:pPr>
            <w:bookmarkStart w:id="20" w:name="_Toc431271797"/>
            <w:bookmarkStart w:id="21" w:name="_Toc431272535"/>
            <w:r>
              <w:t>Lacunes, barrieres et besoins</w:t>
            </w:r>
            <w:bookmarkEnd w:id="20"/>
            <w:bookmarkEnd w:id="21"/>
          </w:p>
          <w:p w:rsidR="00393909" w:rsidRPr="0053181C" w:rsidRDefault="007E550D" w:rsidP="000B6618">
            <w:pPr>
              <w:spacing w:line="276" w:lineRule="auto"/>
              <w:rPr>
                <w:sz w:val="16"/>
              </w:rPr>
            </w:pPr>
            <w:r>
              <w:rPr>
                <w:sz w:val="16"/>
              </w:rPr>
              <w:t xml:space="preserve">Les grandes entreprises du secteur minier appliquent </w:t>
            </w:r>
            <w:r w:rsidR="00E35E64" w:rsidRPr="0053181C">
              <w:rPr>
                <w:sz w:val="16"/>
              </w:rPr>
              <w:t>partiellement</w:t>
            </w:r>
            <w:r w:rsidRPr="0053181C">
              <w:rPr>
                <w:sz w:val="16"/>
              </w:rPr>
              <w:t xml:space="preserve"> les nouvelles applications du Code minier de 2013 relatives à la réalisation d’études d’impact environnemental et social en préalable à toute dégradation, à la compensation obligatoire et à la réhabilitation des anciennes mines. Cet engagement de Responsabilité sociale et environnementale (RSE) pourrait être complété par une intégration des risques liés aux changements climatiques</w:t>
            </w:r>
            <w:r w:rsidR="00471739" w:rsidRPr="0053181C">
              <w:rPr>
                <w:sz w:val="16"/>
              </w:rPr>
              <w:t>, et par la nécessité de réduire l’empreinte carbone de l’exploitation sur toute la chaîne de valeur</w:t>
            </w:r>
            <w:r w:rsidRPr="0053181C">
              <w:rPr>
                <w:sz w:val="16"/>
              </w:rPr>
              <w:t>.</w:t>
            </w:r>
          </w:p>
          <w:p w:rsidR="00471739" w:rsidRPr="0053181C" w:rsidRDefault="00471739" w:rsidP="000B6618">
            <w:pPr>
              <w:spacing w:line="276" w:lineRule="auto"/>
              <w:rPr>
                <w:sz w:val="16"/>
              </w:rPr>
            </w:pPr>
            <w:r w:rsidRPr="0053181C">
              <w:rPr>
                <w:sz w:val="16"/>
              </w:rPr>
              <w:t>Les exploitations minières traditionnelles sont, en revanche, plus difficiles à encadrer ; la vulgarisation des textes de lois et la sensibilisation des populations aux enjeux environnementaux peuvent constituer des pistes d’action.</w:t>
            </w:r>
          </w:p>
          <w:p w:rsidR="00393909" w:rsidRPr="00444DAC" w:rsidRDefault="007E550D" w:rsidP="0053181C">
            <w:pPr>
              <w:spacing w:line="276" w:lineRule="auto"/>
              <w:rPr>
                <w:sz w:val="16"/>
              </w:rPr>
            </w:pPr>
            <w:r w:rsidRPr="0053181C">
              <w:rPr>
                <w:sz w:val="16"/>
              </w:rPr>
              <w:t xml:space="preserve">Un certain nombre de taxes et de redevances sont prévues par le </w:t>
            </w:r>
            <w:r w:rsidR="00E35E64" w:rsidRPr="0053181C">
              <w:rPr>
                <w:sz w:val="16"/>
              </w:rPr>
              <w:t xml:space="preserve">Code de l’environnement et le </w:t>
            </w:r>
            <w:r w:rsidRPr="0053181C">
              <w:rPr>
                <w:sz w:val="16"/>
              </w:rPr>
              <w:t xml:space="preserve">Code minier de 2013 ; </w:t>
            </w:r>
            <w:r w:rsidR="00471739" w:rsidRPr="0053181C">
              <w:rPr>
                <w:sz w:val="16"/>
              </w:rPr>
              <w:t xml:space="preserve">l’explosion du secteur, tel qu’anticipé par l’administration guinéenne, serait ainsi susceptible de générer </w:t>
            </w:r>
            <w:r w:rsidR="00471739">
              <w:rPr>
                <w:sz w:val="16"/>
              </w:rPr>
              <w:t xml:space="preserve">d’importantes </w:t>
            </w:r>
            <w:r w:rsidR="0053181C">
              <w:rPr>
                <w:sz w:val="16"/>
              </w:rPr>
              <w:t xml:space="preserve">recettes. </w:t>
            </w:r>
            <w:r w:rsidR="00471739">
              <w:rPr>
                <w:sz w:val="16"/>
              </w:rPr>
              <w:t xml:space="preserve">Il pourrait être opportun de mobiliser une partie de ces recettes, ou bien de créer une nouvelle taxe, destinée au financement de la lutte contre les changements climatiques. </w:t>
            </w:r>
          </w:p>
        </w:tc>
      </w:tr>
      <w:tr w:rsidR="00393909" w:rsidTr="00393909">
        <w:tc>
          <w:tcPr>
            <w:tcW w:w="10344" w:type="dxa"/>
            <w:gridSpan w:val="4"/>
            <w:tcBorders>
              <w:left w:val="nil"/>
              <w:right w:val="nil"/>
            </w:tcBorders>
          </w:tcPr>
          <w:p w:rsidR="00393909" w:rsidRDefault="00393909" w:rsidP="000B6618">
            <w:pPr>
              <w:spacing w:line="276" w:lineRule="auto"/>
              <w:rPr>
                <w:sz w:val="16"/>
              </w:rPr>
            </w:pPr>
          </w:p>
          <w:p w:rsidR="001F3BF5" w:rsidRDefault="001F3BF5" w:rsidP="000B6618">
            <w:pPr>
              <w:spacing w:line="276" w:lineRule="auto"/>
              <w:rPr>
                <w:sz w:val="16"/>
              </w:rPr>
            </w:pPr>
          </w:p>
          <w:p w:rsidR="001F3BF5" w:rsidRPr="00444DAC" w:rsidRDefault="001F3BF5" w:rsidP="000B6618">
            <w:pPr>
              <w:spacing w:line="276" w:lineRule="auto"/>
              <w:rPr>
                <w:sz w:val="16"/>
              </w:rPr>
            </w:pPr>
          </w:p>
        </w:tc>
      </w:tr>
      <w:tr w:rsidR="00482049" w:rsidRPr="0053181C" w:rsidTr="00482049">
        <w:tc>
          <w:tcPr>
            <w:tcW w:w="1526" w:type="dxa"/>
          </w:tcPr>
          <w:p w:rsidR="00444DAC" w:rsidRPr="0053181C" w:rsidRDefault="00444DAC" w:rsidP="000B6618">
            <w:pPr>
              <w:spacing w:line="276" w:lineRule="auto"/>
              <w:rPr>
                <w:b/>
                <w:sz w:val="16"/>
                <w:szCs w:val="16"/>
              </w:rPr>
            </w:pPr>
            <w:r w:rsidRPr="0053181C">
              <w:rPr>
                <w:b/>
                <w:sz w:val="16"/>
                <w:szCs w:val="16"/>
              </w:rPr>
              <w:t xml:space="preserve">Gérer durablement ses forêts </w:t>
            </w:r>
          </w:p>
          <w:p w:rsidR="00444DAC" w:rsidRPr="0053181C" w:rsidRDefault="00444DAC" w:rsidP="000B6618">
            <w:pPr>
              <w:spacing w:line="276" w:lineRule="auto"/>
              <w:rPr>
                <w:b/>
                <w:sz w:val="16"/>
                <w:szCs w:val="16"/>
              </w:rPr>
            </w:pPr>
          </w:p>
        </w:tc>
        <w:tc>
          <w:tcPr>
            <w:tcW w:w="3969" w:type="dxa"/>
          </w:tcPr>
          <w:p w:rsidR="00444DAC" w:rsidRPr="0053181C" w:rsidRDefault="00444DAC" w:rsidP="000B6618">
            <w:pPr>
              <w:spacing w:line="276" w:lineRule="auto"/>
              <w:rPr>
                <w:sz w:val="16"/>
                <w:szCs w:val="16"/>
              </w:rPr>
            </w:pPr>
            <w:r w:rsidRPr="0053181C">
              <w:rPr>
                <w:sz w:val="16"/>
                <w:szCs w:val="16"/>
              </w:rPr>
              <w:t>La Guinée recèle un patrimoine de diversité biologique riche et varié</w:t>
            </w:r>
            <w:r w:rsidR="00B95E5E" w:rsidRPr="0053181C">
              <w:rPr>
                <w:sz w:val="16"/>
                <w:szCs w:val="16"/>
              </w:rPr>
              <w:t>, avec</w:t>
            </w:r>
            <w:r w:rsidRPr="0053181C">
              <w:rPr>
                <w:sz w:val="16"/>
                <w:szCs w:val="16"/>
              </w:rPr>
              <w:t xml:space="preserve"> notamment des forêts denses humides dans sa partie sud-est, des forêts sèches au nord, des forêts denses mésophiles entre Boké et Mamou en passant par Kindia, </w:t>
            </w:r>
            <w:r w:rsidR="00B95E5E" w:rsidRPr="0053181C">
              <w:rPr>
                <w:sz w:val="16"/>
                <w:szCs w:val="16"/>
              </w:rPr>
              <w:t xml:space="preserve">et </w:t>
            </w:r>
            <w:r w:rsidRPr="0053181C">
              <w:rPr>
                <w:sz w:val="16"/>
                <w:szCs w:val="16"/>
              </w:rPr>
              <w:t xml:space="preserve">des forêts de mangrove. Ces zones constituent des endroits privilégiés pour la conservation de grands mammifères, d’oiseaux, de batraciens, beaucoup de familles d’invertébrés… Plusieurs espèces </w:t>
            </w:r>
            <w:r w:rsidRPr="0053181C">
              <w:rPr>
                <w:sz w:val="16"/>
                <w:szCs w:val="16"/>
              </w:rPr>
              <w:lastRenderedPageBreak/>
              <w:t>endémiques y vivent.</w:t>
            </w:r>
          </w:p>
          <w:p w:rsidR="00444DAC" w:rsidRPr="0053181C" w:rsidRDefault="00444DAC" w:rsidP="000B6618">
            <w:pPr>
              <w:spacing w:line="276" w:lineRule="auto"/>
              <w:rPr>
                <w:sz w:val="16"/>
                <w:szCs w:val="16"/>
              </w:rPr>
            </w:pPr>
            <w:r w:rsidRPr="0053181C">
              <w:rPr>
                <w:sz w:val="16"/>
                <w:szCs w:val="16"/>
              </w:rPr>
              <w:t xml:space="preserve">En 1994, la Communication Nationale Initiale estimait que la Guinée était un puits de carbone grâce à ses forêts. </w:t>
            </w:r>
          </w:p>
          <w:p w:rsidR="00444DAC" w:rsidRPr="0053181C" w:rsidRDefault="00444DAC" w:rsidP="000B6618">
            <w:pPr>
              <w:spacing w:line="276" w:lineRule="auto"/>
              <w:rPr>
                <w:sz w:val="16"/>
                <w:szCs w:val="16"/>
              </w:rPr>
            </w:pPr>
            <w:r w:rsidRPr="0053181C">
              <w:rPr>
                <w:sz w:val="16"/>
                <w:szCs w:val="16"/>
              </w:rPr>
              <w:t>Faute d’inventaires forestiers disponibles (le dernier remonte à plus de 20 ans), il est difficile d’estimer précisément la progression de la déforestation en Guinée</w:t>
            </w:r>
            <w:r w:rsidR="00B95E5E" w:rsidRPr="0053181C">
              <w:rPr>
                <w:sz w:val="16"/>
                <w:szCs w:val="16"/>
              </w:rPr>
              <w:t>. M</w:t>
            </w:r>
            <w:r w:rsidRPr="0053181C">
              <w:rPr>
                <w:sz w:val="16"/>
                <w:szCs w:val="16"/>
              </w:rPr>
              <w:t>ais celle-ci est rapide du fait de la pression anthropique (bois de feu, urbanisation, agriculture)</w:t>
            </w:r>
            <w:r w:rsidR="00E35E64" w:rsidRPr="0053181C">
              <w:rPr>
                <w:sz w:val="16"/>
                <w:szCs w:val="16"/>
              </w:rPr>
              <w:t xml:space="preserve">. AGRYHMET </w:t>
            </w:r>
            <w:r w:rsidRPr="0053181C">
              <w:rPr>
                <w:sz w:val="16"/>
                <w:szCs w:val="16"/>
              </w:rPr>
              <w:t>mentionnait en 2005 une diminution de 10,3% de la superficie de la mangrove et une bai</w:t>
            </w:r>
            <w:r w:rsidR="003C018C" w:rsidRPr="0053181C">
              <w:rPr>
                <w:sz w:val="16"/>
                <w:szCs w:val="16"/>
              </w:rPr>
              <w:t xml:space="preserve">sse de 33% de la superficie de </w:t>
            </w:r>
            <w:r w:rsidRPr="0053181C">
              <w:rPr>
                <w:sz w:val="16"/>
                <w:szCs w:val="16"/>
              </w:rPr>
              <w:t>l’ensemble des forêts sur la période 1972-2000.</w:t>
            </w:r>
          </w:p>
          <w:p w:rsidR="00444DAC" w:rsidRPr="0053181C" w:rsidRDefault="00444DAC" w:rsidP="000B6618">
            <w:pPr>
              <w:spacing w:line="276" w:lineRule="auto"/>
              <w:rPr>
                <w:sz w:val="16"/>
                <w:szCs w:val="16"/>
              </w:rPr>
            </w:pPr>
          </w:p>
        </w:tc>
        <w:tc>
          <w:tcPr>
            <w:tcW w:w="3118" w:type="dxa"/>
          </w:tcPr>
          <w:p w:rsidR="00444DAC" w:rsidRPr="0053181C" w:rsidRDefault="00444DAC" w:rsidP="00E8127D">
            <w:pPr>
              <w:numPr>
                <w:ilvl w:val="0"/>
                <w:numId w:val="11"/>
              </w:numPr>
              <w:spacing w:after="0" w:line="276" w:lineRule="auto"/>
              <w:ind w:left="176" w:firstLine="0"/>
              <w:contextualSpacing/>
              <w:rPr>
                <w:sz w:val="16"/>
                <w:szCs w:val="16"/>
              </w:rPr>
            </w:pPr>
            <w:r w:rsidRPr="0053181C">
              <w:rPr>
                <w:sz w:val="16"/>
                <w:szCs w:val="16"/>
              </w:rPr>
              <w:lastRenderedPageBreak/>
              <w:t xml:space="preserve">Stabiliser, à horizon 2030, la superficie de </w:t>
            </w:r>
            <w:r w:rsidR="00B95E5E" w:rsidRPr="0053181C">
              <w:rPr>
                <w:sz w:val="16"/>
                <w:szCs w:val="16"/>
              </w:rPr>
              <w:t xml:space="preserve">la </w:t>
            </w:r>
            <w:r w:rsidRPr="0053181C">
              <w:rPr>
                <w:sz w:val="16"/>
                <w:szCs w:val="16"/>
              </w:rPr>
              <w:t>mangrove (pic de déforestation en 2020</w:t>
            </w:r>
            <w:r w:rsidR="005F1D57" w:rsidRPr="0053181C">
              <w:rPr>
                <w:sz w:val="16"/>
                <w:szCs w:val="16"/>
              </w:rPr>
              <w:t xml:space="preserve"> ; des mesures de reboisement plus systématiques seront introduites d’ici-là, ainsi que les mesures liées </w:t>
            </w:r>
            <w:r w:rsidR="001A081E" w:rsidRPr="0053181C">
              <w:rPr>
                <w:sz w:val="16"/>
                <w:szCs w:val="16"/>
              </w:rPr>
              <w:t>aux alternatives technologiques permettant de limiter la consommation de bois-énergie</w:t>
            </w:r>
            <w:r w:rsidR="005F1D57" w:rsidRPr="0053181C">
              <w:rPr>
                <w:sz w:val="16"/>
                <w:szCs w:val="16"/>
              </w:rPr>
              <w:t xml:space="preserve">, </w:t>
            </w:r>
            <w:r w:rsidR="0053181C" w:rsidRPr="0053181C">
              <w:rPr>
                <w:sz w:val="16"/>
                <w:szCs w:val="16"/>
              </w:rPr>
              <w:t xml:space="preserve">et </w:t>
            </w:r>
            <w:r w:rsidR="005F1D57" w:rsidRPr="0053181C">
              <w:rPr>
                <w:sz w:val="16"/>
                <w:szCs w:val="16"/>
              </w:rPr>
              <w:t xml:space="preserve">à l’intensification de </w:t>
            </w:r>
            <w:r w:rsidR="005F1D57" w:rsidRPr="0053181C">
              <w:rPr>
                <w:sz w:val="16"/>
                <w:szCs w:val="16"/>
              </w:rPr>
              <w:lastRenderedPageBreak/>
              <w:t>la riziculture</w:t>
            </w:r>
            <w:r w:rsidRPr="0053181C">
              <w:rPr>
                <w:sz w:val="16"/>
                <w:szCs w:val="16"/>
              </w:rPr>
              <w:t>)</w:t>
            </w:r>
            <w:r w:rsidR="00B95E5E" w:rsidRPr="0053181C">
              <w:rPr>
                <w:sz w:val="16"/>
                <w:szCs w:val="16"/>
              </w:rPr>
              <w:t> ;</w:t>
            </w:r>
          </w:p>
          <w:p w:rsidR="005F1D57" w:rsidRPr="0053181C" w:rsidRDefault="005F1D57" w:rsidP="00E8127D">
            <w:pPr>
              <w:numPr>
                <w:ilvl w:val="0"/>
                <w:numId w:val="11"/>
              </w:numPr>
              <w:spacing w:after="0" w:line="276" w:lineRule="auto"/>
              <w:ind w:left="176" w:firstLine="0"/>
              <w:contextualSpacing/>
              <w:rPr>
                <w:sz w:val="16"/>
                <w:szCs w:val="16"/>
              </w:rPr>
            </w:pPr>
            <w:r w:rsidRPr="0053181C">
              <w:rPr>
                <w:sz w:val="16"/>
                <w:szCs w:val="16"/>
              </w:rPr>
              <w:t>Assurer des programmes de reboisement dans l’ensemble du territoire à hauteur de 10 000 ha par an et gérer durablement les surfaces reboisées</w:t>
            </w:r>
            <w:r w:rsidR="00B95E5E" w:rsidRPr="0053181C">
              <w:rPr>
                <w:sz w:val="16"/>
                <w:szCs w:val="16"/>
              </w:rPr>
              <w:t> ;</w:t>
            </w:r>
          </w:p>
          <w:p w:rsidR="005F1D57" w:rsidRPr="0053181C" w:rsidRDefault="005F1D57" w:rsidP="00E35E64">
            <w:pPr>
              <w:pStyle w:val="Commentaire"/>
              <w:numPr>
                <w:ilvl w:val="0"/>
                <w:numId w:val="11"/>
              </w:numPr>
              <w:spacing w:line="276" w:lineRule="auto"/>
              <w:ind w:left="176" w:hanging="1"/>
              <w:jc w:val="both"/>
            </w:pPr>
            <w:r w:rsidRPr="0053181C">
              <w:rPr>
                <w:rFonts w:ascii="Verdana" w:hAnsi="Verdana"/>
                <w:sz w:val="16"/>
                <w:szCs w:val="16"/>
              </w:rPr>
              <w:t xml:space="preserve">Rendre effective la préservation </w:t>
            </w:r>
            <w:r w:rsidR="00E35E64" w:rsidRPr="0053181C">
              <w:rPr>
                <w:rFonts w:ascii="Verdana" w:hAnsi="Verdana"/>
                <w:sz w:val="16"/>
                <w:szCs w:val="16"/>
              </w:rPr>
              <w:t xml:space="preserve">des forêts classées et </w:t>
            </w:r>
            <w:r w:rsidRPr="0053181C">
              <w:rPr>
                <w:rFonts w:ascii="Verdana" w:hAnsi="Verdana"/>
                <w:sz w:val="16"/>
                <w:szCs w:val="16"/>
              </w:rPr>
              <w:t>des aires protégées à travers le renforcement des structures de contrôle (</w:t>
            </w:r>
            <w:r w:rsidR="00972B75" w:rsidRPr="0053181C">
              <w:rPr>
                <w:rFonts w:ascii="Verdana" w:hAnsi="Verdana"/>
                <w:sz w:val="16"/>
                <w:szCs w:val="16"/>
              </w:rPr>
              <w:t xml:space="preserve">Office Guinéen des Parcs et réserves, </w:t>
            </w:r>
            <w:r w:rsidR="00734A1F" w:rsidRPr="0053181C">
              <w:rPr>
                <w:rFonts w:ascii="Verdana" w:hAnsi="Verdana"/>
                <w:sz w:val="16"/>
                <w:szCs w:val="16"/>
              </w:rPr>
              <w:t>conservateurs de la nature</w:t>
            </w:r>
            <w:r w:rsidRPr="0053181C">
              <w:rPr>
                <w:rFonts w:ascii="Verdana" w:hAnsi="Verdana"/>
                <w:sz w:val="16"/>
                <w:szCs w:val="16"/>
              </w:rPr>
              <w:t>), la sensibilisation</w:t>
            </w:r>
            <w:r w:rsidR="00972B75" w:rsidRPr="0053181C">
              <w:rPr>
                <w:rFonts w:ascii="Verdana" w:hAnsi="Verdana"/>
                <w:sz w:val="16"/>
                <w:szCs w:val="16"/>
              </w:rPr>
              <w:t>, la gestion participative</w:t>
            </w:r>
            <w:r w:rsidRPr="0053181C">
              <w:rPr>
                <w:rFonts w:ascii="Verdana" w:hAnsi="Verdana"/>
                <w:sz w:val="16"/>
                <w:szCs w:val="16"/>
              </w:rPr>
              <w:t xml:space="preserve"> et l</w:t>
            </w:r>
            <w:r w:rsidR="00101250" w:rsidRPr="0053181C">
              <w:rPr>
                <w:rFonts w:ascii="Verdana" w:hAnsi="Verdana"/>
                <w:sz w:val="16"/>
                <w:szCs w:val="16"/>
              </w:rPr>
              <w:t>’application</w:t>
            </w:r>
            <w:r w:rsidRPr="0053181C">
              <w:rPr>
                <w:rFonts w:ascii="Verdana" w:hAnsi="Verdana"/>
                <w:sz w:val="16"/>
                <w:szCs w:val="16"/>
              </w:rPr>
              <w:t xml:space="preserve"> de</w:t>
            </w:r>
            <w:r w:rsidR="00101250" w:rsidRPr="0053181C">
              <w:rPr>
                <w:rFonts w:ascii="Verdana" w:hAnsi="Verdana"/>
                <w:sz w:val="16"/>
                <w:szCs w:val="16"/>
              </w:rPr>
              <w:t>s</w:t>
            </w:r>
            <w:r w:rsidRPr="0053181C">
              <w:rPr>
                <w:rFonts w:ascii="Verdana" w:hAnsi="Verdana"/>
                <w:sz w:val="16"/>
                <w:szCs w:val="16"/>
              </w:rPr>
              <w:t xml:space="preserve"> sanctions pénales</w:t>
            </w:r>
            <w:r w:rsidR="00CE2673" w:rsidRPr="0053181C">
              <w:rPr>
                <w:rFonts w:ascii="Verdana" w:hAnsi="Verdana"/>
                <w:sz w:val="16"/>
                <w:szCs w:val="16"/>
              </w:rPr>
              <w:t xml:space="preserve"> prévues par le Code Forestier</w:t>
            </w:r>
            <w:r w:rsidRPr="0053181C">
              <w:rPr>
                <w:rFonts w:ascii="Verdana" w:hAnsi="Verdana"/>
                <w:sz w:val="16"/>
                <w:szCs w:val="16"/>
              </w:rPr>
              <w:t>.</w:t>
            </w:r>
          </w:p>
        </w:tc>
        <w:tc>
          <w:tcPr>
            <w:tcW w:w="1731" w:type="dxa"/>
          </w:tcPr>
          <w:p w:rsidR="004A67AD" w:rsidRPr="0053181C" w:rsidRDefault="004A67AD" w:rsidP="004A67AD">
            <w:pPr>
              <w:spacing w:line="276" w:lineRule="auto"/>
              <w:rPr>
                <w:b/>
                <w:sz w:val="16"/>
              </w:rPr>
            </w:pPr>
            <w:r w:rsidRPr="0053181C">
              <w:rPr>
                <w:b/>
                <w:sz w:val="16"/>
              </w:rPr>
              <w:lastRenderedPageBreak/>
              <w:t xml:space="preserve">Les données disponibles ne permettent pas actuellement d’évaluer le potentiel d’atténuation de cet engagement. </w:t>
            </w:r>
          </w:p>
          <w:p w:rsidR="004A67AD" w:rsidRPr="0053181C" w:rsidRDefault="004A67AD" w:rsidP="004A67AD">
            <w:pPr>
              <w:spacing w:line="276" w:lineRule="auto"/>
              <w:rPr>
                <w:b/>
                <w:sz w:val="16"/>
              </w:rPr>
            </w:pPr>
          </w:p>
          <w:p w:rsidR="004A67AD" w:rsidRPr="0053181C" w:rsidRDefault="004A67AD" w:rsidP="004A67AD">
            <w:pPr>
              <w:spacing w:line="276" w:lineRule="auto"/>
              <w:rPr>
                <w:sz w:val="16"/>
              </w:rPr>
            </w:pPr>
            <w:r w:rsidRPr="0053181C">
              <w:rPr>
                <w:sz w:val="16"/>
              </w:rPr>
              <w:lastRenderedPageBreak/>
              <w:t xml:space="preserve">La </w:t>
            </w:r>
            <w:proofErr w:type="gramStart"/>
            <w:r w:rsidRPr="0053181C">
              <w:rPr>
                <w:sz w:val="16"/>
              </w:rPr>
              <w:t>CNI estimait</w:t>
            </w:r>
            <w:proofErr w:type="gramEnd"/>
            <w:r w:rsidRPr="0053181C">
              <w:rPr>
                <w:sz w:val="16"/>
              </w:rPr>
              <w:t xml:space="preserve"> cependant que le secteur CUTF </w:t>
            </w:r>
            <w:r w:rsidRPr="0053181C">
              <w:rPr>
                <w:b/>
                <w:sz w:val="16"/>
              </w:rPr>
              <w:t>stockait21 Mt CO2e en 1994.</w:t>
            </w:r>
          </w:p>
          <w:p w:rsidR="002E6672" w:rsidRPr="0053181C" w:rsidRDefault="002E6672" w:rsidP="000B6618">
            <w:pPr>
              <w:spacing w:line="276" w:lineRule="auto"/>
              <w:rPr>
                <w:sz w:val="16"/>
                <w:szCs w:val="16"/>
              </w:rPr>
            </w:pPr>
          </w:p>
        </w:tc>
      </w:tr>
      <w:tr w:rsidR="00482049" w:rsidRPr="0053181C" w:rsidTr="00393909">
        <w:tc>
          <w:tcPr>
            <w:tcW w:w="10344" w:type="dxa"/>
            <w:gridSpan w:val="4"/>
          </w:tcPr>
          <w:p w:rsidR="00393909" w:rsidRPr="0053181C" w:rsidRDefault="00393909" w:rsidP="00393909">
            <w:pPr>
              <w:pStyle w:val="Titre3"/>
              <w:spacing w:line="276" w:lineRule="auto"/>
            </w:pPr>
            <w:bookmarkStart w:id="22" w:name="_Toc431271798"/>
            <w:bookmarkStart w:id="23" w:name="_Toc431272536"/>
            <w:r w:rsidRPr="0053181C">
              <w:lastRenderedPageBreak/>
              <w:t>Lacunes, barrieres et besoins</w:t>
            </w:r>
            <w:bookmarkEnd w:id="22"/>
            <w:bookmarkEnd w:id="23"/>
          </w:p>
          <w:p w:rsidR="00393909" w:rsidRPr="0053181C" w:rsidRDefault="00972B75" w:rsidP="00393909">
            <w:pPr>
              <w:spacing w:line="276" w:lineRule="auto"/>
              <w:rPr>
                <w:sz w:val="16"/>
                <w:lang w:val="it-IT"/>
              </w:rPr>
            </w:pPr>
            <w:r w:rsidRPr="0053181C">
              <w:rPr>
                <w:sz w:val="16"/>
                <w:lang w:val="it-IT"/>
              </w:rPr>
              <w:t>Les principaux défis pour cet engagement tiennent dans l’insuffisance des moyens financiers et humains, les lacunes de la connaissance scientifique sur le rythme de dégradation des forêts, ainsi que la faible implication des communautés locales</w:t>
            </w:r>
            <w:r w:rsidR="007E550D" w:rsidRPr="0053181C">
              <w:rPr>
                <w:sz w:val="16"/>
                <w:lang w:val="it-IT"/>
              </w:rPr>
              <w:t xml:space="preserve"> dans la gestion durable des forêts</w:t>
            </w:r>
            <w:r w:rsidRPr="0053181C">
              <w:rPr>
                <w:sz w:val="16"/>
                <w:lang w:val="it-IT"/>
              </w:rPr>
              <w:t xml:space="preserve">. </w:t>
            </w:r>
          </w:p>
          <w:p w:rsidR="007E550D" w:rsidRPr="0053181C" w:rsidRDefault="007E550D" w:rsidP="00393909">
            <w:pPr>
              <w:spacing w:line="276" w:lineRule="auto"/>
              <w:rPr>
                <w:sz w:val="16"/>
                <w:lang w:val="it-IT"/>
              </w:rPr>
            </w:pPr>
            <w:r w:rsidRPr="0053181C">
              <w:rPr>
                <w:sz w:val="16"/>
                <w:lang w:val="it-IT"/>
              </w:rPr>
              <w:t>L’application ferme des textes réglementaires (Code forestier de 1999, code environnemental) et la révision d</w:t>
            </w:r>
            <w:r w:rsidR="00D65982" w:rsidRPr="0053181C">
              <w:rPr>
                <w:sz w:val="16"/>
                <w:lang w:val="it-IT"/>
              </w:rPr>
              <w:t>u schéma directeur</w:t>
            </w:r>
            <w:r w:rsidRPr="0053181C">
              <w:rPr>
                <w:sz w:val="16"/>
                <w:lang w:val="it-IT"/>
              </w:rPr>
              <w:t xml:space="preserve"> d’aménagement </w:t>
            </w:r>
            <w:r w:rsidR="00D65982" w:rsidRPr="0053181C">
              <w:rPr>
                <w:sz w:val="16"/>
                <w:lang w:val="it-IT"/>
              </w:rPr>
              <w:t xml:space="preserve">de la mangrove </w:t>
            </w:r>
            <w:r w:rsidRPr="0053181C">
              <w:rPr>
                <w:sz w:val="16"/>
                <w:lang w:val="it-IT"/>
              </w:rPr>
              <w:t>(SDAM) sont des priorités.</w:t>
            </w:r>
          </w:p>
          <w:p w:rsidR="00393909" w:rsidRPr="0053181C" w:rsidRDefault="00972B75" w:rsidP="001A081E">
            <w:pPr>
              <w:spacing w:line="276" w:lineRule="auto"/>
              <w:rPr>
                <w:lang w:val="it-IT"/>
              </w:rPr>
            </w:pPr>
            <w:r w:rsidRPr="0053181C">
              <w:rPr>
                <w:sz w:val="16"/>
                <w:lang w:val="it-IT"/>
              </w:rPr>
              <w:t xml:space="preserve">Le Fonds forester national </w:t>
            </w:r>
            <w:r w:rsidR="00101250" w:rsidRPr="0053181C">
              <w:rPr>
                <w:sz w:val="16"/>
                <w:lang w:val="it-IT"/>
              </w:rPr>
              <w:t>et le Fonds de sauvegarde de l’environnement sont eux</w:t>
            </w:r>
            <w:r w:rsidRPr="0053181C">
              <w:rPr>
                <w:sz w:val="16"/>
                <w:lang w:val="it-IT"/>
              </w:rPr>
              <w:t>-même</w:t>
            </w:r>
            <w:r w:rsidR="00101250" w:rsidRPr="0053181C">
              <w:rPr>
                <w:sz w:val="16"/>
                <w:lang w:val="it-IT"/>
              </w:rPr>
              <w:t>s</w:t>
            </w:r>
            <w:r w:rsidRPr="0053181C">
              <w:rPr>
                <w:sz w:val="16"/>
                <w:lang w:val="it-IT"/>
              </w:rPr>
              <w:t xml:space="preserve"> très insuffisamment abondé</w:t>
            </w:r>
            <w:r w:rsidR="001A081E" w:rsidRPr="0053181C">
              <w:rPr>
                <w:sz w:val="16"/>
                <w:lang w:val="it-IT"/>
              </w:rPr>
              <w:t>s</w:t>
            </w:r>
            <w:r w:rsidRPr="0053181C">
              <w:rPr>
                <w:sz w:val="16"/>
                <w:lang w:val="it-IT"/>
              </w:rPr>
              <w:t xml:space="preserve"> pour permettre l’atteinte des engagements cités</w:t>
            </w:r>
            <w:r w:rsidR="00101250" w:rsidRPr="0053181C">
              <w:rPr>
                <w:sz w:val="16"/>
                <w:lang w:val="it-IT"/>
              </w:rPr>
              <w:t>, notamment pour des programmes de reboisement et de gestion durable des aires reboisées</w:t>
            </w:r>
            <w:r w:rsidRPr="0053181C">
              <w:rPr>
                <w:sz w:val="16"/>
                <w:lang w:val="it-IT"/>
              </w:rPr>
              <w:t xml:space="preserve">. Ainsi, </w:t>
            </w:r>
            <w:r w:rsidR="007E550D" w:rsidRPr="0053181C">
              <w:rPr>
                <w:sz w:val="16"/>
                <w:lang w:val="it-IT"/>
              </w:rPr>
              <w:t xml:space="preserve">une évaluation plus fine des modalités d’abondement serait nécessaire, notamment afin de couvrir les besoins liés à la protection et la valorisation </w:t>
            </w:r>
            <w:r w:rsidR="001A081E" w:rsidRPr="0053181C">
              <w:rPr>
                <w:sz w:val="16"/>
                <w:lang w:val="it-IT"/>
              </w:rPr>
              <w:t>des ressources forestières</w:t>
            </w:r>
            <w:r w:rsidR="007E550D" w:rsidRPr="0053181C">
              <w:rPr>
                <w:sz w:val="16"/>
                <w:lang w:val="it-IT"/>
              </w:rPr>
              <w:t>.</w:t>
            </w:r>
          </w:p>
        </w:tc>
      </w:tr>
    </w:tbl>
    <w:p w:rsidR="009A39F5" w:rsidRPr="0053181C" w:rsidRDefault="009A39F5" w:rsidP="000B6618">
      <w:pPr>
        <w:spacing w:line="276" w:lineRule="auto"/>
      </w:pPr>
    </w:p>
    <w:p w:rsidR="00B82E05" w:rsidRDefault="00B82E05" w:rsidP="00266077">
      <w:pPr>
        <w:pStyle w:val="Titre1"/>
        <w:numPr>
          <w:ilvl w:val="0"/>
          <w:numId w:val="8"/>
        </w:numPr>
        <w:spacing w:line="276" w:lineRule="auto"/>
      </w:pPr>
      <w:bookmarkStart w:id="24" w:name="h.mncaqpapk1s1" w:colFirst="0" w:colLast="0"/>
      <w:bookmarkStart w:id="25" w:name="h.sjgo8nol8160" w:colFirst="0" w:colLast="0"/>
      <w:bookmarkStart w:id="26" w:name="_Toc431272537"/>
      <w:bookmarkEnd w:id="24"/>
      <w:bookmarkEnd w:id="25"/>
      <w:r>
        <w:t>Equité et ambition</w:t>
      </w:r>
      <w:bookmarkEnd w:id="26"/>
    </w:p>
    <w:p w:rsidR="00B82E05" w:rsidRDefault="00E73BD3" w:rsidP="000B6618">
      <w:pPr>
        <w:spacing w:line="276" w:lineRule="auto"/>
        <w:rPr>
          <w:lang w:val="it-IT"/>
        </w:rPr>
      </w:pPr>
      <w:r>
        <w:rPr>
          <w:lang w:val="it-IT"/>
        </w:rPr>
        <w:t xml:space="preserve">La République de Guinée fait partie des Pays les moins avancés et doit faire face à des défis socio-économiques considérables. </w:t>
      </w:r>
    </w:p>
    <w:p w:rsidR="004A67AD" w:rsidRPr="00347866" w:rsidRDefault="00E73BD3" w:rsidP="004A67AD">
      <w:pPr>
        <w:spacing w:line="276" w:lineRule="auto"/>
        <w:rPr>
          <w:b/>
          <w:lang w:val="it-IT"/>
        </w:rPr>
      </w:pPr>
      <w:r>
        <w:t xml:space="preserve">Les </w:t>
      </w:r>
      <w:r w:rsidRPr="004B7D11">
        <w:rPr>
          <w:b/>
        </w:rPr>
        <w:t>émissions de GES de la République de Guinée sont très faibles</w:t>
      </w:r>
      <w:r>
        <w:t>, comparées à un niveau moyen mondial ; elle était même, selon la CNI, un puits de carbone</w:t>
      </w:r>
      <w:r w:rsidR="0053181C">
        <w:rPr>
          <w:rStyle w:val="Appelnotedebasdep"/>
        </w:rPr>
        <w:footnoteReference w:id="2"/>
      </w:r>
      <w:r>
        <w:t>.</w:t>
      </w:r>
      <w:r w:rsidR="004A67AD">
        <w:rPr>
          <w:lang w:val="it-IT"/>
        </w:rPr>
        <w:t xml:space="preserve">La </w:t>
      </w:r>
      <w:r w:rsidR="00D65982">
        <w:rPr>
          <w:b/>
          <w:lang w:val="it-IT"/>
        </w:rPr>
        <w:t>part</w:t>
      </w:r>
      <w:r w:rsidR="004A67AD" w:rsidRPr="00347866">
        <w:rPr>
          <w:b/>
          <w:lang w:val="it-IT"/>
        </w:rPr>
        <w:t xml:space="preserve"> de la Guinée </w:t>
      </w:r>
      <w:r w:rsidR="00D65982">
        <w:rPr>
          <w:b/>
          <w:lang w:val="it-IT"/>
        </w:rPr>
        <w:t xml:space="preserve">dans les </w:t>
      </w:r>
      <w:r w:rsidR="004A67AD" w:rsidRPr="00347866">
        <w:rPr>
          <w:b/>
          <w:lang w:val="it-IT"/>
        </w:rPr>
        <w:t>émissions de GES</w:t>
      </w:r>
      <w:r w:rsidR="00D65982">
        <w:rPr>
          <w:b/>
          <w:lang w:val="it-IT"/>
        </w:rPr>
        <w:t xml:space="preserve"> au niveau global</w:t>
      </w:r>
      <w:r w:rsidR="004A67AD" w:rsidRPr="00347866">
        <w:rPr>
          <w:b/>
          <w:lang w:val="it-IT"/>
        </w:rPr>
        <w:t xml:space="preserve"> s’élèvait à </w:t>
      </w:r>
      <w:r w:rsidR="0053181C">
        <w:rPr>
          <w:b/>
          <w:lang w:val="it-IT"/>
        </w:rPr>
        <w:t xml:space="preserve">bien </w:t>
      </w:r>
      <w:r w:rsidR="004A67AD" w:rsidRPr="00347866">
        <w:rPr>
          <w:b/>
          <w:lang w:val="it-IT"/>
        </w:rPr>
        <w:t>moins de 0,1% en 2010.</w:t>
      </w:r>
    </w:p>
    <w:p w:rsidR="004A67AD" w:rsidRDefault="004A67AD" w:rsidP="004A67AD">
      <w:pPr>
        <w:spacing w:line="276" w:lineRule="auto"/>
        <w:rPr>
          <w:lang w:val="it-IT"/>
        </w:rPr>
      </w:pPr>
      <w:r>
        <w:rPr>
          <w:lang w:val="it-IT"/>
        </w:rPr>
        <w:t xml:space="preserve">Malgré cela, la République de Guinée propose de mettre en oeuvre des actions d’atténuation correspondant à </w:t>
      </w:r>
      <w:r w:rsidRPr="003C018C">
        <w:rPr>
          <w:b/>
          <w:lang w:val="it-IT"/>
        </w:rPr>
        <w:t>une déviation</w:t>
      </w:r>
      <w:r w:rsidR="003C018C">
        <w:rPr>
          <w:b/>
          <w:lang w:val="it-IT"/>
        </w:rPr>
        <w:t xml:space="preserve"> qui</w:t>
      </w:r>
      <w:r w:rsidRPr="00502BB9">
        <w:rPr>
          <w:b/>
          <w:lang w:val="it-IT"/>
        </w:rPr>
        <w:t xml:space="preserve"> équivaut à près de -13 % par rapport au scénario business as </w:t>
      </w:r>
      <w:r w:rsidRPr="0053181C">
        <w:rPr>
          <w:b/>
          <w:lang w:val="it-IT"/>
        </w:rPr>
        <w:t>usual</w:t>
      </w:r>
      <w:r w:rsidR="003C018C" w:rsidRPr="0053181C">
        <w:rPr>
          <w:b/>
          <w:lang w:val="it-IT"/>
        </w:rPr>
        <w:t xml:space="preserve"> à horizon 2030</w:t>
      </w:r>
      <w:r w:rsidRPr="0053181C">
        <w:rPr>
          <w:b/>
          <w:lang w:val="it-IT"/>
        </w:rPr>
        <w:t>, sans prendre en compte sa capacité de stockage par l’utilisation des sols</w:t>
      </w:r>
      <w:r w:rsidR="00D65982" w:rsidRPr="0053181C">
        <w:rPr>
          <w:b/>
          <w:lang w:val="it-IT"/>
        </w:rPr>
        <w:t xml:space="preserve"> et de la foresterie</w:t>
      </w:r>
      <w:r w:rsidR="00CC13A2">
        <w:rPr>
          <w:b/>
          <w:lang w:val="it-IT"/>
        </w:rPr>
        <w:t xml:space="preserve"> </w:t>
      </w:r>
      <w:r w:rsidR="003C018C">
        <w:rPr>
          <w:b/>
          <w:lang w:val="it-IT"/>
        </w:rPr>
        <w:t>(hors CUTF)</w:t>
      </w:r>
      <w:r w:rsidRPr="00502BB9">
        <w:rPr>
          <w:b/>
          <w:lang w:val="it-IT"/>
        </w:rPr>
        <w:t>.</w:t>
      </w:r>
    </w:p>
    <w:p w:rsidR="004540FF" w:rsidRDefault="004540FF" w:rsidP="004540FF">
      <w:pPr>
        <w:pStyle w:val="Titre1"/>
        <w:numPr>
          <w:ilvl w:val="0"/>
          <w:numId w:val="8"/>
        </w:numPr>
        <w:spacing w:line="276" w:lineRule="auto"/>
      </w:pPr>
      <w:bookmarkStart w:id="27" w:name="_Toc431272538"/>
      <w:r>
        <w:t>Processus de planification, de mise en œuvre et de suivi de la CPDN</w:t>
      </w:r>
      <w:bookmarkEnd w:id="27"/>
    </w:p>
    <w:p w:rsidR="004540FF" w:rsidRDefault="004540FF" w:rsidP="004540FF">
      <w:pPr>
        <w:pStyle w:val="Titre3"/>
        <w:spacing w:line="276" w:lineRule="auto"/>
      </w:pPr>
      <w:bookmarkStart w:id="28" w:name="_Toc431272539"/>
      <w:r>
        <w:t>Activités transversales nécessaires pour la mise en oeuvre de la CPDN</w:t>
      </w:r>
      <w:bookmarkEnd w:id="28"/>
    </w:p>
    <w:p w:rsidR="004540FF" w:rsidRPr="00A459FB" w:rsidRDefault="004540FF" w:rsidP="004540FF">
      <w:pPr>
        <w:spacing w:line="276" w:lineRule="auto"/>
        <w:rPr>
          <w:lang w:val="it-IT"/>
        </w:rPr>
      </w:pPr>
      <w:r>
        <w:rPr>
          <w:lang w:val="it-IT"/>
        </w:rPr>
        <w:t xml:space="preserve">Afin de mettre en oeuvre les engagements de la CPDN, quatre actions transversales urgentes doivent être menées, avec le soutien de la communauté internationale : </w:t>
      </w:r>
    </w:p>
    <w:p w:rsidR="004540FF" w:rsidRPr="0053181C" w:rsidRDefault="004540FF" w:rsidP="004540FF">
      <w:pPr>
        <w:pStyle w:val="Paragraphedeliste"/>
        <w:numPr>
          <w:ilvl w:val="0"/>
          <w:numId w:val="15"/>
        </w:numPr>
        <w:spacing w:line="276" w:lineRule="auto"/>
        <w:rPr>
          <w:szCs w:val="18"/>
          <w:lang w:val="it-IT"/>
        </w:rPr>
      </w:pPr>
      <w:r w:rsidRPr="0040470D">
        <w:rPr>
          <w:szCs w:val="18"/>
          <w:lang w:val="it-IT"/>
        </w:rPr>
        <w:t xml:space="preserve">Satisfaire </w:t>
      </w:r>
      <w:r w:rsidRPr="0040470D">
        <w:rPr>
          <w:szCs w:val="18"/>
        </w:rPr>
        <w:t xml:space="preserve">les importants besoins en matière de production de données robustes et accessibles, </w:t>
      </w:r>
      <w:r>
        <w:rPr>
          <w:szCs w:val="18"/>
        </w:rPr>
        <w:t xml:space="preserve">de documents transversaux de planification stratégique à moyen terme </w:t>
      </w:r>
      <w:r w:rsidRPr="0040470D">
        <w:rPr>
          <w:szCs w:val="18"/>
        </w:rPr>
        <w:t xml:space="preserve">et de monitoring relatifs aux </w:t>
      </w:r>
      <w:r w:rsidRPr="0040470D">
        <w:rPr>
          <w:szCs w:val="18"/>
        </w:rPr>
        <w:lastRenderedPageBreak/>
        <w:t xml:space="preserve">ressources </w:t>
      </w:r>
      <w:r w:rsidRPr="0053181C">
        <w:rPr>
          <w:szCs w:val="18"/>
        </w:rPr>
        <w:t>naturelles (en particulier hydriques et forestières, ainsi que les données météorologiques); ces besoins peuvent être couverts en partie par des accords bilatéraux avec certains organismes à portée régionale ;</w:t>
      </w:r>
    </w:p>
    <w:p w:rsidR="004540FF" w:rsidRPr="0053181C" w:rsidRDefault="004540FF" w:rsidP="004540FF">
      <w:pPr>
        <w:pStyle w:val="Paragraphedeliste"/>
        <w:numPr>
          <w:ilvl w:val="0"/>
          <w:numId w:val="15"/>
        </w:numPr>
        <w:spacing w:line="276" w:lineRule="auto"/>
        <w:rPr>
          <w:szCs w:val="18"/>
        </w:rPr>
      </w:pPr>
      <w:r w:rsidRPr="0053181C">
        <w:rPr>
          <w:szCs w:val="18"/>
        </w:rPr>
        <w:t>Promouvoir l’intégration des enjeux du changement climatique, en particulier liés à l’adaptation, dans la planification et la budgétisation au niveau local, sectoriel et national ;</w:t>
      </w:r>
    </w:p>
    <w:p w:rsidR="004540FF" w:rsidRPr="0053181C" w:rsidRDefault="002534BD" w:rsidP="004540FF">
      <w:pPr>
        <w:pStyle w:val="Paragraphedeliste"/>
        <w:numPr>
          <w:ilvl w:val="0"/>
          <w:numId w:val="15"/>
        </w:numPr>
        <w:spacing w:line="276" w:lineRule="auto"/>
        <w:rPr>
          <w:szCs w:val="18"/>
        </w:rPr>
      </w:pPr>
      <w:r w:rsidRPr="0053181C">
        <w:rPr>
          <w:szCs w:val="18"/>
        </w:rPr>
        <w:t xml:space="preserve">Tenir compte de la problématique du genre </w:t>
      </w:r>
      <w:r w:rsidR="004540FF" w:rsidRPr="0053181C">
        <w:rPr>
          <w:szCs w:val="18"/>
        </w:rPr>
        <w:t>dans tous les programmes et projets de développement;</w:t>
      </w:r>
    </w:p>
    <w:p w:rsidR="004540FF" w:rsidRDefault="004540FF" w:rsidP="004540FF">
      <w:pPr>
        <w:pStyle w:val="Paragraphedeliste"/>
        <w:numPr>
          <w:ilvl w:val="0"/>
          <w:numId w:val="15"/>
        </w:numPr>
        <w:spacing w:line="276" w:lineRule="auto"/>
        <w:rPr>
          <w:szCs w:val="18"/>
        </w:rPr>
      </w:pPr>
      <w:r w:rsidRPr="0053181C">
        <w:rPr>
          <w:szCs w:val="18"/>
        </w:rPr>
        <w:t xml:space="preserve">Vulgariser et communiquer l’information liée au droit de l’environnement, aux causes et impacts du changement climatique, dans une démarche de sensibilisation </w:t>
      </w:r>
      <w:r>
        <w:rPr>
          <w:szCs w:val="18"/>
        </w:rPr>
        <w:t>et d’éducation de l’ensemble de la population guinéenne.</w:t>
      </w:r>
    </w:p>
    <w:p w:rsidR="004540FF" w:rsidRDefault="004540FF" w:rsidP="004540FF">
      <w:pPr>
        <w:pStyle w:val="Titre3"/>
        <w:spacing w:line="276" w:lineRule="auto"/>
      </w:pPr>
      <w:bookmarkStart w:id="29" w:name="_Toc431272540"/>
      <w:r>
        <w:t>Activités spécifiques pour la mise en oeuvre de la CPDN</w:t>
      </w:r>
      <w:bookmarkEnd w:id="29"/>
    </w:p>
    <w:tbl>
      <w:tblPr>
        <w:tblStyle w:val="Grilledutableau"/>
        <w:tblW w:w="0" w:type="auto"/>
        <w:tblLook w:val="04A0" w:firstRow="1" w:lastRow="0" w:firstColumn="1" w:lastColumn="0" w:noHBand="0" w:noVBand="1"/>
      </w:tblPr>
      <w:tblGrid>
        <w:gridCol w:w="2470"/>
        <w:gridCol w:w="7844"/>
      </w:tblGrid>
      <w:tr w:rsidR="004540FF" w:rsidRPr="0053181C" w:rsidTr="00387646">
        <w:tc>
          <w:tcPr>
            <w:tcW w:w="2470" w:type="dxa"/>
            <w:vMerge w:val="restart"/>
            <w:shd w:val="clear" w:color="auto" w:fill="E5DFEC" w:themeFill="accent4" w:themeFillTint="33"/>
          </w:tcPr>
          <w:p w:rsidR="004540FF" w:rsidRPr="0053181C" w:rsidRDefault="004540FF" w:rsidP="00387646">
            <w:pPr>
              <w:spacing w:line="276" w:lineRule="auto"/>
              <w:rPr>
                <w:b/>
                <w:sz w:val="16"/>
                <w:szCs w:val="18"/>
                <w:lang w:val="it-IT"/>
              </w:rPr>
            </w:pPr>
            <w:r w:rsidRPr="0053181C">
              <w:rPr>
                <w:b/>
                <w:sz w:val="16"/>
                <w:szCs w:val="18"/>
                <w:lang w:val="it-IT"/>
              </w:rPr>
              <w:t>Cadre législatif et réglementaire</w:t>
            </w:r>
          </w:p>
        </w:tc>
        <w:tc>
          <w:tcPr>
            <w:tcW w:w="7844" w:type="dxa"/>
            <w:shd w:val="clear" w:color="auto" w:fill="E5DFEC" w:themeFill="accent4" w:themeFillTint="33"/>
          </w:tcPr>
          <w:p w:rsidR="004540FF" w:rsidRPr="0053181C" w:rsidRDefault="002534BD" w:rsidP="00387646">
            <w:pPr>
              <w:spacing w:line="276" w:lineRule="auto"/>
              <w:rPr>
                <w:sz w:val="16"/>
                <w:szCs w:val="18"/>
                <w:lang w:val="it-IT"/>
              </w:rPr>
            </w:pPr>
            <w:r w:rsidRPr="0053181C">
              <w:rPr>
                <w:sz w:val="16"/>
                <w:szCs w:val="18"/>
                <w:lang w:val="it-IT"/>
              </w:rPr>
              <w:t xml:space="preserve">Préparation et adoption </w:t>
            </w:r>
            <w:r w:rsidR="004540FF" w:rsidRPr="0053181C">
              <w:rPr>
                <w:sz w:val="16"/>
                <w:szCs w:val="18"/>
                <w:lang w:val="it-IT"/>
              </w:rPr>
              <w:t>de textes légaux relatifs à la mise en oeuvre et au suivi-évaluation de la CPDN et aux décisions et résolutions de la CCNUCC, type loi-cadre sur l’environnement et les changements climatiques</w:t>
            </w:r>
            <w:r w:rsidR="000B7358" w:rsidRPr="0053181C">
              <w:rPr>
                <w:sz w:val="16"/>
                <w:szCs w:val="18"/>
                <w:lang w:val="it-IT"/>
              </w:rPr>
              <w:t>.</w:t>
            </w:r>
          </w:p>
        </w:tc>
      </w:tr>
      <w:tr w:rsidR="004540FF" w:rsidRPr="0053181C" w:rsidTr="00387646">
        <w:tc>
          <w:tcPr>
            <w:tcW w:w="2470" w:type="dxa"/>
            <w:vMerge/>
            <w:shd w:val="clear" w:color="auto" w:fill="E5DFEC" w:themeFill="accent4" w:themeFillTint="33"/>
          </w:tcPr>
          <w:p w:rsidR="004540FF" w:rsidRPr="0053181C" w:rsidRDefault="004540FF" w:rsidP="00387646">
            <w:pPr>
              <w:spacing w:line="276" w:lineRule="auto"/>
              <w:rPr>
                <w:b/>
                <w:sz w:val="16"/>
                <w:szCs w:val="18"/>
                <w:lang w:val="it-IT"/>
              </w:rPr>
            </w:pPr>
          </w:p>
        </w:tc>
        <w:tc>
          <w:tcPr>
            <w:tcW w:w="7844" w:type="dxa"/>
            <w:shd w:val="clear" w:color="auto" w:fill="E5DFEC" w:themeFill="accent4" w:themeFillTint="33"/>
          </w:tcPr>
          <w:p w:rsidR="004540FF" w:rsidRPr="0053181C" w:rsidRDefault="002534BD" w:rsidP="002534BD">
            <w:pPr>
              <w:spacing w:line="276" w:lineRule="auto"/>
              <w:rPr>
                <w:sz w:val="16"/>
                <w:szCs w:val="18"/>
                <w:lang w:val="it-IT"/>
              </w:rPr>
            </w:pPr>
            <w:r w:rsidRPr="0053181C">
              <w:rPr>
                <w:sz w:val="16"/>
                <w:szCs w:val="18"/>
                <w:lang w:val="it-IT"/>
              </w:rPr>
              <w:t>Préparation et a</w:t>
            </w:r>
            <w:r w:rsidR="004540FF" w:rsidRPr="0053181C">
              <w:rPr>
                <w:sz w:val="16"/>
                <w:szCs w:val="18"/>
                <w:lang w:val="it-IT"/>
              </w:rPr>
              <w:t>doption de textes légaux sectoriels relatifs à la mise en oeuvre de la CPDN</w:t>
            </w:r>
            <w:r w:rsidR="000B7358" w:rsidRPr="0053181C">
              <w:rPr>
                <w:sz w:val="16"/>
                <w:szCs w:val="18"/>
                <w:lang w:val="it-IT"/>
              </w:rPr>
              <w:t>.</w:t>
            </w:r>
          </w:p>
        </w:tc>
      </w:tr>
      <w:tr w:rsidR="00C91B85" w:rsidRPr="0053181C" w:rsidTr="00387646">
        <w:tc>
          <w:tcPr>
            <w:tcW w:w="2470" w:type="dxa"/>
            <w:vMerge w:val="restart"/>
            <w:shd w:val="clear" w:color="auto" w:fill="D6E3BC" w:themeFill="accent3" w:themeFillTint="66"/>
          </w:tcPr>
          <w:p w:rsidR="00C91B85" w:rsidRPr="0053181C" w:rsidRDefault="00C91B85" w:rsidP="00387646">
            <w:pPr>
              <w:spacing w:line="276" w:lineRule="auto"/>
              <w:rPr>
                <w:b/>
                <w:sz w:val="16"/>
                <w:szCs w:val="18"/>
                <w:lang w:val="it-IT"/>
              </w:rPr>
            </w:pPr>
            <w:r w:rsidRPr="0053181C">
              <w:rPr>
                <w:b/>
                <w:sz w:val="16"/>
                <w:szCs w:val="18"/>
                <w:lang w:val="it-IT"/>
              </w:rPr>
              <w:t>Cadre institutionnel</w:t>
            </w:r>
          </w:p>
        </w:tc>
        <w:tc>
          <w:tcPr>
            <w:tcW w:w="7844" w:type="dxa"/>
            <w:shd w:val="clear" w:color="auto" w:fill="D6E3BC" w:themeFill="accent3" w:themeFillTint="66"/>
          </w:tcPr>
          <w:p w:rsidR="00C91B85" w:rsidRPr="0053181C" w:rsidRDefault="00C91B85" w:rsidP="002534BD">
            <w:pPr>
              <w:spacing w:line="276" w:lineRule="auto"/>
              <w:rPr>
                <w:sz w:val="16"/>
                <w:szCs w:val="18"/>
                <w:lang w:val="it-IT"/>
              </w:rPr>
            </w:pPr>
            <w:r w:rsidRPr="0053181C">
              <w:rPr>
                <w:sz w:val="16"/>
                <w:szCs w:val="18"/>
                <w:lang w:val="it-IT"/>
              </w:rPr>
              <w:t>Pérennisation de la PNC-COP21 en “Plateforme nationale de consultation sur la politique de lutte contre les changements climatiques”, chargée du suivi et de l’évaluation de la mise en oeuvre de la CPDN</w:t>
            </w:r>
            <w:r w:rsidR="002534BD" w:rsidRPr="0053181C">
              <w:rPr>
                <w:sz w:val="16"/>
                <w:szCs w:val="18"/>
                <w:lang w:val="it-IT"/>
              </w:rPr>
              <w:t>, en tant qu’organisme consultatif</w:t>
            </w:r>
            <w:r w:rsidR="000B7358" w:rsidRPr="0053181C">
              <w:rPr>
                <w:sz w:val="16"/>
                <w:szCs w:val="18"/>
                <w:lang w:val="it-IT"/>
              </w:rPr>
              <w:t>.</w:t>
            </w:r>
          </w:p>
        </w:tc>
      </w:tr>
      <w:tr w:rsidR="00C91B85" w:rsidRPr="0053181C" w:rsidTr="00387646">
        <w:tc>
          <w:tcPr>
            <w:tcW w:w="2470" w:type="dxa"/>
            <w:vMerge/>
            <w:shd w:val="clear" w:color="auto" w:fill="D6E3BC" w:themeFill="accent3" w:themeFillTint="66"/>
          </w:tcPr>
          <w:p w:rsidR="00C91B85" w:rsidRPr="0053181C" w:rsidRDefault="00C91B85" w:rsidP="00387646">
            <w:pPr>
              <w:spacing w:line="276" w:lineRule="auto"/>
              <w:rPr>
                <w:b/>
                <w:sz w:val="16"/>
                <w:szCs w:val="18"/>
                <w:lang w:val="it-IT"/>
              </w:rPr>
            </w:pPr>
          </w:p>
        </w:tc>
        <w:tc>
          <w:tcPr>
            <w:tcW w:w="7844" w:type="dxa"/>
            <w:shd w:val="clear" w:color="auto" w:fill="D6E3BC" w:themeFill="accent3" w:themeFillTint="66"/>
          </w:tcPr>
          <w:p w:rsidR="00C91B85" w:rsidRPr="0053181C" w:rsidRDefault="00C91B85" w:rsidP="0053181C">
            <w:pPr>
              <w:spacing w:line="276" w:lineRule="auto"/>
              <w:rPr>
                <w:sz w:val="16"/>
                <w:szCs w:val="18"/>
                <w:lang w:val="it-IT"/>
              </w:rPr>
            </w:pPr>
            <w:r w:rsidRPr="0053181C">
              <w:rPr>
                <w:sz w:val="16"/>
                <w:szCs w:val="18"/>
                <w:lang w:val="it-IT"/>
              </w:rPr>
              <w:t xml:space="preserve">Désignation de </w:t>
            </w:r>
            <w:r w:rsidR="002534BD" w:rsidRPr="0053181C">
              <w:rPr>
                <w:sz w:val="16"/>
                <w:szCs w:val="18"/>
                <w:lang w:val="it-IT"/>
              </w:rPr>
              <w:t xml:space="preserve">correspondants </w:t>
            </w:r>
            <w:r w:rsidRPr="0053181C">
              <w:rPr>
                <w:sz w:val="16"/>
                <w:szCs w:val="18"/>
                <w:lang w:val="it-IT"/>
              </w:rPr>
              <w:t>climat au sein de chaque Ministère, bénéficiant de formations régulières sur l’intégration des enjeux climat</w:t>
            </w:r>
            <w:r w:rsidR="000B7358" w:rsidRPr="0053181C">
              <w:rPr>
                <w:sz w:val="16"/>
                <w:szCs w:val="18"/>
                <w:lang w:val="it-IT"/>
              </w:rPr>
              <w:t>.</w:t>
            </w:r>
          </w:p>
        </w:tc>
      </w:tr>
      <w:tr w:rsidR="00C91B85" w:rsidRPr="0053181C" w:rsidTr="00387646">
        <w:tc>
          <w:tcPr>
            <w:tcW w:w="2470" w:type="dxa"/>
            <w:vMerge/>
            <w:shd w:val="clear" w:color="auto" w:fill="D6E3BC" w:themeFill="accent3" w:themeFillTint="66"/>
          </w:tcPr>
          <w:p w:rsidR="00C91B85" w:rsidRPr="0053181C" w:rsidRDefault="00C91B85" w:rsidP="00387646">
            <w:pPr>
              <w:spacing w:line="276" w:lineRule="auto"/>
              <w:rPr>
                <w:b/>
                <w:sz w:val="16"/>
                <w:szCs w:val="18"/>
                <w:lang w:val="it-IT"/>
              </w:rPr>
            </w:pPr>
          </w:p>
        </w:tc>
        <w:tc>
          <w:tcPr>
            <w:tcW w:w="7844" w:type="dxa"/>
            <w:shd w:val="clear" w:color="auto" w:fill="D6E3BC" w:themeFill="accent3" w:themeFillTint="66"/>
          </w:tcPr>
          <w:p w:rsidR="00C91B85" w:rsidRPr="0053181C" w:rsidRDefault="00C91B85" w:rsidP="004540FF">
            <w:pPr>
              <w:spacing w:line="276" w:lineRule="auto"/>
              <w:rPr>
                <w:sz w:val="16"/>
                <w:szCs w:val="18"/>
                <w:lang w:val="it-IT"/>
              </w:rPr>
            </w:pPr>
            <w:r w:rsidRPr="0053181C">
              <w:rPr>
                <w:sz w:val="16"/>
                <w:szCs w:val="18"/>
                <w:lang w:val="it-IT"/>
              </w:rPr>
              <w:t xml:space="preserve">Création </w:t>
            </w:r>
            <w:r w:rsidR="002534BD" w:rsidRPr="0053181C">
              <w:rPr>
                <w:sz w:val="16"/>
                <w:szCs w:val="18"/>
                <w:lang w:val="it-IT"/>
              </w:rPr>
              <w:t xml:space="preserve">d’un comité de pilotage </w:t>
            </w:r>
            <w:r w:rsidRPr="0053181C">
              <w:rPr>
                <w:sz w:val="16"/>
                <w:szCs w:val="18"/>
                <w:lang w:val="it-IT"/>
              </w:rPr>
              <w:t xml:space="preserve">de suivi-évaluation des politiques publiques de lutte contre les changements climatiques, au sein du </w:t>
            </w:r>
            <w:r w:rsidR="001202C3" w:rsidRPr="0053181C">
              <w:rPr>
                <w:sz w:val="16"/>
                <w:szCs w:val="18"/>
                <w:lang w:val="it-IT"/>
              </w:rPr>
              <w:t>Conseil national de l’environnement et du développement durable</w:t>
            </w:r>
            <w:r w:rsidRPr="0053181C">
              <w:rPr>
                <w:sz w:val="16"/>
                <w:szCs w:val="18"/>
                <w:lang w:val="it-IT"/>
              </w:rPr>
              <w:t xml:space="preserve">, et impliquant des experts </w:t>
            </w:r>
            <w:r w:rsidR="0053181C" w:rsidRPr="0053181C">
              <w:rPr>
                <w:sz w:val="16"/>
                <w:szCs w:val="18"/>
                <w:lang w:val="it-IT"/>
              </w:rPr>
              <w:t>d’instituts de recherche</w:t>
            </w:r>
            <w:r w:rsidRPr="0053181C">
              <w:rPr>
                <w:sz w:val="16"/>
                <w:szCs w:val="18"/>
                <w:lang w:val="it-IT"/>
              </w:rPr>
              <w:t>, de la Direction nationale de l’environnement,</w:t>
            </w:r>
            <w:r w:rsidR="001202C3" w:rsidRPr="0053181C">
              <w:rPr>
                <w:sz w:val="16"/>
                <w:szCs w:val="18"/>
                <w:lang w:val="it-IT"/>
              </w:rPr>
              <w:t xml:space="preserve"> de la Direction des Eaux et forêts,</w:t>
            </w:r>
            <w:r w:rsidRPr="0053181C">
              <w:rPr>
                <w:sz w:val="16"/>
                <w:szCs w:val="18"/>
                <w:lang w:val="it-IT"/>
              </w:rPr>
              <w:t xml:space="preserve"> de la Direction des études d’impacts et des </w:t>
            </w:r>
            <w:r w:rsidR="002534BD" w:rsidRPr="0053181C">
              <w:rPr>
                <w:sz w:val="16"/>
                <w:szCs w:val="18"/>
                <w:lang w:val="it-IT"/>
              </w:rPr>
              <w:t>correspondants climat</w:t>
            </w:r>
            <w:r w:rsidRPr="0053181C">
              <w:rPr>
                <w:sz w:val="16"/>
                <w:szCs w:val="18"/>
                <w:lang w:val="it-IT"/>
              </w:rPr>
              <w:t xml:space="preserve">. </w:t>
            </w:r>
          </w:p>
          <w:p w:rsidR="002534BD" w:rsidRPr="0053181C" w:rsidRDefault="001202C3" w:rsidP="001202C3">
            <w:pPr>
              <w:spacing w:line="276" w:lineRule="auto"/>
              <w:rPr>
                <w:sz w:val="16"/>
                <w:szCs w:val="18"/>
                <w:lang w:val="it-IT"/>
              </w:rPr>
            </w:pPr>
            <w:r w:rsidRPr="0053181C">
              <w:rPr>
                <w:sz w:val="16"/>
                <w:szCs w:val="18"/>
                <w:lang w:val="it-IT"/>
              </w:rPr>
              <w:t>Ce comité</w:t>
            </w:r>
            <w:r w:rsidR="00C91B85" w:rsidRPr="0053181C">
              <w:rPr>
                <w:sz w:val="16"/>
                <w:szCs w:val="18"/>
                <w:lang w:val="it-IT"/>
              </w:rPr>
              <w:t xml:space="preserve"> devrait disposer de ressources propres pour lui permettre d’accomplir ses fonctions. </w:t>
            </w:r>
          </w:p>
        </w:tc>
      </w:tr>
      <w:tr w:rsidR="00C91B85" w:rsidRPr="0053181C" w:rsidTr="00387646">
        <w:tc>
          <w:tcPr>
            <w:tcW w:w="2470" w:type="dxa"/>
            <w:vMerge/>
            <w:shd w:val="clear" w:color="auto" w:fill="D6E3BC" w:themeFill="accent3" w:themeFillTint="66"/>
          </w:tcPr>
          <w:p w:rsidR="00C91B85" w:rsidRPr="0053181C" w:rsidRDefault="00C91B85" w:rsidP="00387646">
            <w:pPr>
              <w:spacing w:line="276" w:lineRule="auto"/>
              <w:rPr>
                <w:b/>
                <w:sz w:val="16"/>
                <w:szCs w:val="18"/>
                <w:lang w:val="it-IT"/>
              </w:rPr>
            </w:pPr>
          </w:p>
        </w:tc>
        <w:tc>
          <w:tcPr>
            <w:tcW w:w="7844" w:type="dxa"/>
            <w:shd w:val="clear" w:color="auto" w:fill="D6E3BC" w:themeFill="accent3" w:themeFillTint="66"/>
          </w:tcPr>
          <w:p w:rsidR="00C91B85" w:rsidRPr="0053181C" w:rsidRDefault="00C91B85" w:rsidP="001202C3">
            <w:pPr>
              <w:spacing w:line="276" w:lineRule="auto"/>
              <w:rPr>
                <w:sz w:val="16"/>
                <w:szCs w:val="18"/>
                <w:lang w:val="it-IT"/>
              </w:rPr>
            </w:pPr>
            <w:r w:rsidRPr="0053181C">
              <w:rPr>
                <w:sz w:val="16"/>
                <w:szCs w:val="18"/>
                <w:lang w:val="it-IT"/>
              </w:rPr>
              <w:t xml:space="preserve">Renforcement des moyens alloués à l’intégration des </w:t>
            </w:r>
            <w:r w:rsidR="00F37F40" w:rsidRPr="0053181C">
              <w:rPr>
                <w:sz w:val="16"/>
                <w:szCs w:val="18"/>
                <w:lang w:val="it-IT"/>
              </w:rPr>
              <w:t>enjeux climat dans les P</w:t>
            </w:r>
            <w:r w:rsidR="001202C3" w:rsidRPr="0053181C">
              <w:rPr>
                <w:sz w:val="16"/>
                <w:szCs w:val="18"/>
                <w:lang w:val="it-IT"/>
              </w:rPr>
              <w:t xml:space="preserve">lans de développement locaux </w:t>
            </w:r>
            <w:r w:rsidR="00F37F40" w:rsidRPr="0053181C">
              <w:rPr>
                <w:sz w:val="16"/>
                <w:szCs w:val="18"/>
                <w:lang w:val="it-IT"/>
              </w:rPr>
              <w:t>(Min</w:t>
            </w:r>
            <w:r w:rsidRPr="0053181C">
              <w:rPr>
                <w:sz w:val="16"/>
                <w:szCs w:val="18"/>
                <w:lang w:val="it-IT"/>
              </w:rPr>
              <w:t>i</w:t>
            </w:r>
            <w:r w:rsidR="00F37F40" w:rsidRPr="0053181C">
              <w:rPr>
                <w:sz w:val="16"/>
                <w:szCs w:val="18"/>
                <w:lang w:val="it-IT"/>
              </w:rPr>
              <w:t>s</w:t>
            </w:r>
            <w:r w:rsidRPr="0053181C">
              <w:rPr>
                <w:sz w:val="16"/>
                <w:szCs w:val="18"/>
                <w:lang w:val="it-IT"/>
              </w:rPr>
              <w:t>tère de l’Administration du territoire et de la décentralisation)</w:t>
            </w:r>
            <w:r w:rsidR="00F37F40" w:rsidRPr="0053181C">
              <w:rPr>
                <w:sz w:val="16"/>
                <w:szCs w:val="18"/>
                <w:lang w:val="it-IT"/>
              </w:rPr>
              <w:t xml:space="preserve"> et dans les Plans de développement urbains</w:t>
            </w:r>
            <w:r w:rsidR="000B7358" w:rsidRPr="0053181C">
              <w:rPr>
                <w:sz w:val="16"/>
                <w:szCs w:val="18"/>
                <w:lang w:val="it-IT"/>
              </w:rPr>
              <w:t>.</w:t>
            </w:r>
          </w:p>
        </w:tc>
      </w:tr>
      <w:tr w:rsidR="00C91B85" w:rsidRPr="0053181C" w:rsidTr="00387646">
        <w:tc>
          <w:tcPr>
            <w:tcW w:w="2470" w:type="dxa"/>
            <w:vMerge/>
            <w:shd w:val="clear" w:color="auto" w:fill="D6E3BC" w:themeFill="accent3" w:themeFillTint="66"/>
          </w:tcPr>
          <w:p w:rsidR="00C91B85" w:rsidRPr="0053181C" w:rsidRDefault="00C91B85" w:rsidP="00387646">
            <w:pPr>
              <w:spacing w:line="276" w:lineRule="auto"/>
              <w:rPr>
                <w:b/>
                <w:sz w:val="16"/>
                <w:szCs w:val="18"/>
              </w:rPr>
            </w:pPr>
          </w:p>
        </w:tc>
        <w:tc>
          <w:tcPr>
            <w:tcW w:w="7844" w:type="dxa"/>
            <w:shd w:val="clear" w:color="auto" w:fill="D6E3BC" w:themeFill="accent3" w:themeFillTint="66"/>
          </w:tcPr>
          <w:p w:rsidR="00C91B85" w:rsidRPr="0053181C" w:rsidRDefault="00C91B85" w:rsidP="001202C3">
            <w:pPr>
              <w:spacing w:line="276" w:lineRule="auto"/>
              <w:rPr>
                <w:sz w:val="16"/>
                <w:szCs w:val="18"/>
              </w:rPr>
            </w:pPr>
            <w:r w:rsidRPr="0053181C">
              <w:rPr>
                <w:sz w:val="16"/>
              </w:rPr>
              <w:t>La République de Guinée a ratifié les trois principales conventions des Nations Unies : CDB (199</w:t>
            </w:r>
            <w:r w:rsidR="001202C3" w:rsidRPr="0053181C">
              <w:rPr>
                <w:sz w:val="16"/>
              </w:rPr>
              <w:t>3</w:t>
            </w:r>
            <w:r w:rsidRPr="0053181C">
              <w:rPr>
                <w:sz w:val="16"/>
              </w:rPr>
              <w:t>), CNUL</w:t>
            </w:r>
            <w:r w:rsidR="001202C3" w:rsidRPr="0053181C">
              <w:rPr>
                <w:sz w:val="16"/>
              </w:rPr>
              <w:t>C</w:t>
            </w:r>
            <w:r w:rsidRPr="0053181C">
              <w:rPr>
                <w:sz w:val="16"/>
              </w:rPr>
              <w:t>D (199</w:t>
            </w:r>
            <w:r w:rsidR="001202C3" w:rsidRPr="0053181C">
              <w:rPr>
                <w:sz w:val="16"/>
              </w:rPr>
              <w:t>7</w:t>
            </w:r>
            <w:r w:rsidRPr="0053181C">
              <w:rPr>
                <w:sz w:val="16"/>
              </w:rPr>
              <w:t>), CCNUCC (199</w:t>
            </w:r>
            <w:r w:rsidR="001202C3" w:rsidRPr="0053181C">
              <w:rPr>
                <w:sz w:val="16"/>
              </w:rPr>
              <w:t>3</w:t>
            </w:r>
            <w:r w:rsidRPr="0053181C">
              <w:rPr>
                <w:sz w:val="16"/>
              </w:rPr>
              <w:t>). A ce titre, une meilleure coordination des points focaux de chacune des conventions pourrait permettre de créer des synergies.</w:t>
            </w:r>
          </w:p>
        </w:tc>
      </w:tr>
      <w:tr w:rsidR="004540FF" w:rsidRPr="0053181C" w:rsidTr="00387646">
        <w:tc>
          <w:tcPr>
            <w:tcW w:w="2470" w:type="dxa"/>
            <w:vMerge w:val="restart"/>
            <w:shd w:val="clear" w:color="auto" w:fill="FDE9D9" w:themeFill="accent6" w:themeFillTint="33"/>
          </w:tcPr>
          <w:p w:rsidR="004540FF" w:rsidRPr="0053181C" w:rsidRDefault="004540FF" w:rsidP="00387646">
            <w:pPr>
              <w:spacing w:line="276" w:lineRule="auto"/>
              <w:rPr>
                <w:b/>
                <w:sz w:val="16"/>
                <w:szCs w:val="18"/>
                <w:lang w:val="it-IT"/>
              </w:rPr>
            </w:pPr>
            <w:r w:rsidRPr="0053181C">
              <w:rPr>
                <w:b/>
                <w:sz w:val="16"/>
                <w:szCs w:val="18"/>
                <w:lang w:val="it-IT"/>
              </w:rPr>
              <w:t>Opérationnalisation de la CPDN</w:t>
            </w:r>
          </w:p>
        </w:tc>
        <w:tc>
          <w:tcPr>
            <w:tcW w:w="7844" w:type="dxa"/>
            <w:shd w:val="clear" w:color="auto" w:fill="FDE9D9" w:themeFill="accent6" w:themeFillTint="33"/>
          </w:tcPr>
          <w:p w:rsidR="004540FF" w:rsidRPr="0053181C" w:rsidRDefault="004540FF" w:rsidP="00387646">
            <w:pPr>
              <w:spacing w:line="276" w:lineRule="auto"/>
              <w:rPr>
                <w:sz w:val="16"/>
                <w:szCs w:val="18"/>
                <w:lang w:val="it-IT"/>
              </w:rPr>
            </w:pPr>
            <w:r w:rsidRPr="0053181C">
              <w:rPr>
                <w:sz w:val="16"/>
                <w:szCs w:val="18"/>
                <w:lang w:val="it-IT"/>
              </w:rPr>
              <w:t xml:space="preserve">Achever, de manière urgente: </w:t>
            </w:r>
          </w:p>
          <w:p w:rsidR="004540FF" w:rsidRPr="0053181C" w:rsidRDefault="004540FF" w:rsidP="00387646">
            <w:pPr>
              <w:pStyle w:val="Paragraphedeliste"/>
              <w:numPr>
                <w:ilvl w:val="0"/>
                <w:numId w:val="15"/>
              </w:numPr>
              <w:spacing w:line="276" w:lineRule="auto"/>
              <w:rPr>
                <w:sz w:val="16"/>
                <w:szCs w:val="18"/>
                <w:lang w:val="it-IT"/>
              </w:rPr>
            </w:pPr>
            <w:r w:rsidRPr="0053181C">
              <w:rPr>
                <w:sz w:val="16"/>
                <w:szCs w:val="18"/>
                <w:lang w:val="it-IT"/>
              </w:rPr>
              <w:t>La 2nde communication nationale sur les changements climatiques</w:t>
            </w:r>
            <w:r w:rsidR="000B7358" w:rsidRPr="0053181C">
              <w:rPr>
                <w:sz w:val="16"/>
                <w:szCs w:val="18"/>
                <w:lang w:val="it-IT"/>
              </w:rPr>
              <w:t>;</w:t>
            </w:r>
          </w:p>
          <w:p w:rsidR="004540FF" w:rsidRPr="0053181C" w:rsidRDefault="00761672" w:rsidP="00387646">
            <w:pPr>
              <w:pStyle w:val="Paragraphedeliste"/>
              <w:numPr>
                <w:ilvl w:val="0"/>
                <w:numId w:val="15"/>
              </w:numPr>
              <w:spacing w:line="276" w:lineRule="auto"/>
              <w:rPr>
                <w:strike/>
                <w:sz w:val="16"/>
                <w:szCs w:val="18"/>
                <w:lang w:val="it-IT"/>
              </w:rPr>
            </w:pPr>
            <w:r w:rsidRPr="0053181C">
              <w:rPr>
                <w:sz w:val="16"/>
                <w:szCs w:val="18"/>
                <w:lang w:val="it-IT"/>
              </w:rPr>
              <w:t>L’enregistrement de la proposition de NAMA auprès de la CCNUCC;</w:t>
            </w:r>
          </w:p>
          <w:p w:rsidR="004540FF" w:rsidRPr="0053181C" w:rsidRDefault="004540FF" w:rsidP="00387646">
            <w:pPr>
              <w:pStyle w:val="Paragraphedeliste"/>
              <w:numPr>
                <w:ilvl w:val="0"/>
                <w:numId w:val="15"/>
              </w:numPr>
              <w:spacing w:line="276" w:lineRule="auto"/>
              <w:rPr>
                <w:sz w:val="16"/>
                <w:szCs w:val="18"/>
                <w:lang w:val="it-IT"/>
              </w:rPr>
            </w:pPr>
            <w:r w:rsidRPr="0053181C">
              <w:rPr>
                <w:sz w:val="16"/>
                <w:szCs w:val="18"/>
                <w:lang w:val="it-IT"/>
              </w:rPr>
              <w:t>Les études prospectives Guinée vision 2035 et Guinée Vision 2040</w:t>
            </w:r>
            <w:r w:rsidR="000B7358" w:rsidRPr="0053181C">
              <w:rPr>
                <w:sz w:val="16"/>
                <w:szCs w:val="18"/>
                <w:lang w:val="it-IT"/>
              </w:rPr>
              <w:t>.</w:t>
            </w:r>
          </w:p>
        </w:tc>
      </w:tr>
      <w:tr w:rsidR="004540FF" w:rsidRPr="0053181C" w:rsidTr="00387646">
        <w:tc>
          <w:tcPr>
            <w:tcW w:w="2470" w:type="dxa"/>
            <w:vMerge/>
            <w:shd w:val="clear" w:color="auto" w:fill="FDE9D9" w:themeFill="accent6" w:themeFillTint="33"/>
          </w:tcPr>
          <w:p w:rsidR="004540FF" w:rsidRPr="0053181C" w:rsidRDefault="004540FF" w:rsidP="00387646">
            <w:pPr>
              <w:spacing w:line="276" w:lineRule="auto"/>
              <w:rPr>
                <w:b/>
                <w:sz w:val="16"/>
                <w:szCs w:val="18"/>
                <w:lang w:val="it-IT"/>
              </w:rPr>
            </w:pPr>
          </w:p>
        </w:tc>
        <w:tc>
          <w:tcPr>
            <w:tcW w:w="7844" w:type="dxa"/>
            <w:shd w:val="clear" w:color="auto" w:fill="FDE9D9" w:themeFill="accent6" w:themeFillTint="33"/>
          </w:tcPr>
          <w:p w:rsidR="004540FF" w:rsidRPr="0053181C" w:rsidRDefault="004540FF" w:rsidP="00387646">
            <w:pPr>
              <w:spacing w:line="276" w:lineRule="auto"/>
              <w:rPr>
                <w:sz w:val="16"/>
                <w:szCs w:val="18"/>
                <w:lang w:val="it-IT"/>
              </w:rPr>
            </w:pPr>
            <w:r w:rsidRPr="0053181C">
              <w:rPr>
                <w:sz w:val="16"/>
                <w:szCs w:val="18"/>
                <w:lang w:val="it-IT"/>
              </w:rPr>
              <w:t xml:space="preserve">Réaliser, </w:t>
            </w:r>
            <w:r w:rsidR="00761672" w:rsidRPr="0053181C">
              <w:rPr>
                <w:sz w:val="16"/>
                <w:szCs w:val="18"/>
                <w:lang w:val="it-IT"/>
              </w:rPr>
              <w:t>à court terme</w:t>
            </w:r>
            <w:r w:rsidRPr="0053181C">
              <w:rPr>
                <w:sz w:val="16"/>
                <w:szCs w:val="18"/>
                <w:lang w:val="it-IT"/>
              </w:rPr>
              <w:t xml:space="preserve">, des études complémentaires: </w:t>
            </w:r>
          </w:p>
          <w:p w:rsidR="004540FF" w:rsidRPr="0053181C" w:rsidRDefault="004540FF" w:rsidP="00387646">
            <w:pPr>
              <w:pStyle w:val="Paragraphedeliste"/>
              <w:numPr>
                <w:ilvl w:val="0"/>
                <w:numId w:val="15"/>
              </w:numPr>
              <w:spacing w:line="276" w:lineRule="auto"/>
              <w:rPr>
                <w:sz w:val="16"/>
                <w:szCs w:val="18"/>
                <w:lang w:val="it-IT"/>
              </w:rPr>
            </w:pPr>
            <w:r w:rsidRPr="0053181C">
              <w:rPr>
                <w:sz w:val="16"/>
                <w:szCs w:val="18"/>
                <w:lang w:val="it-IT"/>
              </w:rPr>
              <w:t>3ème inventaire national des GES;</w:t>
            </w:r>
          </w:p>
          <w:p w:rsidR="004540FF" w:rsidRPr="0053181C" w:rsidRDefault="004540FF" w:rsidP="00387646">
            <w:pPr>
              <w:pStyle w:val="Paragraphedeliste"/>
              <w:numPr>
                <w:ilvl w:val="0"/>
                <w:numId w:val="15"/>
              </w:numPr>
              <w:spacing w:line="276" w:lineRule="auto"/>
              <w:rPr>
                <w:sz w:val="16"/>
                <w:szCs w:val="18"/>
                <w:lang w:val="it-IT"/>
              </w:rPr>
            </w:pPr>
            <w:r w:rsidRPr="0053181C">
              <w:rPr>
                <w:sz w:val="16"/>
                <w:szCs w:val="18"/>
                <w:lang w:val="it-IT"/>
              </w:rPr>
              <w:t>Inventaire forestier, en vue, en particulier, d’une éventuelle proposition de stratégie REDD+;</w:t>
            </w:r>
          </w:p>
          <w:p w:rsidR="004540FF" w:rsidRPr="0053181C" w:rsidRDefault="004540FF" w:rsidP="00387646">
            <w:pPr>
              <w:pStyle w:val="Paragraphedeliste"/>
              <w:numPr>
                <w:ilvl w:val="0"/>
                <w:numId w:val="15"/>
              </w:numPr>
              <w:spacing w:line="276" w:lineRule="auto"/>
              <w:rPr>
                <w:sz w:val="16"/>
                <w:szCs w:val="18"/>
                <w:lang w:val="it-IT"/>
              </w:rPr>
            </w:pPr>
            <w:r w:rsidRPr="0053181C">
              <w:rPr>
                <w:sz w:val="16"/>
                <w:szCs w:val="18"/>
                <w:lang w:val="it-IT"/>
              </w:rPr>
              <w:t>Révision urgente, sous l’angle du changement climatique, du code foncier, du code forestier, du code de l’environnement, du Schéma directeur et du PDU de Conakry, du SDAM;</w:t>
            </w:r>
          </w:p>
          <w:p w:rsidR="004540FF" w:rsidRPr="0053181C" w:rsidRDefault="004540FF" w:rsidP="00387646">
            <w:pPr>
              <w:pStyle w:val="Paragraphedeliste"/>
              <w:numPr>
                <w:ilvl w:val="0"/>
                <w:numId w:val="15"/>
              </w:numPr>
              <w:spacing w:line="276" w:lineRule="auto"/>
              <w:rPr>
                <w:sz w:val="16"/>
                <w:szCs w:val="18"/>
                <w:lang w:val="it-IT"/>
              </w:rPr>
            </w:pPr>
            <w:r w:rsidRPr="0053181C">
              <w:rPr>
                <w:sz w:val="16"/>
                <w:szCs w:val="18"/>
                <w:lang w:val="it-IT"/>
              </w:rPr>
              <w:t>Affiner l’étude des modalités de financement des engagements de la CPDN, y compris à travers la mobilisation des marchés carbone et de l’investissement privé.</w:t>
            </w:r>
          </w:p>
        </w:tc>
      </w:tr>
      <w:tr w:rsidR="00C91B85" w:rsidRPr="0053181C" w:rsidTr="00387646">
        <w:tc>
          <w:tcPr>
            <w:tcW w:w="2470" w:type="dxa"/>
            <w:vMerge/>
            <w:shd w:val="clear" w:color="auto" w:fill="FDE9D9" w:themeFill="accent6" w:themeFillTint="33"/>
          </w:tcPr>
          <w:p w:rsidR="00C91B85" w:rsidRPr="0053181C" w:rsidRDefault="00C91B85" w:rsidP="00387646">
            <w:pPr>
              <w:spacing w:line="276" w:lineRule="auto"/>
              <w:rPr>
                <w:b/>
                <w:sz w:val="16"/>
                <w:szCs w:val="18"/>
                <w:lang w:val="it-IT"/>
              </w:rPr>
            </w:pPr>
          </w:p>
        </w:tc>
        <w:tc>
          <w:tcPr>
            <w:tcW w:w="7844" w:type="dxa"/>
            <w:shd w:val="clear" w:color="auto" w:fill="FDE9D9" w:themeFill="accent6" w:themeFillTint="33"/>
          </w:tcPr>
          <w:p w:rsidR="00C91B85" w:rsidRPr="0053181C" w:rsidRDefault="00C91B85" w:rsidP="00387646">
            <w:pPr>
              <w:spacing w:line="276" w:lineRule="auto"/>
              <w:rPr>
                <w:sz w:val="16"/>
                <w:szCs w:val="18"/>
                <w:lang w:val="it-IT"/>
              </w:rPr>
            </w:pPr>
            <w:r w:rsidRPr="0053181C">
              <w:rPr>
                <w:sz w:val="16"/>
                <w:szCs w:val="18"/>
                <w:lang w:val="it-IT"/>
              </w:rPr>
              <w:t>Intégrer, dans le plan quinquennal 2016-2020 (en cours d’élaboration) et le budget correspondant, les actions nécessaires à la réalisation de la CPDN.</w:t>
            </w:r>
          </w:p>
        </w:tc>
      </w:tr>
      <w:tr w:rsidR="004540FF" w:rsidRPr="0053181C" w:rsidTr="00387646">
        <w:tc>
          <w:tcPr>
            <w:tcW w:w="2470" w:type="dxa"/>
            <w:vMerge/>
            <w:shd w:val="clear" w:color="auto" w:fill="FDE9D9" w:themeFill="accent6" w:themeFillTint="33"/>
          </w:tcPr>
          <w:p w:rsidR="004540FF" w:rsidRPr="0053181C" w:rsidRDefault="004540FF" w:rsidP="00387646">
            <w:pPr>
              <w:spacing w:line="276" w:lineRule="auto"/>
              <w:rPr>
                <w:b/>
                <w:sz w:val="16"/>
                <w:szCs w:val="18"/>
                <w:lang w:val="it-IT"/>
              </w:rPr>
            </w:pPr>
          </w:p>
        </w:tc>
        <w:tc>
          <w:tcPr>
            <w:tcW w:w="7844" w:type="dxa"/>
            <w:shd w:val="clear" w:color="auto" w:fill="FDE9D9" w:themeFill="accent6" w:themeFillTint="33"/>
          </w:tcPr>
          <w:p w:rsidR="004540FF" w:rsidRPr="0053181C" w:rsidRDefault="004540FF" w:rsidP="00387646">
            <w:pPr>
              <w:spacing w:line="276" w:lineRule="auto"/>
              <w:rPr>
                <w:sz w:val="16"/>
                <w:szCs w:val="18"/>
                <w:lang w:val="it-IT"/>
              </w:rPr>
            </w:pPr>
            <w:r w:rsidRPr="0053181C">
              <w:rPr>
                <w:sz w:val="16"/>
                <w:szCs w:val="18"/>
                <w:lang w:val="it-IT"/>
              </w:rPr>
              <w:t xml:space="preserve">Renforcer les moyens à disposition de l’administration guinéenne pour: </w:t>
            </w:r>
          </w:p>
          <w:p w:rsidR="004540FF" w:rsidRPr="0053181C" w:rsidRDefault="004540FF" w:rsidP="00387646">
            <w:pPr>
              <w:pStyle w:val="Paragraphedeliste"/>
              <w:numPr>
                <w:ilvl w:val="0"/>
                <w:numId w:val="15"/>
              </w:numPr>
              <w:spacing w:line="276" w:lineRule="auto"/>
              <w:rPr>
                <w:sz w:val="16"/>
                <w:szCs w:val="18"/>
                <w:lang w:val="it-IT"/>
              </w:rPr>
            </w:pPr>
            <w:r w:rsidRPr="0053181C">
              <w:rPr>
                <w:sz w:val="16"/>
                <w:szCs w:val="18"/>
                <w:lang w:val="it-IT"/>
              </w:rPr>
              <w:t>La collecte et le traitement de données climatologiques et hydrologiques</w:t>
            </w:r>
            <w:r w:rsidR="000B7358" w:rsidRPr="0053181C">
              <w:rPr>
                <w:sz w:val="16"/>
                <w:szCs w:val="18"/>
                <w:lang w:val="it-IT"/>
              </w:rPr>
              <w:t>;</w:t>
            </w:r>
          </w:p>
          <w:p w:rsidR="004540FF" w:rsidRPr="0053181C" w:rsidRDefault="004540FF" w:rsidP="00387646">
            <w:pPr>
              <w:pStyle w:val="Paragraphedeliste"/>
              <w:numPr>
                <w:ilvl w:val="0"/>
                <w:numId w:val="15"/>
              </w:numPr>
              <w:spacing w:line="276" w:lineRule="auto"/>
              <w:rPr>
                <w:sz w:val="16"/>
                <w:szCs w:val="18"/>
                <w:lang w:val="it-IT"/>
              </w:rPr>
            </w:pPr>
            <w:r w:rsidRPr="0053181C">
              <w:rPr>
                <w:sz w:val="16"/>
                <w:szCs w:val="18"/>
                <w:lang w:val="it-IT"/>
              </w:rPr>
              <w:t>La collecte et le traitement de données marégraphiques</w:t>
            </w:r>
            <w:r w:rsidR="000B7358" w:rsidRPr="0053181C">
              <w:rPr>
                <w:sz w:val="16"/>
                <w:szCs w:val="18"/>
                <w:lang w:val="it-IT"/>
              </w:rPr>
              <w:t>;</w:t>
            </w:r>
          </w:p>
          <w:p w:rsidR="004540FF" w:rsidRPr="0053181C" w:rsidRDefault="004540FF" w:rsidP="00387646">
            <w:pPr>
              <w:pStyle w:val="Paragraphedeliste"/>
              <w:numPr>
                <w:ilvl w:val="0"/>
                <w:numId w:val="15"/>
              </w:numPr>
              <w:spacing w:line="276" w:lineRule="auto"/>
              <w:rPr>
                <w:sz w:val="16"/>
                <w:szCs w:val="18"/>
                <w:lang w:val="it-IT"/>
              </w:rPr>
            </w:pPr>
            <w:r w:rsidRPr="0053181C">
              <w:rPr>
                <w:sz w:val="16"/>
                <w:szCs w:val="18"/>
                <w:lang w:val="it-IT"/>
              </w:rPr>
              <w:t>La collecte et le traitement de données sur les forêts</w:t>
            </w:r>
            <w:r w:rsidR="00101250" w:rsidRPr="0053181C">
              <w:rPr>
                <w:sz w:val="16"/>
                <w:szCs w:val="18"/>
                <w:lang w:val="it-IT"/>
              </w:rPr>
              <w:t xml:space="preserve"> (cartographie et télédétection)</w:t>
            </w:r>
            <w:r w:rsidRPr="0053181C">
              <w:rPr>
                <w:sz w:val="16"/>
                <w:szCs w:val="18"/>
                <w:lang w:val="it-IT"/>
              </w:rPr>
              <w:t>.</w:t>
            </w:r>
          </w:p>
        </w:tc>
      </w:tr>
      <w:tr w:rsidR="004540FF" w:rsidRPr="0053181C" w:rsidTr="00387646">
        <w:trPr>
          <w:trHeight w:val="393"/>
        </w:trPr>
        <w:tc>
          <w:tcPr>
            <w:tcW w:w="2470" w:type="dxa"/>
            <w:vMerge/>
            <w:shd w:val="clear" w:color="auto" w:fill="FDE9D9" w:themeFill="accent6" w:themeFillTint="33"/>
          </w:tcPr>
          <w:p w:rsidR="004540FF" w:rsidRPr="0053181C" w:rsidRDefault="004540FF" w:rsidP="00387646">
            <w:pPr>
              <w:spacing w:line="276" w:lineRule="auto"/>
              <w:rPr>
                <w:b/>
                <w:sz w:val="16"/>
                <w:szCs w:val="18"/>
                <w:lang w:val="it-IT"/>
              </w:rPr>
            </w:pPr>
          </w:p>
        </w:tc>
        <w:tc>
          <w:tcPr>
            <w:tcW w:w="7844" w:type="dxa"/>
            <w:shd w:val="clear" w:color="auto" w:fill="FDE9D9" w:themeFill="accent6" w:themeFillTint="33"/>
          </w:tcPr>
          <w:p w:rsidR="004540FF" w:rsidRPr="0053181C" w:rsidRDefault="004540FF" w:rsidP="00387646">
            <w:pPr>
              <w:spacing w:line="276" w:lineRule="auto"/>
              <w:rPr>
                <w:sz w:val="16"/>
                <w:szCs w:val="18"/>
                <w:lang w:val="it-IT"/>
              </w:rPr>
            </w:pPr>
            <w:r w:rsidRPr="0053181C">
              <w:rPr>
                <w:sz w:val="16"/>
                <w:szCs w:val="18"/>
                <w:lang w:val="it-IT"/>
              </w:rPr>
              <w:t>Traduire la CPDN en programmes opérationnels sectoriels</w:t>
            </w:r>
            <w:r w:rsidR="000B7358" w:rsidRPr="0053181C">
              <w:rPr>
                <w:sz w:val="16"/>
                <w:szCs w:val="18"/>
                <w:lang w:val="it-IT"/>
              </w:rPr>
              <w:t>.</w:t>
            </w:r>
          </w:p>
        </w:tc>
      </w:tr>
      <w:tr w:rsidR="0053181C" w:rsidRPr="0053181C" w:rsidTr="00387646">
        <w:tc>
          <w:tcPr>
            <w:tcW w:w="2470" w:type="dxa"/>
            <w:shd w:val="clear" w:color="auto" w:fill="C6D9F1" w:themeFill="text2" w:themeFillTint="33"/>
          </w:tcPr>
          <w:p w:rsidR="004540FF" w:rsidRPr="0053181C" w:rsidRDefault="004540FF" w:rsidP="00387646">
            <w:pPr>
              <w:spacing w:line="276" w:lineRule="auto"/>
              <w:rPr>
                <w:b/>
                <w:sz w:val="16"/>
                <w:szCs w:val="18"/>
                <w:lang w:val="it-IT"/>
              </w:rPr>
            </w:pPr>
            <w:r w:rsidRPr="0053181C">
              <w:rPr>
                <w:b/>
                <w:sz w:val="16"/>
                <w:szCs w:val="18"/>
                <w:lang w:val="it-IT"/>
              </w:rPr>
              <w:t>Actualisation/révision</w:t>
            </w:r>
          </w:p>
        </w:tc>
        <w:tc>
          <w:tcPr>
            <w:tcW w:w="7844" w:type="dxa"/>
            <w:shd w:val="clear" w:color="auto" w:fill="C6D9F1" w:themeFill="text2" w:themeFillTint="33"/>
          </w:tcPr>
          <w:p w:rsidR="004540FF" w:rsidRPr="0053181C" w:rsidRDefault="004540FF" w:rsidP="00387646">
            <w:pPr>
              <w:spacing w:line="276" w:lineRule="auto"/>
              <w:rPr>
                <w:sz w:val="16"/>
                <w:szCs w:val="18"/>
                <w:lang w:val="it-IT"/>
              </w:rPr>
            </w:pPr>
            <w:r w:rsidRPr="0053181C">
              <w:rPr>
                <w:sz w:val="16"/>
                <w:szCs w:val="18"/>
                <w:lang w:val="it-IT"/>
              </w:rPr>
              <w:t>Révision à l’issue de la COP21, si nécessaire.</w:t>
            </w:r>
          </w:p>
          <w:p w:rsidR="004540FF" w:rsidRPr="0053181C" w:rsidRDefault="004540FF" w:rsidP="00387646">
            <w:pPr>
              <w:spacing w:line="276" w:lineRule="auto"/>
              <w:rPr>
                <w:sz w:val="16"/>
                <w:szCs w:val="18"/>
                <w:lang w:val="it-IT"/>
              </w:rPr>
            </w:pPr>
            <w:r w:rsidRPr="0053181C">
              <w:rPr>
                <w:sz w:val="16"/>
                <w:szCs w:val="18"/>
                <w:lang w:val="it-IT"/>
              </w:rPr>
              <w:t>Puis révision à l’issue de la livraison de la 2nde communication nationale.</w:t>
            </w:r>
          </w:p>
          <w:p w:rsidR="004540FF" w:rsidRPr="0053181C" w:rsidRDefault="004540FF" w:rsidP="00761672">
            <w:pPr>
              <w:spacing w:line="276" w:lineRule="auto"/>
              <w:rPr>
                <w:sz w:val="16"/>
                <w:szCs w:val="18"/>
                <w:lang w:val="it-IT"/>
              </w:rPr>
            </w:pPr>
            <w:r w:rsidRPr="0053181C">
              <w:rPr>
                <w:sz w:val="16"/>
                <w:szCs w:val="18"/>
                <w:lang w:val="it-IT"/>
              </w:rPr>
              <w:t xml:space="preserve">Ensuite, révision tous les 5 ans par le </w:t>
            </w:r>
            <w:r w:rsidR="00761672" w:rsidRPr="0053181C">
              <w:rPr>
                <w:sz w:val="16"/>
                <w:szCs w:val="18"/>
                <w:lang w:val="it-IT"/>
              </w:rPr>
              <w:t>comité de pilotage</w:t>
            </w:r>
            <w:r w:rsidRPr="0053181C">
              <w:rPr>
                <w:sz w:val="16"/>
                <w:szCs w:val="18"/>
                <w:lang w:val="it-IT"/>
              </w:rPr>
              <w:t xml:space="preserve"> de suivi-évaluation.</w:t>
            </w:r>
          </w:p>
        </w:tc>
      </w:tr>
    </w:tbl>
    <w:p w:rsidR="004540FF" w:rsidRDefault="004540FF" w:rsidP="004540FF">
      <w:pPr>
        <w:spacing w:line="276" w:lineRule="auto"/>
        <w:rPr>
          <w:szCs w:val="18"/>
          <w:lang w:val="it-IT"/>
        </w:rPr>
      </w:pPr>
    </w:p>
    <w:p w:rsidR="004540FF" w:rsidRDefault="004540FF" w:rsidP="004540FF">
      <w:pPr>
        <w:pStyle w:val="Titre1"/>
        <w:numPr>
          <w:ilvl w:val="0"/>
          <w:numId w:val="8"/>
        </w:numPr>
        <w:spacing w:line="276" w:lineRule="auto"/>
      </w:pPr>
      <w:bookmarkStart w:id="30" w:name="_Toc431272541"/>
      <w:r>
        <w:lastRenderedPageBreak/>
        <w:t>Moyens de mise en œuvre</w:t>
      </w:r>
      <w:bookmarkEnd w:id="30"/>
    </w:p>
    <w:p w:rsidR="004540FF" w:rsidRDefault="004540FF" w:rsidP="001E1640">
      <w:pPr>
        <w:spacing w:line="276" w:lineRule="auto"/>
        <w:rPr>
          <w:szCs w:val="18"/>
        </w:rPr>
      </w:pPr>
      <w:r>
        <w:rPr>
          <w:szCs w:val="18"/>
        </w:rPr>
        <w:t>La République de Guinée entend mobiliser les moyens suivants pour mettre en œuvre sa CPDN :</w:t>
      </w:r>
    </w:p>
    <w:p w:rsidR="001E1640" w:rsidRPr="001E1640" w:rsidRDefault="001E1640" w:rsidP="001E1640">
      <w:pPr>
        <w:spacing w:line="276" w:lineRule="auto"/>
        <w:rPr>
          <w:szCs w:val="18"/>
        </w:rPr>
      </w:pPr>
    </w:p>
    <w:tbl>
      <w:tblPr>
        <w:tblStyle w:val="Grilledutableau"/>
        <w:tblW w:w="0" w:type="auto"/>
        <w:tblLook w:val="04A0" w:firstRow="1" w:lastRow="0" w:firstColumn="1" w:lastColumn="0" w:noHBand="0" w:noVBand="1"/>
      </w:tblPr>
      <w:tblGrid>
        <w:gridCol w:w="2376"/>
        <w:gridCol w:w="7968"/>
      </w:tblGrid>
      <w:tr w:rsidR="004540FF" w:rsidRPr="0053181C" w:rsidTr="00387646">
        <w:tc>
          <w:tcPr>
            <w:tcW w:w="2376" w:type="dxa"/>
          </w:tcPr>
          <w:p w:rsidR="004540FF" w:rsidRPr="0053181C" w:rsidRDefault="004540FF" w:rsidP="00387646">
            <w:pPr>
              <w:rPr>
                <w:b/>
                <w:sz w:val="16"/>
                <w:lang w:val="it-IT"/>
              </w:rPr>
            </w:pPr>
            <w:r w:rsidRPr="0053181C">
              <w:rPr>
                <w:b/>
                <w:sz w:val="16"/>
                <w:lang w:val="it-IT"/>
              </w:rPr>
              <w:t>Budget National</w:t>
            </w:r>
          </w:p>
        </w:tc>
        <w:tc>
          <w:tcPr>
            <w:tcW w:w="7968" w:type="dxa"/>
          </w:tcPr>
          <w:p w:rsidR="0053181C" w:rsidRPr="0053181C" w:rsidRDefault="0053181C" w:rsidP="0053181C">
            <w:pPr>
              <w:rPr>
                <w:sz w:val="16"/>
                <w:lang w:val="it-IT"/>
              </w:rPr>
            </w:pPr>
            <w:r w:rsidRPr="0053181C">
              <w:rPr>
                <w:sz w:val="16"/>
                <w:lang w:val="it-IT"/>
              </w:rPr>
              <w:t xml:space="preserve">Le Budget national de développement constitue la première ressource potentielle pour mettre en oeuvre les engagements de la CPDN. </w:t>
            </w:r>
          </w:p>
          <w:p w:rsidR="004540FF" w:rsidRPr="0053181C" w:rsidRDefault="004540FF" w:rsidP="00861C35">
            <w:pPr>
              <w:rPr>
                <w:sz w:val="16"/>
                <w:lang w:val="it-IT"/>
              </w:rPr>
            </w:pPr>
            <w:r w:rsidRPr="0053181C">
              <w:rPr>
                <w:sz w:val="16"/>
                <w:lang w:val="it-IT"/>
              </w:rPr>
              <w:t xml:space="preserve">Un </w:t>
            </w:r>
            <w:r w:rsidR="00476F3E" w:rsidRPr="0053181C">
              <w:rPr>
                <w:sz w:val="16"/>
                <w:lang w:val="it-IT"/>
              </w:rPr>
              <w:t xml:space="preserve">Fonds forestier national et un </w:t>
            </w:r>
            <w:r w:rsidRPr="0053181C">
              <w:rPr>
                <w:sz w:val="16"/>
                <w:lang w:val="it-IT"/>
              </w:rPr>
              <w:t xml:space="preserve">Fonds de sauvegarde de l’environnement </w:t>
            </w:r>
            <w:r w:rsidR="00476F3E" w:rsidRPr="0053181C">
              <w:rPr>
                <w:sz w:val="16"/>
                <w:lang w:val="it-IT"/>
              </w:rPr>
              <w:t>ont été créés respectivement en 1985 et</w:t>
            </w:r>
            <w:r w:rsidRPr="0053181C">
              <w:rPr>
                <w:sz w:val="16"/>
                <w:lang w:val="it-IT"/>
              </w:rPr>
              <w:t xml:space="preserve"> en 1987 mais peine </w:t>
            </w:r>
            <w:r w:rsidR="001E1640" w:rsidRPr="0053181C">
              <w:rPr>
                <w:sz w:val="16"/>
                <w:lang w:val="it-IT"/>
              </w:rPr>
              <w:t>à collecter les recettes issues des taxes et redevances environnementales</w:t>
            </w:r>
            <w:r w:rsidR="00861C35" w:rsidRPr="0053181C">
              <w:rPr>
                <w:sz w:val="16"/>
                <w:lang w:val="it-IT"/>
              </w:rPr>
              <w:t xml:space="preserve"> ; le manque à gagner est estimé à environ 40 millions USD</w:t>
            </w:r>
            <w:r w:rsidR="00476F3E" w:rsidRPr="0053181C">
              <w:rPr>
                <w:sz w:val="16"/>
                <w:lang w:val="it-IT"/>
              </w:rPr>
              <w:t xml:space="preserve"> par an</w:t>
            </w:r>
            <w:r w:rsidR="00861C35" w:rsidRPr="0053181C">
              <w:rPr>
                <w:sz w:val="16"/>
                <w:lang w:val="it-IT"/>
              </w:rPr>
              <w:t xml:space="preserve"> par certaines études.</w:t>
            </w:r>
          </w:p>
          <w:p w:rsidR="00F37F40" w:rsidRPr="0053181C" w:rsidRDefault="00F37F40" w:rsidP="0053181C">
            <w:pPr>
              <w:rPr>
                <w:sz w:val="16"/>
                <w:lang w:val="it-IT"/>
              </w:rPr>
            </w:pPr>
            <w:r w:rsidRPr="0053181C">
              <w:rPr>
                <w:sz w:val="16"/>
                <w:lang w:val="it-IT"/>
              </w:rPr>
              <w:t>Etude de faisabilité pour la mise en place</w:t>
            </w:r>
            <w:r w:rsidR="0053181C" w:rsidRPr="0053181C">
              <w:rPr>
                <w:sz w:val="16"/>
                <w:lang w:val="it-IT"/>
              </w:rPr>
              <w:t xml:space="preserve"> d’un Fonds national climat</w:t>
            </w:r>
          </w:p>
        </w:tc>
      </w:tr>
      <w:tr w:rsidR="00F37F40" w:rsidRPr="0053181C" w:rsidTr="00387646">
        <w:tc>
          <w:tcPr>
            <w:tcW w:w="2376" w:type="dxa"/>
          </w:tcPr>
          <w:p w:rsidR="00F37F40" w:rsidRPr="0053181C" w:rsidRDefault="00F37F40" w:rsidP="00387646">
            <w:pPr>
              <w:rPr>
                <w:b/>
                <w:sz w:val="16"/>
                <w:lang w:val="it-IT"/>
              </w:rPr>
            </w:pPr>
            <w:r w:rsidRPr="0053181C">
              <w:rPr>
                <w:b/>
                <w:sz w:val="16"/>
                <w:lang w:val="it-IT"/>
              </w:rPr>
              <w:t>Intégration régionale</w:t>
            </w:r>
          </w:p>
        </w:tc>
        <w:tc>
          <w:tcPr>
            <w:tcW w:w="7968" w:type="dxa"/>
          </w:tcPr>
          <w:p w:rsidR="00F37F40" w:rsidRPr="0053181C" w:rsidRDefault="00F37F40" w:rsidP="00F37F40">
            <w:pPr>
              <w:rPr>
                <w:sz w:val="16"/>
              </w:rPr>
            </w:pPr>
            <w:r w:rsidRPr="0053181C">
              <w:rPr>
                <w:sz w:val="16"/>
                <w:lang w:val="it-IT"/>
              </w:rPr>
              <w:t>L</w:t>
            </w:r>
            <w:r w:rsidRPr="0053181C">
              <w:rPr>
                <w:sz w:val="16"/>
              </w:rPr>
              <w:t>’intégration sous-régionale en matière de production électrique pourrait permettre à la Guinée d’aller plus loin dans la valorisation de son potentiel hydroélectrique, tout en assurant un partage des coûts.</w:t>
            </w:r>
          </w:p>
          <w:p w:rsidR="00F37F40" w:rsidRPr="0053181C" w:rsidRDefault="00F37F40" w:rsidP="00F37F40">
            <w:pPr>
              <w:rPr>
                <w:sz w:val="16"/>
                <w:lang w:val="it-IT"/>
              </w:rPr>
            </w:pPr>
            <w:r w:rsidRPr="0053181C">
              <w:rPr>
                <w:sz w:val="16"/>
              </w:rPr>
              <w:t xml:space="preserve">Ce constat vaut également en ce qui concerne la </w:t>
            </w:r>
            <w:r w:rsidRPr="0053181C">
              <w:rPr>
                <w:sz w:val="16"/>
                <w:lang w:val="it-IT"/>
              </w:rPr>
              <w:t>gestion des bassins versants transnationaux.</w:t>
            </w:r>
          </w:p>
        </w:tc>
      </w:tr>
      <w:tr w:rsidR="004540FF" w:rsidRPr="0053181C" w:rsidTr="00387646">
        <w:tc>
          <w:tcPr>
            <w:tcW w:w="2376" w:type="dxa"/>
          </w:tcPr>
          <w:p w:rsidR="004540FF" w:rsidRPr="0053181C" w:rsidRDefault="004540FF" w:rsidP="00387646">
            <w:pPr>
              <w:rPr>
                <w:b/>
                <w:sz w:val="16"/>
                <w:lang w:val="it-IT"/>
              </w:rPr>
            </w:pPr>
            <w:r w:rsidRPr="0053181C">
              <w:rPr>
                <w:b/>
                <w:sz w:val="16"/>
                <w:lang w:val="it-IT"/>
              </w:rPr>
              <w:t>Bailleurs de fonds internationaux</w:t>
            </w:r>
          </w:p>
        </w:tc>
        <w:tc>
          <w:tcPr>
            <w:tcW w:w="7968" w:type="dxa"/>
          </w:tcPr>
          <w:p w:rsidR="004540FF" w:rsidRPr="0053181C" w:rsidRDefault="004540FF" w:rsidP="00387646">
            <w:pPr>
              <w:rPr>
                <w:sz w:val="16"/>
                <w:lang w:val="it-IT"/>
              </w:rPr>
            </w:pPr>
            <w:r w:rsidRPr="0053181C">
              <w:rPr>
                <w:sz w:val="16"/>
                <w:lang w:val="it-IT"/>
              </w:rPr>
              <w:t>Appui budgétaire</w:t>
            </w:r>
            <w:r w:rsidR="00482049">
              <w:rPr>
                <w:sz w:val="16"/>
                <w:lang w:val="it-IT"/>
              </w:rPr>
              <w:t xml:space="preserve"> requis</w:t>
            </w:r>
            <w:r w:rsidRPr="0053181C">
              <w:rPr>
                <w:sz w:val="16"/>
                <w:lang w:val="it-IT"/>
              </w:rPr>
              <w:t xml:space="preserve"> pour le fonctionnement des entités de suivi-évaluation des politiques publiques de lutte contre les changements climatiques</w:t>
            </w:r>
            <w:r w:rsidR="001E1640" w:rsidRPr="0053181C">
              <w:rPr>
                <w:sz w:val="16"/>
                <w:lang w:val="it-IT"/>
              </w:rPr>
              <w:t xml:space="preserve">. </w:t>
            </w:r>
          </w:p>
          <w:p w:rsidR="001E1640" w:rsidRPr="0053181C" w:rsidRDefault="001E1640" w:rsidP="00387646">
            <w:pPr>
              <w:rPr>
                <w:sz w:val="16"/>
                <w:lang w:val="it-IT"/>
              </w:rPr>
            </w:pPr>
          </w:p>
          <w:p w:rsidR="001E1640" w:rsidRPr="0053181C" w:rsidRDefault="001E1640" w:rsidP="00387646">
            <w:pPr>
              <w:rPr>
                <w:sz w:val="16"/>
                <w:lang w:val="it-IT"/>
              </w:rPr>
            </w:pPr>
            <w:r w:rsidRPr="0053181C">
              <w:rPr>
                <w:sz w:val="16"/>
                <w:lang w:val="it-IT"/>
              </w:rPr>
              <w:t>Le FEM finance plusieurs projets de lutte contre les changements climatiques en Guinée</w:t>
            </w:r>
            <w:r w:rsidR="00476F3E" w:rsidRPr="0053181C">
              <w:rPr>
                <w:sz w:val="16"/>
                <w:lang w:val="it-IT"/>
              </w:rPr>
              <w:t xml:space="preserve"> ; il est accompagné par le PNUD</w:t>
            </w:r>
            <w:r w:rsidRPr="0053181C">
              <w:rPr>
                <w:sz w:val="16"/>
                <w:lang w:val="it-IT"/>
              </w:rPr>
              <w:t xml:space="preserve">. Un projet de conservation des écosystèmes de la Mano River Union et la gestion des eaux internationales est notamment co-financé par le FEM. </w:t>
            </w:r>
            <w:r w:rsidR="00F37F40" w:rsidRPr="0053181C">
              <w:rPr>
                <w:sz w:val="16"/>
                <w:lang w:val="it-IT"/>
              </w:rPr>
              <w:t>La continuité et le renforcement de ce soutien est souhaité.</w:t>
            </w:r>
          </w:p>
          <w:p w:rsidR="00266077" w:rsidRPr="0053181C" w:rsidRDefault="00266077" w:rsidP="00387646">
            <w:pPr>
              <w:rPr>
                <w:sz w:val="16"/>
                <w:lang w:val="it-IT"/>
              </w:rPr>
            </w:pPr>
          </w:p>
          <w:p w:rsidR="00266077" w:rsidRPr="0053181C" w:rsidRDefault="005B1DF1" w:rsidP="00387646">
            <w:pPr>
              <w:rPr>
                <w:sz w:val="16"/>
                <w:lang w:val="it-IT"/>
              </w:rPr>
            </w:pPr>
            <w:r w:rsidRPr="0053181C">
              <w:rPr>
                <w:sz w:val="16"/>
                <w:lang w:val="it-IT"/>
              </w:rPr>
              <w:t xml:space="preserve">La Banque Mondiale finance actuellement un programme d’appui à la gouvernance du secteur minier, intégrant un volet environnemental. </w:t>
            </w:r>
            <w:r w:rsidR="00266077" w:rsidRPr="0053181C">
              <w:rPr>
                <w:sz w:val="16"/>
                <w:lang w:val="it-IT"/>
              </w:rPr>
              <w:t xml:space="preserve">Des discussions ont été entamées avec l’AFD pour le renforcement de l’application du Code Minier en matière de compensation des dégradations environnementales par les activités minières. </w:t>
            </w:r>
            <w:r w:rsidR="00761672" w:rsidRPr="0053181C">
              <w:rPr>
                <w:sz w:val="16"/>
                <w:lang w:val="it-IT"/>
              </w:rPr>
              <w:t xml:space="preserve">Ce soutien est vivement </w:t>
            </w:r>
            <w:r w:rsidR="0053181C" w:rsidRPr="0053181C">
              <w:rPr>
                <w:sz w:val="16"/>
                <w:lang w:val="it-IT"/>
              </w:rPr>
              <w:t>attendu pour la mise en oeuvre l’engagement d</w:t>
            </w:r>
            <w:r w:rsidR="00761672" w:rsidRPr="0053181C">
              <w:rPr>
                <w:sz w:val="16"/>
                <w:lang w:val="it-IT"/>
              </w:rPr>
              <w:t>e la CPDN</w:t>
            </w:r>
            <w:r w:rsidR="0053181C" w:rsidRPr="0053181C">
              <w:rPr>
                <w:sz w:val="16"/>
                <w:lang w:val="it-IT"/>
              </w:rPr>
              <w:t xml:space="preserve"> relatif à l’exploitation minière</w:t>
            </w:r>
            <w:r w:rsidR="00761672" w:rsidRPr="0053181C">
              <w:rPr>
                <w:sz w:val="16"/>
                <w:lang w:val="it-IT"/>
              </w:rPr>
              <w:t>.</w:t>
            </w:r>
          </w:p>
          <w:p w:rsidR="001E1640" w:rsidRPr="0053181C" w:rsidRDefault="001E1640" w:rsidP="00387646">
            <w:pPr>
              <w:rPr>
                <w:sz w:val="16"/>
                <w:lang w:val="it-IT"/>
              </w:rPr>
            </w:pPr>
          </w:p>
          <w:p w:rsidR="001E1640" w:rsidRPr="0053181C" w:rsidRDefault="00476F3E" w:rsidP="00387646">
            <w:pPr>
              <w:rPr>
                <w:sz w:val="16"/>
                <w:lang w:val="it-IT"/>
              </w:rPr>
            </w:pPr>
            <w:r w:rsidRPr="0053181C">
              <w:rPr>
                <w:sz w:val="16"/>
                <w:lang w:val="it-IT"/>
              </w:rPr>
              <w:t xml:space="preserve">Une institution sera </w:t>
            </w:r>
            <w:r w:rsidR="001E1640" w:rsidRPr="0053181C">
              <w:rPr>
                <w:sz w:val="16"/>
                <w:lang w:val="it-IT"/>
              </w:rPr>
              <w:t>sollicité</w:t>
            </w:r>
            <w:r w:rsidRPr="0053181C">
              <w:rPr>
                <w:sz w:val="16"/>
                <w:lang w:val="it-IT"/>
              </w:rPr>
              <w:t>e</w:t>
            </w:r>
            <w:r w:rsidR="001E1640" w:rsidRPr="0053181C">
              <w:rPr>
                <w:sz w:val="16"/>
                <w:lang w:val="it-IT"/>
              </w:rPr>
              <w:t xml:space="preserve"> pour favoriser le renforcement de capacités afin de permettre à la Guinée de désigner et de faire accréditer une Entité nationale de mise en oeuvre pour le Fonds Vert, lui permettant ainsi un accès direct. </w:t>
            </w:r>
          </w:p>
          <w:p w:rsidR="00F37F40" w:rsidRPr="0053181C" w:rsidRDefault="00F37F40" w:rsidP="00387646">
            <w:pPr>
              <w:rPr>
                <w:sz w:val="16"/>
                <w:lang w:val="it-IT"/>
              </w:rPr>
            </w:pPr>
            <w:r w:rsidRPr="0053181C">
              <w:rPr>
                <w:sz w:val="16"/>
                <w:lang w:val="it-IT"/>
              </w:rPr>
              <w:t>En tant que PMA, un appui fort du Fonds Vert est requis pour soutenir en particulier les programmes liés à la sécurité alimentaire et à l’efficacité énergétique.</w:t>
            </w:r>
          </w:p>
        </w:tc>
      </w:tr>
      <w:tr w:rsidR="004540FF" w:rsidRPr="0053181C" w:rsidTr="00387646">
        <w:tc>
          <w:tcPr>
            <w:tcW w:w="2376" w:type="dxa"/>
          </w:tcPr>
          <w:p w:rsidR="004540FF" w:rsidRPr="0053181C" w:rsidRDefault="004540FF" w:rsidP="00387646">
            <w:pPr>
              <w:rPr>
                <w:b/>
                <w:sz w:val="16"/>
                <w:lang w:val="it-IT"/>
              </w:rPr>
            </w:pPr>
            <w:r w:rsidRPr="0053181C">
              <w:rPr>
                <w:b/>
                <w:sz w:val="16"/>
                <w:lang w:val="it-IT"/>
              </w:rPr>
              <w:t>Marché</w:t>
            </w:r>
            <w:r w:rsidR="001E1640" w:rsidRPr="0053181C">
              <w:rPr>
                <w:b/>
                <w:sz w:val="16"/>
                <w:lang w:val="it-IT"/>
              </w:rPr>
              <w:t>s</w:t>
            </w:r>
            <w:r w:rsidRPr="0053181C">
              <w:rPr>
                <w:b/>
                <w:sz w:val="16"/>
                <w:lang w:val="it-IT"/>
              </w:rPr>
              <w:t xml:space="preserve"> carbone</w:t>
            </w:r>
          </w:p>
        </w:tc>
        <w:tc>
          <w:tcPr>
            <w:tcW w:w="7968" w:type="dxa"/>
          </w:tcPr>
          <w:p w:rsidR="001E1640" w:rsidRPr="0053181C" w:rsidRDefault="001E1640" w:rsidP="001E1640">
            <w:pPr>
              <w:spacing w:line="276" w:lineRule="auto"/>
              <w:rPr>
                <w:sz w:val="16"/>
              </w:rPr>
            </w:pPr>
            <w:r w:rsidRPr="0053181C">
              <w:rPr>
                <w:sz w:val="16"/>
              </w:rPr>
              <w:t>La Guinée est un pays Non-Annexe I de la Convention Cadre des Nations Unies sur les Changements Climatiques (CCNUCC) et fait partie des Pays les Moins Avancés (PMA). Il soutient l'inclusion des marchés internationaux du carbone tels que le Mécanisme pour un Développement Propre (MDP) dans un accord post 2020 sur le climat et propose qu’un tel instrument, couplé à un régime comptable approprié (MRV), puisse être utilisé pour aider à financer certains investissements dans les infrastructures sobres en carbone et résilientes au changement climatique. La Guinée considère que certaines des options de développement sobres en carbone contenues dans cette CPDN, ou des actions supplémentaires, pourraient être financées entièrement ou en partie, par le transfert international d’actifs carbone en tenant compte des considérations d'intégrité de l'environnement et de transparence.</w:t>
            </w:r>
          </w:p>
          <w:p w:rsidR="001E1640" w:rsidRPr="0053181C" w:rsidRDefault="001E1640" w:rsidP="001E1640">
            <w:pPr>
              <w:spacing w:line="276" w:lineRule="auto"/>
              <w:rPr>
                <w:sz w:val="16"/>
              </w:rPr>
            </w:pPr>
            <w:r w:rsidRPr="0053181C">
              <w:rPr>
                <w:sz w:val="16"/>
              </w:rPr>
              <w:t>Néanmoins, aucun projet MDP n’ayant été validé en Guinée</w:t>
            </w:r>
            <w:r w:rsidR="00425467" w:rsidRPr="0053181C">
              <w:rPr>
                <w:sz w:val="16"/>
              </w:rPr>
              <w:t xml:space="preserve"> jusqu’alors</w:t>
            </w:r>
            <w:r w:rsidRPr="0053181C">
              <w:rPr>
                <w:sz w:val="16"/>
              </w:rPr>
              <w:t xml:space="preserve">, un renforcement de capacités serait indispensable. </w:t>
            </w:r>
          </w:p>
          <w:p w:rsidR="004540FF" w:rsidRPr="0053181C" w:rsidRDefault="001E1640" w:rsidP="00387646">
            <w:pPr>
              <w:rPr>
                <w:sz w:val="16"/>
              </w:rPr>
            </w:pPr>
            <w:r w:rsidRPr="0053181C">
              <w:rPr>
                <w:sz w:val="16"/>
              </w:rPr>
              <w:t xml:space="preserve">Par ailleurs, </w:t>
            </w:r>
            <w:r w:rsidRPr="0053181C">
              <w:rPr>
                <w:sz w:val="16"/>
                <w:lang w:val="it-IT"/>
              </w:rPr>
              <w:t>la République de Guinée n’a pas encore formulé de stratégie REDD+</w:t>
            </w:r>
            <w:r w:rsidR="00425467" w:rsidRPr="0053181C">
              <w:rPr>
                <w:sz w:val="16"/>
                <w:lang w:val="it-IT"/>
              </w:rPr>
              <w:t xml:space="preserve"> ; elle est néanmoins en lien avec la FAO pour évaluer les besoins de la Guinée sur ce point</w:t>
            </w:r>
            <w:r w:rsidRPr="0053181C">
              <w:rPr>
                <w:sz w:val="16"/>
                <w:lang w:val="it-IT"/>
              </w:rPr>
              <w:t>.</w:t>
            </w:r>
          </w:p>
        </w:tc>
      </w:tr>
      <w:tr w:rsidR="004540FF" w:rsidRPr="0053181C" w:rsidTr="00387646">
        <w:tc>
          <w:tcPr>
            <w:tcW w:w="2376" w:type="dxa"/>
          </w:tcPr>
          <w:p w:rsidR="004540FF" w:rsidRPr="0053181C" w:rsidRDefault="004540FF" w:rsidP="00387646">
            <w:pPr>
              <w:rPr>
                <w:b/>
                <w:sz w:val="16"/>
                <w:lang w:val="it-IT"/>
              </w:rPr>
            </w:pPr>
            <w:r w:rsidRPr="0053181C">
              <w:rPr>
                <w:b/>
                <w:sz w:val="16"/>
                <w:lang w:val="it-IT"/>
              </w:rPr>
              <w:t>Finance</w:t>
            </w:r>
            <w:r w:rsidR="00F37F40" w:rsidRPr="0053181C">
              <w:rPr>
                <w:b/>
                <w:sz w:val="16"/>
                <w:lang w:val="it-IT"/>
              </w:rPr>
              <w:t>ments privés</w:t>
            </w:r>
          </w:p>
        </w:tc>
        <w:tc>
          <w:tcPr>
            <w:tcW w:w="7968" w:type="dxa"/>
          </w:tcPr>
          <w:p w:rsidR="00F37F40" w:rsidRPr="0053181C" w:rsidRDefault="00F37F40" w:rsidP="00387646">
            <w:pPr>
              <w:rPr>
                <w:sz w:val="16"/>
                <w:lang w:val="it-IT"/>
              </w:rPr>
            </w:pPr>
            <w:r w:rsidRPr="0053181C">
              <w:rPr>
                <w:sz w:val="16"/>
                <w:lang w:val="it-IT"/>
              </w:rPr>
              <w:t xml:space="preserve">La République de Guinée souffre en particulier de faibles moyens pour satisfaire les besoins en investissement de son budget national. Le recours accru à la finance privée peut, dans ce cadre, permettre d’accélerer la mise en oeuvre des engagements. </w:t>
            </w:r>
            <w:r w:rsidR="00306BA2" w:rsidRPr="0053181C">
              <w:rPr>
                <w:sz w:val="16"/>
                <w:lang w:val="it-IT"/>
              </w:rPr>
              <w:t>Les efforts accomplis en matière d’améliorat</w:t>
            </w:r>
            <w:r w:rsidR="00482049">
              <w:rPr>
                <w:sz w:val="16"/>
                <w:lang w:val="it-IT"/>
              </w:rPr>
              <w:t xml:space="preserve">ion du climat des affaires (la </w:t>
            </w:r>
            <w:r w:rsidR="00306BA2" w:rsidRPr="0053181C">
              <w:rPr>
                <w:sz w:val="16"/>
                <w:lang w:val="it-IT"/>
              </w:rPr>
              <w:t xml:space="preserve">progression de la Guinée dans le classement </w:t>
            </w:r>
            <w:r w:rsidR="00306BA2" w:rsidRPr="0053181C">
              <w:rPr>
                <w:i/>
                <w:sz w:val="16"/>
                <w:lang w:val="it-IT"/>
              </w:rPr>
              <w:t xml:space="preserve">Doing Business </w:t>
            </w:r>
            <w:r w:rsidR="00306BA2" w:rsidRPr="0053181C">
              <w:rPr>
                <w:sz w:val="16"/>
                <w:lang w:val="it-IT"/>
              </w:rPr>
              <w:t>de la Banque Mondiale en témoigne) sont susceptibles d’améliorer la propension à l’investissement des acteurs privés.</w:t>
            </w:r>
          </w:p>
          <w:p w:rsidR="00F37F40" w:rsidRPr="0053181C" w:rsidRDefault="00F37F40" w:rsidP="00387646">
            <w:pPr>
              <w:rPr>
                <w:sz w:val="16"/>
                <w:lang w:val="it-IT"/>
              </w:rPr>
            </w:pPr>
            <w:r w:rsidRPr="0053181C">
              <w:rPr>
                <w:sz w:val="16"/>
                <w:lang w:val="it-IT"/>
              </w:rPr>
              <w:t xml:space="preserve">A ce titre, on notera d’une part que l’encadrement social et environnemental des investissements privés est assez inégal selon les secteurs : s’il est relativement exemplaire sur le secteur minier, </w:t>
            </w:r>
            <w:r w:rsidR="00306BA2" w:rsidRPr="0053181C">
              <w:rPr>
                <w:sz w:val="16"/>
                <w:lang w:val="it-IT"/>
              </w:rPr>
              <w:t>il est moins contraignant sur d’autres (forêts par exemple). Le recours à des partenariats publics-privés doit donc faire l’objet d’évaluations préalables.</w:t>
            </w:r>
          </w:p>
          <w:p w:rsidR="004540FF" w:rsidRPr="0053181C" w:rsidRDefault="00306BA2" w:rsidP="00387646">
            <w:pPr>
              <w:rPr>
                <w:sz w:val="16"/>
                <w:lang w:val="it-IT"/>
              </w:rPr>
            </w:pPr>
            <w:r w:rsidRPr="0053181C">
              <w:rPr>
                <w:sz w:val="16"/>
                <w:lang w:val="it-IT"/>
              </w:rPr>
              <w:t xml:space="preserve">Enfin, la diaspora guinéenne pourrait contribuer de façon plus active au développement bas carbone et résilient du pays, notamment en réorientant ses flux financiers (environ 150 millions USD / an) vers le secteur formel. </w:t>
            </w:r>
          </w:p>
        </w:tc>
      </w:tr>
    </w:tbl>
    <w:p w:rsidR="004540FF" w:rsidRPr="004540FF" w:rsidRDefault="004540FF" w:rsidP="004540FF">
      <w:pPr>
        <w:rPr>
          <w:lang w:val="it-IT"/>
        </w:rPr>
      </w:pPr>
    </w:p>
    <w:p w:rsidR="004540FF" w:rsidRDefault="004540FF" w:rsidP="004A67AD">
      <w:pPr>
        <w:spacing w:line="276" w:lineRule="auto"/>
        <w:rPr>
          <w:lang w:val="it-IT"/>
        </w:rPr>
      </w:pPr>
    </w:p>
    <w:sectPr w:rsidR="004540FF" w:rsidSect="009A39F5">
      <w:footerReference w:type="default" r:id="rId13"/>
      <w:footerReference w:type="first" r:id="rId14"/>
      <w:pgSz w:w="11906" w:h="16838" w:code="9"/>
      <w:pgMar w:top="993" w:right="851" w:bottom="851" w:left="851" w:header="851" w:footer="62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58F" w:rsidRDefault="0025558F">
      <w:r>
        <w:separator/>
      </w:r>
    </w:p>
  </w:endnote>
  <w:endnote w:type="continuationSeparator" w:id="0">
    <w:p w:rsidR="0025558F" w:rsidRDefault="0025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65" w:rsidRDefault="00827865" w:rsidP="0035732C">
    <w:pPr>
      <w:pStyle w:val="basdepage"/>
      <w:pBdr>
        <w:top w:val="none" w:sz="0" w:space="0" w:color="auto"/>
      </w:pBdr>
      <w:tabs>
        <w:tab w:val="clear" w:pos="9639"/>
        <w:tab w:val="right" w:pos="10206"/>
      </w:tabs>
    </w:pPr>
    <w:r w:rsidRPr="0049670E">
      <w:tab/>
    </w:r>
    <w:r w:rsidRPr="0049670E">
      <w:fldChar w:fldCharType="begin"/>
    </w:r>
    <w:r w:rsidRPr="0049670E">
      <w:instrText xml:space="preserve"> PAGE </w:instrText>
    </w:r>
    <w:r w:rsidRPr="0049670E">
      <w:fldChar w:fldCharType="separate"/>
    </w:r>
    <w:r w:rsidR="00B72EA4">
      <w:rPr>
        <w:noProof/>
      </w:rPr>
      <w:t>6</w:t>
    </w:r>
    <w:r w:rsidRPr="0049670E">
      <w:fldChar w:fldCharType="end"/>
    </w:r>
    <w:r>
      <w:t>/</w:t>
    </w:r>
    <w:r w:rsidR="0025558F">
      <w:fldChar w:fldCharType="begin"/>
    </w:r>
    <w:r w:rsidR="0025558F">
      <w:instrText xml:space="preserve"> NUMPAGES </w:instrText>
    </w:r>
    <w:r w:rsidR="0025558F">
      <w:fldChar w:fldCharType="separate"/>
    </w:r>
    <w:r w:rsidR="00B72EA4">
      <w:rPr>
        <w:noProof/>
      </w:rPr>
      <w:t>15</w:t>
    </w:r>
    <w:r w:rsidR="0025558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65" w:rsidRPr="00587FAE" w:rsidRDefault="00827865" w:rsidP="00A459FB">
    <w:pPr>
      <w:pStyle w:val="Pieddepage"/>
      <w:pBdr>
        <w:top w:val="none" w:sz="0" w:space="0" w:color="auto"/>
      </w:pBdr>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58F" w:rsidRDefault="0025558F">
      <w:r>
        <w:separator/>
      </w:r>
    </w:p>
  </w:footnote>
  <w:footnote w:type="continuationSeparator" w:id="0">
    <w:p w:rsidR="0025558F" w:rsidRDefault="0025558F">
      <w:r>
        <w:continuationSeparator/>
      </w:r>
    </w:p>
  </w:footnote>
  <w:footnote w:id="1">
    <w:p w:rsidR="00827865" w:rsidRDefault="00827865">
      <w:pPr>
        <w:pStyle w:val="Notedebasdepage"/>
      </w:pPr>
      <w:r w:rsidRPr="00347866">
        <w:rPr>
          <w:rStyle w:val="Appelnotedebasdep"/>
        </w:rPr>
        <w:footnoteRef/>
      </w:r>
      <w:r w:rsidRPr="00511CB8">
        <w:t>Les réductions d’émissions escomptées tiennent compte de la « demande supprimée » selon un scénario de croissance de la population de +3% par an et de croissance du PIB de +5%/an.</w:t>
      </w:r>
    </w:p>
  </w:footnote>
  <w:footnote w:id="2">
    <w:p w:rsidR="00827865" w:rsidRPr="0053181C" w:rsidRDefault="00827865" w:rsidP="0053181C">
      <w:pPr>
        <w:spacing w:line="276" w:lineRule="auto"/>
        <w:rPr>
          <w:lang w:val="it-IT"/>
        </w:rPr>
      </w:pPr>
      <w:r w:rsidRPr="0053181C">
        <w:rPr>
          <w:rStyle w:val="Appelnotedebasdep"/>
          <w:sz w:val="16"/>
        </w:rPr>
        <w:footnoteRef/>
      </w:r>
      <w:r w:rsidRPr="0053181C">
        <w:rPr>
          <w:sz w:val="16"/>
        </w:rPr>
        <w:t xml:space="preserve"> L’absence de données récentes, notamment en termes d’inventaire forestier, ne permet pas d’estimer si cette situation prévaut toujours : </w:t>
      </w:r>
      <w:r w:rsidRPr="0053181C">
        <w:rPr>
          <w:i/>
          <w:sz w:val="16"/>
        </w:rPr>
        <w:t>a priori</w:t>
      </w:r>
      <w:r w:rsidRPr="0053181C">
        <w:rPr>
          <w:sz w:val="16"/>
        </w:rPr>
        <w:t xml:space="preserve">, l’augmentation de la population et de l’activité économique depuis 1994 a augmenté les pressions sur les puits de carbone.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E62DB9E"/>
    <w:lvl w:ilvl="0">
      <w:start w:val="1"/>
      <w:numFmt w:val="decimal"/>
      <w:pStyle w:val="Titre9"/>
      <w:lvlText w:val="%1."/>
      <w:lvlJc w:val="left"/>
      <w:pPr>
        <w:tabs>
          <w:tab w:val="num" w:pos="926"/>
        </w:tabs>
        <w:ind w:left="926" w:hanging="360"/>
      </w:pPr>
    </w:lvl>
  </w:abstractNum>
  <w:abstractNum w:abstractNumId="1">
    <w:nsid w:val="FFFFFF7F"/>
    <w:multiLevelType w:val="singleLevel"/>
    <w:tmpl w:val="69600A5C"/>
    <w:lvl w:ilvl="0">
      <w:start w:val="1"/>
      <w:numFmt w:val="decimal"/>
      <w:pStyle w:val="Titre8"/>
      <w:lvlText w:val="%1."/>
      <w:lvlJc w:val="left"/>
      <w:pPr>
        <w:tabs>
          <w:tab w:val="num" w:pos="643"/>
        </w:tabs>
        <w:ind w:left="643" w:hanging="360"/>
      </w:pPr>
    </w:lvl>
  </w:abstractNum>
  <w:abstractNum w:abstractNumId="2">
    <w:nsid w:val="00ED45BA"/>
    <w:multiLevelType w:val="multilevel"/>
    <w:tmpl w:val="65C82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2965419"/>
    <w:multiLevelType w:val="hybridMultilevel"/>
    <w:tmpl w:val="5BD2148C"/>
    <w:lvl w:ilvl="0" w:tplc="8356E3F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6396D7C"/>
    <w:multiLevelType w:val="multilevel"/>
    <w:tmpl w:val="0B24B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88F7585"/>
    <w:multiLevelType w:val="hybridMultilevel"/>
    <w:tmpl w:val="26785188"/>
    <w:lvl w:ilvl="0" w:tplc="7906441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82621F"/>
    <w:multiLevelType w:val="multilevel"/>
    <w:tmpl w:val="2FE0351E"/>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20"/>
        </w:tabs>
        <w:ind w:left="1474" w:hanging="737"/>
      </w:pPr>
      <w:rPr>
        <w:rFonts w:hint="default"/>
        <w:b/>
        <w:i w:val="0"/>
        <w:sz w:val="24"/>
        <w:szCs w:val="24"/>
        <w:u w:val="none"/>
      </w:rPr>
    </w:lvl>
    <w:lvl w:ilvl="2">
      <w:start w:val="1"/>
      <w:numFmt w:val="decimal"/>
      <w:pStyle w:val="Titre3min"/>
      <w:lvlText w:val="%1.%2.%3."/>
      <w:lvlJc w:val="left"/>
      <w:pPr>
        <w:tabs>
          <w:tab w:val="num" w:pos="1854"/>
        </w:tabs>
        <w:ind w:left="1985" w:hanging="681"/>
      </w:pPr>
      <w:rPr>
        <w:rFonts w:hint="default"/>
      </w:rPr>
    </w:lvl>
    <w:lvl w:ilvl="3">
      <w:start w:val="1"/>
      <w:numFmt w:val="decimal"/>
      <w:lvlText w:val="%1.%2.%3.%4."/>
      <w:lvlJc w:val="left"/>
      <w:pPr>
        <w:tabs>
          <w:tab w:val="num" w:pos="2214"/>
        </w:tabs>
        <w:ind w:left="0" w:firstLine="1134"/>
      </w:pPr>
      <w:rPr>
        <w:rFonts w:hint="default"/>
      </w:rPr>
    </w:lvl>
    <w:lvl w:ilvl="4">
      <w:start w:val="1"/>
      <w:numFmt w:val="decimal"/>
      <w:lvlText w:val="%1.%2.%3.%4.%5."/>
      <w:lvlJc w:val="left"/>
      <w:pPr>
        <w:tabs>
          <w:tab w:val="num" w:pos="3348"/>
        </w:tabs>
        <w:ind w:left="1134" w:firstLine="1134"/>
      </w:pPr>
      <w:rPr>
        <w:rFonts w:hint="default"/>
      </w:rPr>
    </w:lvl>
    <w:lvl w:ilvl="5">
      <w:start w:val="1"/>
      <w:numFmt w:val="bullet"/>
      <w:lvlText w:val=""/>
      <w:lvlJc w:val="left"/>
      <w:pPr>
        <w:tabs>
          <w:tab w:val="num" w:pos="2268"/>
        </w:tabs>
        <w:ind w:left="2268" w:hanging="567"/>
      </w:pPr>
      <w:rPr>
        <w:rFonts w:ascii="Wingdings" w:hAnsi="Wingding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6F41BA"/>
    <w:multiLevelType w:val="hybridMultilevel"/>
    <w:tmpl w:val="4D7298DC"/>
    <w:lvl w:ilvl="0" w:tplc="9FACF148">
      <w:start w:val="1"/>
      <w:numFmt w:val="bullet"/>
      <w:pStyle w:val="titreparagraphe1"/>
      <w:lvlText w:val=""/>
      <w:lvlJc w:val="left"/>
      <w:pPr>
        <w:tabs>
          <w:tab w:val="num" w:pos="340"/>
        </w:tabs>
        <w:ind w:left="340" w:hanging="340"/>
      </w:pPr>
      <w:rPr>
        <w:rFonts w:ascii="Wingdings" w:hAnsi="Wingdings" w:hint="default"/>
      </w:rPr>
    </w:lvl>
    <w:lvl w:ilvl="1" w:tplc="E0CEEC02" w:tentative="1">
      <w:start w:val="1"/>
      <w:numFmt w:val="bullet"/>
      <w:lvlText w:val="o"/>
      <w:lvlJc w:val="left"/>
      <w:pPr>
        <w:tabs>
          <w:tab w:val="num" w:pos="1440"/>
        </w:tabs>
        <w:ind w:left="1440" w:hanging="360"/>
      </w:pPr>
      <w:rPr>
        <w:rFonts w:ascii="Courier New" w:hAnsi="Courier New" w:cs="Courier New" w:hint="default"/>
      </w:rPr>
    </w:lvl>
    <w:lvl w:ilvl="2" w:tplc="9654AA84" w:tentative="1">
      <w:start w:val="1"/>
      <w:numFmt w:val="bullet"/>
      <w:lvlText w:val=""/>
      <w:lvlJc w:val="left"/>
      <w:pPr>
        <w:tabs>
          <w:tab w:val="num" w:pos="2160"/>
        </w:tabs>
        <w:ind w:left="2160" w:hanging="360"/>
      </w:pPr>
      <w:rPr>
        <w:rFonts w:ascii="Wingdings" w:hAnsi="Wingdings" w:hint="default"/>
      </w:rPr>
    </w:lvl>
    <w:lvl w:ilvl="3" w:tplc="246C8D78" w:tentative="1">
      <w:start w:val="1"/>
      <w:numFmt w:val="bullet"/>
      <w:lvlText w:val=""/>
      <w:lvlJc w:val="left"/>
      <w:pPr>
        <w:tabs>
          <w:tab w:val="num" w:pos="2880"/>
        </w:tabs>
        <w:ind w:left="2880" w:hanging="360"/>
      </w:pPr>
      <w:rPr>
        <w:rFonts w:ascii="Symbol" w:hAnsi="Symbol" w:hint="default"/>
      </w:rPr>
    </w:lvl>
    <w:lvl w:ilvl="4" w:tplc="D7DCBD68" w:tentative="1">
      <w:start w:val="1"/>
      <w:numFmt w:val="bullet"/>
      <w:lvlText w:val="o"/>
      <w:lvlJc w:val="left"/>
      <w:pPr>
        <w:tabs>
          <w:tab w:val="num" w:pos="3600"/>
        </w:tabs>
        <w:ind w:left="3600" w:hanging="360"/>
      </w:pPr>
      <w:rPr>
        <w:rFonts w:ascii="Courier New" w:hAnsi="Courier New" w:cs="Courier New" w:hint="default"/>
      </w:rPr>
    </w:lvl>
    <w:lvl w:ilvl="5" w:tplc="EACC54F0" w:tentative="1">
      <w:start w:val="1"/>
      <w:numFmt w:val="bullet"/>
      <w:lvlText w:val=""/>
      <w:lvlJc w:val="left"/>
      <w:pPr>
        <w:tabs>
          <w:tab w:val="num" w:pos="4320"/>
        </w:tabs>
        <w:ind w:left="4320" w:hanging="360"/>
      </w:pPr>
      <w:rPr>
        <w:rFonts w:ascii="Wingdings" w:hAnsi="Wingdings" w:hint="default"/>
      </w:rPr>
    </w:lvl>
    <w:lvl w:ilvl="6" w:tplc="DB14280E" w:tentative="1">
      <w:start w:val="1"/>
      <w:numFmt w:val="bullet"/>
      <w:lvlText w:val=""/>
      <w:lvlJc w:val="left"/>
      <w:pPr>
        <w:tabs>
          <w:tab w:val="num" w:pos="5040"/>
        </w:tabs>
        <w:ind w:left="5040" w:hanging="360"/>
      </w:pPr>
      <w:rPr>
        <w:rFonts w:ascii="Symbol" w:hAnsi="Symbol" w:hint="default"/>
      </w:rPr>
    </w:lvl>
    <w:lvl w:ilvl="7" w:tplc="258A90BC" w:tentative="1">
      <w:start w:val="1"/>
      <w:numFmt w:val="bullet"/>
      <w:lvlText w:val="o"/>
      <w:lvlJc w:val="left"/>
      <w:pPr>
        <w:tabs>
          <w:tab w:val="num" w:pos="5760"/>
        </w:tabs>
        <w:ind w:left="5760" w:hanging="360"/>
      </w:pPr>
      <w:rPr>
        <w:rFonts w:ascii="Courier New" w:hAnsi="Courier New" w:cs="Courier New" w:hint="default"/>
      </w:rPr>
    </w:lvl>
    <w:lvl w:ilvl="8" w:tplc="ED4291B2" w:tentative="1">
      <w:start w:val="1"/>
      <w:numFmt w:val="bullet"/>
      <w:lvlText w:val=""/>
      <w:lvlJc w:val="left"/>
      <w:pPr>
        <w:tabs>
          <w:tab w:val="num" w:pos="6480"/>
        </w:tabs>
        <w:ind w:left="6480" w:hanging="360"/>
      </w:pPr>
      <w:rPr>
        <w:rFonts w:ascii="Wingdings" w:hAnsi="Wingdings" w:hint="default"/>
      </w:rPr>
    </w:lvl>
  </w:abstractNum>
  <w:abstractNum w:abstractNumId="8">
    <w:nsid w:val="1A40443D"/>
    <w:multiLevelType w:val="hybridMultilevel"/>
    <w:tmpl w:val="4B2AEF10"/>
    <w:lvl w:ilvl="0" w:tplc="155250C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BE48CE"/>
    <w:multiLevelType w:val="hybridMultilevel"/>
    <w:tmpl w:val="423457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5C33FB7"/>
    <w:multiLevelType w:val="hybridMultilevel"/>
    <w:tmpl w:val="1F5217B6"/>
    <w:lvl w:ilvl="0" w:tplc="7906441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1E3FB9"/>
    <w:multiLevelType w:val="multilevel"/>
    <w:tmpl w:val="040C001D"/>
    <w:name w:val="WW8Num222222222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E4D62A4"/>
    <w:multiLevelType w:val="multilevel"/>
    <w:tmpl w:val="04B4C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8D60C73"/>
    <w:multiLevelType w:val="multilevel"/>
    <w:tmpl w:val="FE92F12E"/>
    <w:styleLink w:val="Listenumrote"/>
    <w:lvl w:ilvl="0">
      <w:start w:val="1"/>
      <w:numFmt w:val="decimal"/>
      <w:lvlText w:val="%1."/>
      <w:lvlJc w:val="left"/>
      <w:pPr>
        <w:tabs>
          <w:tab w:val="num" w:pos="851"/>
        </w:tabs>
        <w:ind w:left="851" w:hanging="284"/>
      </w:pPr>
      <w:rPr>
        <w:rFonts w:ascii="Verdana" w:hAnsi="Verdana" w:hint="default"/>
        <w:b/>
        <w:i w:val="0"/>
        <w:color w:val="1C5840"/>
        <w:sz w:val="18"/>
      </w:rPr>
    </w:lvl>
    <w:lvl w:ilvl="1">
      <w:start w:val="1"/>
      <w:numFmt w:val="lowerLetter"/>
      <w:lvlText w:val="%1.%2."/>
      <w:lvlJc w:val="left"/>
      <w:pPr>
        <w:tabs>
          <w:tab w:val="num" w:pos="1418"/>
        </w:tabs>
        <w:ind w:left="1418" w:hanging="567"/>
      </w:pPr>
      <w:rPr>
        <w:rFonts w:ascii="Verdana" w:hAnsi="Verdana" w:hint="default"/>
        <w:b/>
        <w:i w:val="0"/>
        <w:color w:val="1C5840"/>
        <w:sz w:val="18"/>
      </w:rPr>
    </w:lvl>
    <w:lvl w:ilvl="2">
      <w:start w:val="1"/>
      <w:numFmt w:val="decimal"/>
      <w:lvlText w:val="%1.%2.%3."/>
      <w:lvlJc w:val="left"/>
      <w:pPr>
        <w:tabs>
          <w:tab w:val="num" w:pos="0"/>
        </w:tabs>
        <w:ind w:left="0" w:firstLine="1134"/>
      </w:pPr>
      <w:rPr>
        <w:rFonts w:hint="default"/>
        <w:b w:val="0"/>
        <w:i w:val="0"/>
      </w:rPr>
    </w:lvl>
    <w:lvl w:ilvl="3">
      <w:start w:val="1"/>
      <w:numFmt w:val="decimal"/>
      <w:lvlText w:val="%1.%2.%3.%4."/>
      <w:lvlJc w:val="left"/>
      <w:pPr>
        <w:tabs>
          <w:tab w:val="num" w:pos="0"/>
        </w:tabs>
        <w:ind w:left="0" w:firstLine="1134"/>
      </w:pPr>
      <w:rPr>
        <w:rFonts w:hint="default"/>
      </w:rPr>
    </w:lvl>
    <w:lvl w:ilvl="4">
      <w:start w:val="1"/>
      <w:numFmt w:val="decimal"/>
      <w:lvlText w:val="%1.%2.%3.%4.%5."/>
      <w:lvlJc w:val="left"/>
      <w:pPr>
        <w:tabs>
          <w:tab w:val="num" w:pos="1134"/>
        </w:tabs>
        <w:ind w:left="1134" w:firstLine="1134"/>
      </w:pPr>
      <w:rPr>
        <w:rFonts w:hint="default"/>
      </w:rPr>
    </w:lvl>
    <w:lvl w:ilvl="5">
      <w:start w:val="1"/>
      <w:numFmt w:val="bullet"/>
      <w:lvlText w:val=""/>
      <w:lvlJc w:val="left"/>
      <w:pPr>
        <w:tabs>
          <w:tab w:val="num" w:pos="2268"/>
        </w:tabs>
        <w:ind w:left="2268" w:hanging="567"/>
      </w:pPr>
      <w:rPr>
        <w:rFonts w:ascii="Wingdings" w:hAnsi="Wingding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49684DA8"/>
    <w:multiLevelType w:val="multilevel"/>
    <w:tmpl w:val="26785188"/>
    <w:lvl w:ilvl="0">
      <w:numFmt w:val="bullet"/>
      <w:lvlText w:val="-"/>
      <w:lvlJc w:val="left"/>
      <w:pPr>
        <w:ind w:left="720" w:hanging="36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9FD27E6"/>
    <w:multiLevelType w:val="hybridMultilevel"/>
    <w:tmpl w:val="ED56BE32"/>
    <w:lvl w:ilvl="0" w:tplc="4208BDAC">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2D14E4"/>
    <w:multiLevelType w:val="multilevel"/>
    <w:tmpl w:val="9B36FB2A"/>
    <w:lvl w:ilvl="0">
      <w:start w:val="1"/>
      <w:numFmt w:val="bullet"/>
      <w:pStyle w:val="Listepuces"/>
      <w:lvlText w:val=""/>
      <w:lvlJc w:val="left"/>
      <w:pPr>
        <w:tabs>
          <w:tab w:val="num" w:pos="851"/>
        </w:tabs>
        <w:ind w:left="851" w:hanging="284"/>
      </w:pPr>
      <w:rPr>
        <w:rFonts w:ascii="Wingdings" w:hAnsi="Wingdings" w:hint="default"/>
        <w:color w:val="1C5840"/>
        <w:sz w:val="12"/>
      </w:rPr>
    </w:lvl>
    <w:lvl w:ilvl="1">
      <w:start w:val="1"/>
      <w:numFmt w:val="bullet"/>
      <w:lvlText w:val="□"/>
      <w:lvlJc w:val="left"/>
      <w:pPr>
        <w:tabs>
          <w:tab w:val="num" w:pos="1418"/>
        </w:tabs>
        <w:ind w:left="1418" w:hanging="284"/>
      </w:pPr>
      <w:rPr>
        <w:rFonts w:ascii="Times New Roman" w:hAnsi="Times New Roman" w:hint="default"/>
        <w:b/>
        <w:i w:val="0"/>
        <w:color w:val="1C5840"/>
        <w:sz w:val="18"/>
      </w:rPr>
    </w:lvl>
    <w:lvl w:ilvl="2">
      <w:start w:val="1"/>
      <w:numFmt w:val="bullet"/>
      <w:lvlText w:val="+"/>
      <w:lvlJc w:val="left"/>
      <w:pPr>
        <w:tabs>
          <w:tab w:val="num" w:pos="1985"/>
        </w:tabs>
        <w:ind w:left="1985" w:hanging="284"/>
      </w:pPr>
      <w:rPr>
        <w:rFonts w:ascii="Verdana" w:hAnsi="Verdana" w:hint="default"/>
        <w:b/>
        <w:i w:val="0"/>
        <w:color w:val="1C5840"/>
        <w:sz w:val="16"/>
      </w:rPr>
    </w:lvl>
    <w:lvl w:ilvl="3">
      <w:start w:val="1"/>
      <w:numFmt w:val="bullet"/>
      <w:lvlText w:val="-"/>
      <w:lvlJc w:val="left"/>
      <w:pPr>
        <w:tabs>
          <w:tab w:val="num" w:pos="2552"/>
        </w:tabs>
        <w:ind w:left="2552" w:hanging="284"/>
      </w:pPr>
      <w:rPr>
        <w:rFonts w:ascii="Verdana" w:hAnsi="Verdana" w:hint="default"/>
        <w:b/>
        <w:i w:val="0"/>
        <w:color w:val="1C5840"/>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1085BCD"/>
    <w:multiLevelType w:val="hybridMultilevel"/>
    <w:tmpl w:val="D97885C2"/>
    <w:lvl w:ilvl="0" w:tplc="B43A85F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4337DF6"/>
    <w:multiLevelType w:val="multilevel"/>
    <w:tmpl w:val="20E69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59A4F27"/>
    <w:multiLevelType w:val="hybridMultilevel"/>
    <w:tmpl w:val="DBC26424"/>
    <w:lvl w:ilvl="0" w:tplc="BF6ADD6E">
      <w:start w:val="1"/>
      <w:numFmt w:val="bullet"/>
      <w:pStyle w:val="Titre4"/>
      <w:lvlText w:val=""/>
      <w:lvlJc w:val="left"/>
      <w:pPr>
        <w:tabs>
          <w:tab w:val="num" w:pos="340"/>
        </w:tabs>
        <w:ind w:left="340" w:hanging="340"/>
      </w:pPr>
      <w:rPr>
        <w:rFonts w:ascii="Symbol" w:hAnsi="Symbol" w:hint="default"/>
        <w:sz w:val="20"/>
        <w:szCs w:val="20"/>
      </w:rPr>
    </w:lvl>
    <w:lvl w:ilvl="1" w:tplc="4BA68DFE" w:tentative="1">
      <w:start w:val="1"/>
      <w:numFmt w:val="bullet"/>
      <w:lvlText w:val="o"/>
      <w:lvlJc w:val="left"/>
      <w:pPr>
        <w:tabs>
          <w:tab w:val="num" w:pos="1440"/>
        </w:tabs>
        <w:ind w:left="1440" w:hanging="360"/>
      </w:pPr>
      <w:rPr>
        <w:rFonts w:ascii="Courier New" w:hAnsi="Courier New" w:cs="Courier New" w:hint="default"/>
      </w:rPr>
    </w:lvl>
    <w:lvl w:ilvl="2" w:tplc="C8225D68" w:tentative="1">
      <w:start w:val="1"/>
      <w:numFmt w:val="bullet"/>
      <w:lvlText w:val=""/>
      <w:lvlJc w:val="left"/>
      <w:pPr>
        <w:tabs>
          <w:tab w:val="num" w:pos="2160"/>
        </w:tabs>
        <w:ind w:left="2160" w:hanging="360"/>
      </w:pPr>
      <w:rPr>
        <w:rFonts w:ascii="Wingdings" w:hAnsi="Wingdings" w:hint="default"/>
      </w:rPr>
    </w:lvl>
    <w:lvl w:ilvl="3" w:tplc="B9823C74" w:tentative="1">
      <w:start w:val="1"/>
      <w:numFmt w:val="bullet"/>
      <w:lvlText w:val=""/>
      <w:lvlJc w:val="left"/>
      <w:pPr>
        <w:tabs>
          <w:tab w:val="num" w:pos="2880"/>
        </w:tabs>
        <w:ind w:left="2880" w:hanging="360"/>
      </w:pPr>
      <w:rPr>
        <w:rFonts w:ascii="Symbol" w:hAnsi="Symbol" w:hint="default"/>
      </w:rPr>
    </w:lvl>
    <w:lvl w:ilvl="4" w:tplc="7DE41002" w:tentative="1">
      <w:start w:val="1"/>
      <w:numFmt w:val="bullet"/>
      <w:lvlText w:val="o"/>
      <w:lvlJc w:val="left"/>
      <w:pPr>
        <w:tabs>
          <w:tab w:val="num" w:pos="3600"/>
        </w:tabs>
        <w:ind w:left="3600" w:hanging="360"/>
      </w:pPr>
      <w:rPr>
        <w:rFonts w:ascii="Courier New" w:hAnsi="Courier New" w:cs="Courier New" w:hint="default"/>
      </w:rPr>
    </w:lvl>
    <w:lvl w:ilvl="5" w:tplc="76CA897E" w:tentative="1">
      <w:start w:val="1"/>
      <w:numFmt w:val="bullet"/>
      <w:lvlText w:val=""/>
      <w:lvlJc w:val="left"/>
      <w:pPr>
        <w:tabs>
          <w:tab w:val="num" w:pos="4320"/>
        </w:tabs>
        <w:ind w:left="4320" w:hanging="360"/>
      </w:pPr>
      <w:rPr>
        <w:rFonts w:ascii="Wingdings" w:hAnsi="Wingdings" w:hint="default"/>
      </w:rPr>
    </w:lvl>
    <w:lvl w:ilvl="6" w:tplc="486243A6" w:tentative="1">
      <w:start w:val="1"/>
      <w:numFmt w:val="bullet"/>
      <w:lvlText w:val=""/>
      <w:lvlJc w:val="left"/>
      <w:pPr>
        <w:tabs>
          <w:tab w:val="num" w:pos="5040"/>
        </w:tabs>
        <w:ind w:left="5040" w:hanging="360"/>
      </w:pPr>
      <w:rPr>
        <w:rFonts w:ascii="Symbol" w:hAnsi="Symbol" w:hint="default"/>
      </w:rPr>
    </w:lvl>
    <w:lvl w:ilvl="7" w:tplc="8876C08A" w:tentative="1">
      <w:start w:val="1"/>
      <w:numFmt w:val="bullet"/>
      <w:lvlText w:val="o"/>
      <w:lvlJc w:val="left"/>
      <w:pPr>
        <w:tabs>
          <w:tab w:val="num" w:pos="5760"/>
        </w:tabs>
        <w:ind w:left="5760" w:hanging="360"/>
      </w:pPr>
      <w:rPr>
        <w:rFonts w:ascii="Courier New" w:hAnsi="Courier New" w:cs="Courier New" w:hint="default"/>
      </w:rPr>
    </w:lvl>
    <w:lvl w:ilvl="8" w:tplc="F230C194" w:tentative="1">
      <w:start w:val="1"/>
      <w:numFmt w:val="bullet"/>
      <w:lvlText w:val=""/>
      <w:lvlJc w:val="left"/>
      <w:pPr>
        <w:tabs>
          <w:tab w:val="num" w:pos="6480"/>
        </w:tabs>
        <w:ind w:left="6480" w:hanging="360"/>
      </w:pPr>
      <w:rPr>
        <w:rFonts w:ascii="Wingdings" w:hAnsi="Wingdings" w:hint="default"/>
      </w:rPr>
    </w:lvl>
  </w:abstractNum>
  <w:abstractNum w:abstractNumId="20">
    <w:nsid w:val="5C4F1DA8"/>
    <w:multiLevelType w:val="hybridMultilevel"/>
    <w:tmpl w:val="978EBB12"/>
    <w:lvl w:ilvl="0" w:tplc="038ED9F2">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9D2082"/>
    <w:multiLevelType w:val="hybridMultilevel"/>
    <w:tmpl w:val="A446966E"/>
    <w:lvl w:ilvl="0" w:tplc="B43A85F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1B93574"/>
    <w:multiLevelType w:val="hybridMultilevel"/>
    <w:tmpl w:val="E90AA8BA"/>
    <w:lvl w:ilvl="0" w:tplc="372019E0">
      <w:start w:val="1"/>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FF311D2"/>
    <w:multiLevelType w:val="hybridMultilevel"/>
    <w:tmpl w:val="F2E25918"/>
    <w:lvl w:ilvl="0" w:tplc="B43A85F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9"/>
  </w:num>
  <w:num w:numId="3">
    <w:abstractNumId w:val="7"/>
  </w:num>
  <w:num w:numId="4">
    <w:abstractNumId w:val="1"/>
  </w:num>
  <w:num w:numId="5">
    <w:abstractNumId w:val="0"/>
  </w:num>
  <w:num w:numId="6">
    <w:abstractNumId w:val="16"/>
  </w:num>
  <w:num w:numId="7">
    <w:abstractNumId w:val="13"/>
  </w:num>
  <w:num w:numId="8">
    <w:abstractNumId w:val="17"/>
  </w:num>
  <w:num w:numId="9">
    <w:abstractNumId w:val="2"/>
  </w:num>
  <w:num w:numId="10">
    <w:abstractNumId w:val="4"/>
  </w:num>
  <w:num w:numId="11">
    <w:abstractNumId w:val="18"/>
  </w:num>
  <w:num w:numId="12">
    <w:abstractNumId w:val="12"/>
  </w:num>
  <w:num w:numId="13">
    <w:abstractNumId w:val="5"/>
  </w:num>
  <w:num w:numId="14">
    <w:abstractNumId w:val="14"/>
  </w:num>
  <w:num w:numId="15">
    <w:abstractNumId w:val="22"/>
  </w:num>
  <w:num w:numId="16">
    <w:abstractNumId w:val="9"/>
  </w:num>
  <w:num w:numId="17">
    <w:abstractNumId w:val="21"/>
  </w:num>
  <w:num w:numId="18">
    <w:abstractNumId w:val="10"/>
  </w:num>
  <w:num w:numId="19">
    <w:abstractNumId w:val="23"/>
  </w:num>
  <w:num w:numId="20">
    <w:abstractNumId w:val="8"/>
  </w:num>
  <w:num w:numId="21">
    <w:abstractNumId w:val="3"/>
  </w:num>
  <w:num w:numId="22">
    <w:abstractNumId w:val="15"/>
  </w:num>
  <w:num w:numId="23">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FR" w:vendorID="64" w:dllVersion="131078" w:nlCheck="1" w:checkStyle="1"/>
  <w:activeWritingStyle w:appName="MSWord" w:lang="fr-BE"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3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9FB"/>
    <w:rsid w:val="0000047B"/>
    <w:rsid w:val="000005A8"/>
    <w:rsid w:val="0000090E"/>
    <w:rsid w:val="00001102"/>
    <w:rsid w:val="00001881"/>
    <w:rsid w:val="00001BB4"/>
    <w:rsid w:val="00001F4D"/>
    <w:rsid w:val="00002FC5"/>
    <w:rsid w:val="00003E14"/>
    <w:rsid w:val="000040EF"/>
    <w:rsid w:val="000045F5"/>
    <w:rsid w:val="00006E16"/>
    <w:rsid w:val="000102DC"/>
    <w:rsid w:val="0001041D"/>
    <w:rsid w:val="000111A2"/>
    <w:rsid w:val="00012327"/>
    <w:rsid w:val="000128EC"/>
    <w:rsid w:val="000138B5"/>
    <w:rsid w:val="00013DF6"/>
    <w:rsid w:val="00013FBA"/>
    <w:rsid w:val="00015F22"/>
    <w:rsid w:val="00016B88"/>
    <w:rsid w:val="00016C6B"/>
    <w:rsid w:val="00016F0C"/>
    <w:rsid w:val="00017190"/>
    <w:rsid w:val="00020086"/>
    <w:rsid w:val="000201FC"/>
    <w:rsid w:val="00020636"/>
    <w:rsid w:val="00021382"/>
    <w:rsid w:val="000218C5"/>
    <w:rsid w:val="00021B90"/>
    <w:rsid w:val="000224AE"/>
    <w:rsid w:val="00023962"/>
    <w:rsid w:val="00024ABC"/>
    <w:rsid w:val="00024BFC"/>
    <w:rsid w:val="00025769"/>
    <w:rsid w:val="00026545"/>
    <w:rsid w:val="00026BB6"/>
    <w:rsid w:val="00030D14"/>
    <w:rsid w:val="00030D1E"/>
    <w:rsid w:val="00030F7E"/>
    <w:rsid w:val="00031820"/>
    <w:rsid w:val="00031D0A"/>
    <w:rsid w:val="000327C0"/>
    <w:rsid w:val="0003282B"/>
    <w:rsid w:val="0003362F"/>
    <w:rsid w:val="00033D97"/>
    <w:rsid w:val="00033FE2"/>
    <w:rsid w:val="00034B40"/>
    <w:rsid w:val="00034D5D"/>
    <w:rsid w:val="000360FC"/>
    <w:rsid w:val="0003636C"/>
    <w:rsid w:val="00036BF5"/>
    <w:rsid w:val="00037098"/>
    <w:rsid w:val="0004079E"/>
    <w:rsid w:val="000412B6"/>
    <w:rsid w:val="000414F9"/>
    <w:rsid w:val="00041C1B"/>
    <w:rsid w:val="00041D8A"/>
    <w:rsid w:val="00042358"/>
    <w:rsid w:val="000423DC"/>
    <w:rsid w:val="00043200"/>
    <w:rsid w:val="000435D4"/>
    <w:rsid w:val="00043A09"/>
    <w:rsid w:val="00043E98"/>
    <w:rsid w:val="0004512E"/>
    <w:rsid w:val="000452CE"/>
    <w:rsid w:val="00045A7C"/>
    <w:rsid w:val="000464F6"/>
    <w:rsid w:val="00046C90"/>
    <w:rsid w:val="00047D26"/>
    <w:rsid w:val="00050374"/>
    <w:rsid w:val="000508D8"/>
    <w:rsid w:val="00050ED4"/>
    <w:rsid w:val="00050FCE"/>
    <w:rsid w:val="00052149"/>
    <w:rsid w:val="00053B75"/>
    <w:rsid w:val="00053BA4"/>
    <w:rsid w:val="00053F37"/>
    <w:rsid w:val="00054314"/>
    <w:rsid w:val="00054649"/>
    <w:rsid w:val="00054BFD"/>
    <w:rsid w:val="000555DB"/>
    <w:rsid w:val="000565FE"/>
    <w:rsid w:val="00056D56"/>
    <w:rsid w:val="000570C5"/>
    <w:rsid w:val="0005711A"/>
    <w:rsid w:val="00057C37"/>
    <w:rsid w:val="00060633"/>
    <w:rsid w:val="00060CDF"/>
    <w:rsid w:val="00060F90"/>
    <w:rsid w:val="000617B7"/>
    <w:rsid w:val="00061A9F"/>
    <w:rsid w:val="00062157"/>
    <w:rsid w:val="00062161"/>
    <w:rsid w:val="0006251B"/>
    <w:rsid w:val="00062C16"/>
    <w:rsid w:val="00062CA7"/>
    <w:rsid w:val="00063378"/>
    <w:rsid w:val="000637F2"/>
    <w:rsid w:val="00063B29"/>
    <w:rsid w:val="0006439A"/>
    <w:rsid w:val="0006475B"/>
    <w:rsid w:val="000650A3"/>
    <w:rsid w:val="00065AA5"/>
    <w:rsid w:val="0006638F"/>
    <w:rsid w:val="000667ED"/>
    <w:rsid w:val="00067A3F"/>
    <w:rsid w:val="00067A46"/>
    <w:rsid w:val="000703CF"/>
    <w:rsid w:val="00071F79"/>
    <w:rsid w:val="0007298C"/>
    <w:rsid w:val="00072FA3"/>
    <w:rsid w:val="00073AB9"/>
    <w:rsid w:val="0007481A"/>
    <w:rsid w:val="000751A3"/>
    <w:rsid w:val="0007570C"/>
    <w:rsid w:val="00075837"/>
    <w:rsid w:val="00075E99"/>
    <w:rsid w:val="0007672C"/>
    <w:rsid w:val="00076C77"/>
    <w:rsid w:val="00076E04"/>
    <w:rsid w:val="000770DB"/>
    <w:rsid w:val="00077248"/>
    <w:rsid w:val="000818EA"/>
    <w:rsid w:val="00082491"/>
    <w:rsid w:val="00082EEF"/>
    <w:rsid w:val="00082EF1"/>
    <w:rsid w:val="00083A84"/>
    <w:rsid w:val="000857C1"/>
    <w:rsid w:val="00085813"/>
    <w:rsid w:val="00085E79"/>
    <w:rsid w:val="00086F26"/>
    <w:rsid w:val="00087E38"/>
    <w:rsid w:val="00087E78"/>
    <w:rsid w:val="00090977"/>
    <w:rsid w:val="000913F5"/>
    <w:rsid w:val="00091722"/>
    <w:rsid w:val="00091ACE"/>
    <w:rsid w:val="00091D7A"/>
    <w:rsid w:val="0009254E"/>
    <w:rsid w:val="00093366"/>
    <w:rsid w:val="00093A0B"/>
    <w:rsid w:val="000943AF"/>
    <w:rsid w:val="000943B3"/>
    <w:rsid w:val="00094A5C"/>
    <w:rsid w:val="000950EE"/>
    <w:rsid w:val="0009550F"/>
    <w:rsid w:val="000955C0"/>
    <w:rsid w:val="000958CF"/>
    <w:rsid w:val="00096C07"/>
    <w:rsid w:val="0009764E"/>
    <w:rsid w:val="00097CE8"/>
    <w:rsid w:val="00097D0A"/>
    <w:rsid w:val="00097EA5"/>
    <w:rsid w:val="000A1D7E"/>
    <w:rsid w:val="000A279D"/>
    <w:rsid w:val="000A2FFE"/>
    <w:rsid w:val="000A32D4"/>
    <w:rsid w:val="000A3478"/>
    <w:rsid w:val="000A353C"/>
    <w:rsid w:val="000A358B"/>
    <w:rsid w:val="000A37FF"/>
    <w:rsid w:val="000A4941"/>
    <w:rsid w:val="000A5438"/>
    <w:rsid w:val="000A54C6"/>
    <w:rsid w:val="000A57AE"/>
    <w:rsid w:val="000A583F"/>
    <w:rsid w:val="000A5DAD"/>
    <w:rsid w:val="000A60BE"/>
    <w:rsid w:val="000A61FA"/>
    <w:rsid w:val="000A66C2"/>
    <w:rsid w:val="000A71D7"/>
    <w:rsid w:val="000A7378"/>
    <w:rsid w:val="000A7A7B"/>
    <w:rsid w:val="000A7AFE"/>
    <w:rsid w:val="000B0A8F"/>
    <w:rsid w:val="000B1740"/>
    <w:rsid w:val="000B271F"/>
    <w:rsid w:val="000B29DC"/>
    <w:rsid w:val="000B3448"/>
    <w:rsid w:val="000B4E6A"/>
    <w:rsid w:val="000B64C4"/>
    <w:rsid w:val="000B6618"/>
    <w:rsid w:val="000B6AD4"/>
    <w:rsid w:val="000B6C29"/>
    <w:rsid w:val="000B7358"/>
    <w:rsid w:val="000B7ABD"/>
    <w:rsid w:val="000B7E50"/>
    <w:rsid w:val="000C1007"/>
    <w:rsid w:val="000C1BE4"/>
    <w:rsid w:val="000C282D"/>
    <w:rsid w:val="000C3BE2"/>
    <w:rsid w:val="000C43E7"/>
    <w:rsid w:val="000C4B19"/>
    <w:rsid w:val="000C4F76"/>
    <w:rsid w:val="000C4FDA"/>
    <w:rsid w:val="000C5DA8"/>
    <w:rsid w:val="000C6485"/>
    <w:rsid w:val="000C71D9"/>
    <w:rsid w:val="000C7226"/>
    <w:rsid w:val="000C7C4C"/>
    <w:rsid w:val="000C7DF9"/>
    <w:rsid w:val="000D0B96"/>
    <w:rsid w:val="000D134F"/>
    <w:rsid w:val="000D1FF9"/>
    <w:rsid w:val="000D20B2"/>
    <w:rsid w:val="000D37A0"/>
    <w:rsid w:val="000D453B"/>
    <w:rsid w:val="000D5B77"/>
    <w:rsid w:val="000D6E1F"/>
    <w:rsid w:val="000D740A"/>
    <w:rsid w:val="000D786C"/>
    <w:rsid w:val="000D7D84"/>
    <w:rsid w:val="000E03DC"/>
    <w:rsid w:val="000E0BD4"/>
    <w:rsid w:val="000E1B8F"/>
    <w:rsid w:val="000E1CD3"/>
    <w:rsid w:val="000E21B9"/>
    <w:rsid w:val="000E2DA3"/>
    <w:rsid w:val="000E30EC"/>
    <w:rsid w:val="000E45AB"/>
    <w:rsid w:val="000E4656"/>
    <w:rsid w:val="000E4A07"/>
    <w:rsid w:val="000E4C96"/>
    <w:rsid w:val="000E4CDC"/>
    <w:rsid w:val="000E5B65"/>
    <w:rsid w:val="000E6408"/>
    <w:rsid w:val="000E6808"/>
    <w:rsid w:val="000E6DC2"/>
    <w:rsid w:val="000E7655"/>
    <w:rsid w:val="000E7A6A"/>
    <w:rsid w:val="000E7DBB"/>
    <w:rsid w:val="000F2746"/>
    <w:rsid w:val="000F28E7"/>
    <w:rsid w:val="000F3DC1"/>
    <w:rsid w:val="000F41EE"/>
    <w:rsid w:val="000F46F3"/>
    <w:rsid w:val="000F4CFE"/>
    <w:rsid w:val="000F4E93"/>
    <w:rsid w:val="000F6D58"/>
    <w:rsid w:val="000F7857"/>
    <w:rsid w:val="000F7AF3"/>
    <w:rsid w:val="000F7FB3"/>
    <w:rsid w:val="00100483"/>
    <w:rsid w:val="001009B8"/>
    <w:rsid w:val="00100A74"/>
    <w:rsid w:val="00100DF4"/>
    <w:rsid w:val="001011D1"/>
    <w:rsid w:val="00101250"/>
    <w:rsid w:val="001019AC"/>
    <w:rsid w:val="0010251A"/>
    <w:rsid w:val="0010262D"/>
    <w:rsid w:val="0010278E"/>
    <w:rsid w:val="00102C27"/>
    <w:rsid w:val="001032C4"/>
    <w:rsid w:val="00103BFB"/>
    <w:rsid w:val="00105879"/>
    <w:rsid w:val="00105D91"/>
    <w:rsid w:val="001060F0"/>
    <w:rsid w:val="001062F5"/>
    <w:rsid w:val="00106E93"/>
    <w:rsid w:val="00106F24"/>
    <w:rsid w:val="00107675"/>
    <w:rsid w:val="001076B9"/>
    <w:rsid w:val="00107A43"/>
    <w:rsid w:val="00107D05"/>
    <w:rsid w:val="001102CD"/>
    <w:rsid w:val="00110864"/>
    <w:rsid w:val="00111A06"/>
    <w:rsid w:val="00111D43"/>
    <w:rsid w:val="00112FA6"/>
    <w:rsid w:val="001134C9"/>
    <w:rsid w:val="00113CC2"/>
    <w:rsid w:val="0011416F"/>
    <w:rsid w:val="00114369"/>
    <w:rsid w:val="0011564D"/>
    <w:rsid w:val="00116389"/>
    <w:rsid w:val="00117635"/>
    <w:rsid w:val="001202C3"/>
    <w:rsid w:val="001202EA"/>
    <w:rsid w:val="00120F3E"/>
    <w:rsid w:val="00121088"/>
    <w:rsid w:val="001215F4"/>
    <w:rsid w:val="001231A5"/>
    <w:rsid w:val="0012328D"/>
    <w:rsid w:val="00123AAE"/>
    <w:rsid w:val="00124B15"/>
    <w:rsid w:val="001268C7"/>
    <w:rsid w:val="00130BDA"/>
    <w:rsid w:val="00131D09"/>
    <w:rsid w:val="00132005"/>
    <w:rsid w:val="001326FF"/>
    <w:rsid w:val="0013285B"/>
    <w:rsid w:val="001330DF"/>
    <w:rsid w:val="001333A1"/>
    <w:rsid w:val="001333B7"/>
    <w:rsid w:val="00133FCC"/>
    <w:rsid w:val="00134C85"/>
    <w:rsid w:val="0013590B"/>
    <w:rsid w:val="001363C3"/>
    <w:rsid w:val="0013676A"/>
    <w:rsid w:val="001369A2"/>
    <w:rsid w:val="00137397"/>
    <w:rsid w:val="0013768D"/>
    <w:rsid w:val="001378A4"/>
    <w:rsid w:val="00140074"/>
    <w:rsid w:val="001409AF"/>
    <w:rsid w:val="00141248"/>
    <w:rsid w:val="0014247A"/>
    <w:rsid w:val="001454C8"/>
    <w:rsid w:val="00147932"/>
    <w:rsid w:val="00150339"/>
    <w:rsid w:val="00150715"/>
    <w:rsid w:val="00151470"/>
    <w:rsid w:val="001538A5"/>
    <w:rsid w:val="001541CB"/>
    <w:rsid w:val="001543B6"/>
    <w:rsid w:val="0015594B"/>
    <w:rsid w:val="001559D1"/>
    <w:rsid w:val="00156A43"/>
    <w:rsid w:val="00156D21"/>
    <w:rsid w:val="00156F37"/>
    <w:rsid w:val="00157126"/>
    <w:rsid w:val="00157554"/>
    <w:rsid w:val="00157628"/>
    <w:rsid w:val="001600D0"/>
    <w:rsid w:val="00160C28"/>
    <w:rsid w:val="00162C8E"/>
    <w:rsid w:val="00163272"/>
    <w:rsid w:val="00163781"/>
    <w:rsid w:val="00163D20"/>
    <w:rsid w:val="00163DE7"/>
    <w:rsid w:val="001642B7"/>
    <w:rsid w:val="001651CF"/>
    <w:rsid w:val="00165E77"/>
    <w:rsid w:val="00166787"/>
    <w:rsid w:val="00166CA2"/>
    <w:rsid w:val="001670F7"/>
    <w:rsid w:val="00167B5E"/>
    <w:rsid w:val="00170D1F"/>
    <w:rsid w:val="00170F88"/>
    <w:rsid w:val="001713BC"/>
    <w:rsid w:val="00172298"/>
    <w:rsid w:val="00172A69"/>
    <w:rsid w:val="00172EDD"/>
    <w:rsid w:val="00173977"/>
    <w:rsid w:val="0017401F"/>
    <w:rsid w:val="001748BA"/>
    <w:rsid w:val="001748DF"/>
    <w:rsid w:val="00174BAA"/>
    <w:rsid w:val="00174ECB"/>
    <w:rsid w:val="001761F5"/>
    <w:rsid w:val="001762A2"/>
    <w:rsid w:val="00176A16"/>
    <w:rsid w:val="00180869"/>
    <w:rsid w:val="00181CBE"/>
    <w:rsid w:val="00181CD7"/>
    <w:rsid w:val="00181D82"/>
    <w:rsid w:val="00181D84"/>
    <w:rsid w:val="001828B5"/>
    <w:rsid w:val="00182DFA"/>
    <w:rsid w:val="00183045"/>
    <w:rsid w:val="00183B49"/>
    <w:rsid w:val="00183DE9"/>
    <w:rsid w:val="00184403"/>
    <w:rsid w:val="0018472E"/>
    <w:rsid w:val="00184998"/>
    <w:rsid w:val="00185371"/>
    <w:rsid w:val="00186B34"/>
    <w:rsid w:val="00187521"/>
    <w:rsid w:val="0018764D"/>
    <w:rsid w:val="00190D6A"/>
    <w:rsid w:val="00191340"/>
    <w:rsid w:val="001915A4"/>
    <w:rsid w:val="00191702"/>
    <w:rsid w:val="00191DAC"/>
    <w:rsid w:val="00192132"/>
    <w:rsid w:val="00195AFB"/>
    <w:rsid w:val="00195DCE"/>
    <w:rsid w:val="00196C33"/>
    <w:rsid w:val="00196C88"/>
    <w:rsid w:val="00197F22"/>
    <w:rsid w:val="001A081E"/>
    <w:rsid w:val="001A08C2"/>
    <w:rsid w:val="001A0B76"/>
    <w:rsid w:val="001A10DE"/>
    <w:rsid w:val="001A35E2"/>
    <w:rsid w:val="001A406F"/>
    <w:rsid w:val="001A4B94"/>
    <w:rsid w:val="001A53EF"/>
    <w:rsid w:val="001A5A1E"/>
    <w:rsid w:val="001A6A15"/>
    <w:rsid w:val="001A6BDE"/>
    <w:rsid w:val="001B0EFD"/>
    <w:rsid w:val="001B2091"/>
    <w:rsid w:val="001B381A"/>
    <w:rsid w:val="001B3E5A"/>
    <w:rsid w:val="001B4A93"/>
    <w:rsid w:val="001B4C79"/>
    <w:rsid w:val="001B5B96"/>
    <w:rsid w:val="001B5BCF"/>
    <w:rsid w:val="001B5D6C"/>
    <w:rsid w:val="001B5EC3"/>
    <w:rsid w:val="001B62D2"/>
    <w:rsid w:val="001B7AD3"/>
    <w:rsid w:val="001C001D"/>
    <w:rsid w:val="001C047A"/>
    <w:rsid w:val="001C0AE2"/>
    <w:rsid w:val="001C184A"/>
    <w:rsid w:val="001C194D"/>
    <w:rsid w:val="001C1D75"/>
    <w:rsid w:val="001C20D6"/>
    <w:rsid w:val="001C2967"/>
    <w:rsid w:val="001C2A12"/>
    <w:rsid w:val="001C3130"/>
    <w:rsid w:val="001C33E3"/>
    <w:rsid w:val="001C4648"/>
    <w:rsid w:val="001C4B68"/>
    <w:rsid w:val="001C5402"/>
    <w:rsid w:val="001C61B3"/>
    <w:rsid w:val="001C62D4"/>
    <w:rsid w:val="001C6B74"/>
    <w:rsid w:val="001C70DE"/>
    <w:rsid w:val="001C7902"/>
    <w:rsid w:val="001C799B"/>
    <w:rsid w:val="001C7C56"/>
    <w:rsid w:val="001C7D5C"/>
    <w:rsid w:val="001C7E01"/>
    <w:rsid w:val="001C7E65"/>
    <w:rsid w:val="001D06C9"/>
    <w:rsid w:val="001D261D"/>
    <w:rsid w:val="001D3578"/>
    <w:rsid w:val="001D3F42"/>
    <w:rsid w:val="001D4C49"/>
    <w:rsid w:val="001D5298"/>
    <w:rsid w:val="001D6254"/>
    <w:rsid w:val="001D65C9"/>
    <w:rsid w:val="001D66CE"/>
    <w:rsid w:val="001D6A50"/>
    <w:rsid w:val="001E1640"/>
    <w:rsid w:val="001E3B61"/>
    <w:rsid w:val="001E4193"/>
    <w:rsid w:val="001E61EA"/>
    <w:rsid w:val="001E69A4"/>
    <w:rsid w:val="001F0239"/>
    <w:rsid w:val="001F0C28"/>
    <w:rsid w:val="001F0C7F"/>
    <w:rsid w:val="001F131C"/>
    <w:rsid w:val="001F13EB"/>
    <w:rsid w:val="001F2544"/>
    <w:rsid w:val="001F26E2"/>
    <w:rsid w:val="001F3BF5"/>
    <w:rsid w:val="001F484C"/>
    <w:rsid w:val="001F5586"/>
    <w:rsid w:val="001F61E2"/>
    <w:rsid w:val="001F68EB"/>
    <w:rsid w:val="00200B3A"/>
    <w:rsid w:val="00201008"/>
    <w:rsid w:val="0020201B"/>
    <w:rsid w:val="00203380"/>
    <w:rsid w:val="002033B1"/>
    <w:rsid w:val="00203D2E"/>
    <w:rsid w:val="00204609"/>
    <w:rsid w:val="00205826"/>
    <w:rsid w:val="0020668C"/>
    <w:rsid w:val="00206C6D"/>
    <w:rsid w:val="002074AF"/>
    <w:rsid w:val="002074D8"/>
    <w:rsid w:val="00207CCB"/>
    <w:rsid w:val="002121F8"/>
    <w:rsid w:val="00214052"/>
    <w:rsid w:val="00214D8C"/>
    <w:rsid w:val="00214E97"/>
    <w:rsid w:val="002166E3"/>
    <w:rsid w:val="00217FBC"/>
    <w:rsid w:val="002203AD"/>
    <w:rsid w:val="0022059E"/>
    <w:rsid w:val="00220C3C"/>
    <w:rsid w:val="0022139D"/>
    <w:rsid w:val="00222300"/>
    <w:rsid w:val="00222D24"/>
    <w:rsid w:val="00223383"/>
    <w:rsid w:val="00223D68"/>
    <w:rsid w:val="00223D9F"/>
    <w:rsid w:val="00223E6A"/>
    <w:rsid w:val="0022482D"/>
    <w:rsid w:val="00224EAC"/>
    <w:rsid w:val="00224F9C"/>
    <w:rsid w:val="0022550A"/>
    <w:rsid w:val="00225A87"/>
    <w:rsid w:val="00225A97"/>
    <w:rsid w:val="00226700"/>
    <w:rsid w:val="0022675F"/>
    <w:rsid w:val="002276FE"/>
    <w:rsid w:val="002305F9"/>
    <w:rsid w:val="0023079C"/>
    <w:rsid w:val="0023093F"/>
    <w:rsid w:val="00231BD7"/>
    <w:rsid w:val="00232F3E"/>
    <w:rsid w:val="0023347D"/>
    <w:rsid w:val="0023525D"/>
    <w:rsid w:val="0023551E"/>
    <w:rsid w:val="00235C28"/>
    <w:rsid w:val="00236290"/>
    <w:rsid w:val="00236AA3"/>
    <w:rsid w:val="00236E1D"/>
    <w:rsid w:val="00236F46"/>
    <w:rsid w:val="002400C1"/>
    <w:rsid w:val="002420C7"/>
    <w:rsid w:val="0024234E"/>
    <w:rsid w:val="00242C38"/>
    <w:rsid w:val="002430C6"/>
    <w:rsid w:val="002436DB"/>
    <w:rsid w:val="00245392"/>
    <w:rsid w:val="0024666C"/>
    <w:rsid w:val="00246DCD"/>
    <w:rsid w:val="0025071E"/>
    <w:rsid w:val="00250E27"/>
    <w:rsid w:val="00251396"/>
    <w:rsid w:val="002516E5"/>
    <w:rsid w:val="002517E2"/>
    <w:rsid w:val="00251C62"/>
    <w:rsid w:val="0025214E"/>
    <w:rsid w:val="0025235D"/>
    <w:rsid w:val="002534BD"/>
    <w:rsid w:val="002548A0"/>
    <w:rsid w:val="0025558F"/>
    <w:rsid w:val="00255AF3"/>
    <w:rsid w:val="00255F34"/>
    <w:rsid w:val="0025654A"/>
    <w:rsid w:val="00257204"/>
    <w:rsid w:val="00260211"/>
    <w:rsid w:val="002610F3"/>
    <w:rsid w:val="0026124A"/>
    <w:rsid w:val="00261831"/>
    <w:rsid w:val="002625C3"/>
    <w:rsid w:val="00263871"/>
    <w:rsid w:val="00263FBC"/>
    <w:rsid w:val="00264038"/>
    <w:rsid w:val="0026443F"/>
    <w:rsid w:val="00265651"/>
    <w:rsid w:val="00265828"/>
    <w:rsid w:val="00266077"/>
    <w:rsid w:val="00266AC4"/>
    <w:rsid w:val="00266CFA"/>
    <w:rsid w:val="0026789F"/>
    <w:rsid w:val="00267AE2"/>
    <w:rsid w:val="00270485"/>
    <w:rsid w:val="002709DB"/>
    <w:rsid w:val="00270BAB"/>
    <w:rsid w:val="002710A2"/>
    <w:rsid w:val="002716E3"/>
    <w:rsid w:val="00272A3E"/>
    <w:rsid w:val="00273242"/>
    <w:rsid w:val="00273E50"/>
    <w:rsid w:val="0027504C"/>
    <w:rsid w:val="002754C1"/>
    <w:rsid w:val="00275DB1"/>
    <w:rsid w:val="00275FFF"/>
    <w:rsid w:val="0027615F"/>
    <w:rsid w:val="00276319"/>
    <w:rsid w:val="00276A8E"/>
    <w:rsid w:val="00276D95"/>
    <w:rsid w:val="0027749D"/>
    <w:rsid w:val="00281A0A"/>
    <w:rsid w:val="00282CF9"/>
    <w:rsid w:val="00282ED7"/>
    <w:rsid w:val="002833AB"/>
    <w:rsid w:val="00286224"/>
    <w:rsid w:val="002863CD"/>
    <w:rsid w:val="002872B5"/>
    <w:rsid w:val="00290E77"/>
    <w:rsid w:val="00291BB8"/>
    <w:rsid w:val="0029213B"/>
    <w:rsid w:val="00292526"/>
    <w:rsid w:val="00293187"/>
    <w:rsid w:val="00293868"/>
    <w:rsid w:val="00295203"/>
    <w:rsid w:val="0029624B"/>
    <w:rsid w:val="00296B86"/>
    <w:rsid w:val="00296C5D"/>
    <w:rsid w:val="002A1C02"/>
    <w:rsid w:val="002A2080"/>
    <w:rsid w:val="002A2662"/>
    <w:rsid w:val="002A3475"/>
    <w:rsid w:val="002A36B6"/>
    <w:rsid w:val="002A47B1"/>
    <w:rsid w:val="002A4AD3"/>
    <w:rsid w:val="002A525D"/>
    <w:rsid w:val="002A5EAE"/>
    <w:rsid w:val="002A605B"/>
    <w:rsid w:val="002A635B"/>
    <w:rsid w:val="002A6CCE"/>
    <w:rsid w:val="002A7601"/>
    <w:rsid w:val="002B07AE"/>
    <w:rsid w:val="002B15E7"/>
    <w:rsid w:val="002B26A7"/>
    <w:rsid w:val="002B38D6"/>
    <w:rsid w:val="002B394C"/>
    <w:rsid w:val="002B3C6B"/>
    <w:rsid w:val="002B3D68"/>
    <w:rsid w:val="002B3F6E"/>
    <w:rsid w:val="002B47F4"/>
    <w:rsid w:val="002B54C7"/>
    <w:rsid w:val="002B55F9"/>
    <w:rsid w:val="002B5827"/>
    <w:rsid w:val="002B6881"/>
    <w:rsid w:val="002B6D9F"/>
    <w:rsid w:val="002C068F"/>
    <w:rsid w:val="002C0CC5"/>
    <w:rsid w:val="002C2846"/>
    <w:rsid w:val="002C2F9C"/>
    <w:rsid w:val="002C3001"/>
    <w:rsid w:val="002C38A8"/>
    <w:rsid w:val="002C444D"/>
    <w:rsid w:val="002C4EB4"/>
    <w:rsid w:val="002C5851"/>
    <w:rsid w:val="002C63CA"/>
    <w:rsid w:val="002C663B"/>
    <w:rsid w:val="002C6B6D"/>
    <w:rsid w:val="002C70EA"/>
    <w:rsid w:val="002C72A0"/>
    <w:rsid w:val="002C7C93"/>
    <w:rsid w:val="002C7FC2"/>
    <w:rsid w:val="002D093D"/>
    <w:rsid w:val="002D0EB2"/>
    <w:rsid w:val="002D120C"/>
    <w:rsid w:val="002D2291"/>
    <w:rsid w:val="002D27ED"/>
    <w:rsid w:val="002D2E29"/>
    <w:rsid w:val="002D3EEE"/>
    <w:rsid w:val="002D5B61"/>
    <w:rsid w:val="002D6273"/>
    <w:rsid w:val="002D636C"/>
    <w:rsid w:val="002D6A61"/>
    <w:rsid w:val="002D6A82"/>
    <w:rsid w:val="002D6C84"/>
    <w:rsid w:val="002D7245"/>
    <w:rsid w:val="002D778F"/>
    <w:rsid w:val="002E0376"/>
    <w:rsid w:val="002E0D11"/>
    <w:rsid w:val="002E1D07"/>
    <w:rsid w:val="002E204C"/>
    <w:rsid w:val="002E2329"/>
    <w:rsid w:val="002E294F"/>
    <w:rsid w:val="002E2E8D"/>
    <w:rsid w:val="002E37B3"/>
    <w:rsid w:val="002E3B69"/>
    <w:rsid w:val="002E3D78"/>
    <w:rsid w:val="002E4F72"/>
    <w:rsid w:val="002E5097"/>
    <w:rsid w:val="002E5349"/>
    <w:rsid w:val="002E5ECB"/>
    <w:rsid w:val="002E62C4"/>
    <w:rsid w:val="002E6672"/>
    <w:rsid w:val="002E69D5"/>
    <w:rsid w:val="002E70CD"/>
    <w:rsid w:val="002E751B"/>
    <w:rsid w:val="002E76E2"/>
    <w:rsid w:val="002E7CB7"/>
    <w:rsid w:val="002F0258"/>
    <w:rsid w:val="002F06BC"/>
    <w:rsid w:val="002F0839"/>
    <w:rsid w:val="002F184F"/>
    <w:rsid w:val="002F38EC"/>
    <w:rsid w:val="002F3CE7"/>
    <w:rsid w:val="002F3F3F"/>
    <w:rsid w:val="002F4074"/>
    <w:rsid w:val="002F4264"/>
    <w:rsid w:val="002F4C15"/>
    <w:rsid w:val="002F5926"/>
    <w:rsid w:val="002F69D8"/>
    <w:rsid w:val="002F6D7C"/>
    <w:rsid w:val="002F7B97"/>
    <w:rsid w:val="0030196E"/>
    <w:rsid w:val="00301A3E"/>
    <w:rsid w:val="0030289D"/>
    <w:rsid w:val="00302D11"/>
    <w:rsid w:val="00303C77"/>
    <w:rsid w:val="00305C93"/>
    <w:rsid w:val="00305CED"/>
    <w:rsid w:val="00306928"/>
    <w:rsid w:val="00306AD3"/>
    <w:rsid w:val="00306BA2"/>
    <w:rsid w:val="00307198"/>
    <w:rsid w:val="003076B1"/>
    <w:rsid w:val="00307744"/>
    <w:rsid w:val="0031017A"/>
    <w:rsid w:val="003105EB"/>
    <w:rsid w:val="003108A6"/>
    <w:rsid w:val="00310F3C"/>
    <w:rsid w:val="00311EDB"/>
    <w:rsid w:val="00311F0F"/>
    <w:rsid w:val="0031262E"/>
    <w:rsid w:val="00312A9F"/>
    <w:rsid w:val="00312F8F"/>
    <w:rsid w:val="0031410D"/>
    <w:rsid w:val="003145F1"/>
    <w:rsid w:val="0031670C"/>
    <w:rsid w:val="00316D1F"/>
    <w:rsid w:val="00317CCB"/>
    <w:rsid w:val="00317E84"/>
    <w:rsid w:val="0032050D"/>
    <w:rsid w:val="0032095B"/>
    <w:rsid w:val="003213B3"/>
    <w:rsid w:val="00323764"/>
    <w:rsid w:val="00324BDD"/>
    <w:rsid w:val="00325697"/>
    <w:rsid w:val="003265F2"/>
    <w:rsid w:val="003275CC"/>
    <w:rsid w:val="00327A84"/>
    <w:rsid w:val="00327B45"/>
    <w:rsid w:val="00327B9F"/>
    <w:rsid w:val="00327BCB"/>
    <w:rsid w:val="0033079A"/>
    <w:rsid w:val="00330AB3"/>
    <w:rsid w:val="00331E6A"/>
    <w:rsid w:val="00331EA4"/>
    <w:rsid w:val="003320F9"/>
    <w:rsid w:val="003321F0"/>
    <w:rsid w:val="00333BFA"/>
    <w:rsid w:val="003343A4"/>
    <w:rsid w:val="00336B14"/>
    <w:rsid w:val="003373CC"/>
    <w:rsid w:val="00337574"/>
    <w:rsid w:val="003377F0"/>
    <w:rsid w:val="0034024F"/>
    <w:rsid w:val="00340944"/>
    <w:rsid w:val="00341C19"/>
    <w:rsid w:val="00342003"/>
    <w:rsid w:val="0034217A"/>
    <w:rsid w:val="0034247D"/>
    <w:rsid w:val="00343BAE"/>
    <w:rsid w:val="00345C4F"/>
    <w:rsid w:val="00346586"/>
    <w:rsid w:val="003467E8"/>
    <w:rsid w:val="0034742A"/>
    <w:rsid w:val="00347866"/>
    <w:rsid w:val="00347C5F"/>
    <w:rsid w:val="00350918"/>
    <w:rsid w:val="00350C03"/>
    <w:rsid w:val="00350CE5"/>
    <w:rsid w:val="003522BC"/>
    <w:rsid w:val="00352D01"/>
    <w:rsid w:val="00352DAB"/>
    <w:rsid w:val="00353A89"/>
    <w:rsid w:val="00353E07"/>
    <w:rsid w:val="00354955"/>
    <w:rsid w:val="00354A69"/>
    <w:rsid w:val="0035529A"/>
    <w:rsid w:val="00355494"/>
    <w:rsid w:val="003559BE"/>
    <w:rsid w:val="00356053"/>
    <w:rsid w:val="003560E9"/>
    <w:rsid w:val="003561A0"/>
    <w:rsid w:val="003562B2"/>
    <w:rsid w:val="00356392"/>
    <w:rsid w:val="0035688E"/>
    <w:rsid w:val="003572DF"/>
    <w:rsid w:val="0035732C"/>
    <w:rsid w:val="00361060"/>
    <w:rsid w:val="003614AD"/>
    <w:rsid w:val="0036205C"/>
    <w:rsid w:val="003628FD"/>
    <w:rsid w:val="00363392"/>
    <w:rsid w:val="00364448"/>
    <w:rsid w:val="00364A59"/>
    <w:rsid w:val="00364FB4"/>
    <w:rsid w:val="00365339"/>
    <w:rsid w:val="00365460"/>
    <w:rsid w:val="0036560D"/>
    <w:rsid w:val="0036598E"/>
    <w:rsid w:val="003663BC"/>
    <w:rsid w:val="00366931"/>
    <w:rsid w:val="003700AA"/>
    <w:rsid w:val="003701CE"/>
    <w:rsid w:val="0037053F"/>
    <w:rsid w:val="003706CA"/>
    <w:rsid w:val="00370761"/>
    <w:rsid w:val="00370BB1"/>
    <w:rsid w:val="00370F37"/>
    <w:rsid w:val="00371D09"/>
    <w:rsid w:val="0037256D"/>
    <w:rsid w:val="00372886"/>
    <w:rsid w:val="003733C4"/>
    <w:rsid w:val="003736F6"/>
    <w:rsid w:val="00373AD2"/>
    <w:rsid w:val="00373AD7"/>
    <w:rsid w:val="00373FBC"/>
    <w:rsid w:val="00374197"/>
    <w:rsid w:val="0037448F"/>
    <w:rsid w:val="003805E0"/>
    <w:rsid w:val="00380AC1"/>
    <w:rsid w:val="00381CDB"/>
    <w:rsid w:val="00381F39"/>
    <w:rsid w:val="003821E2"/>
    <w:rsid w:val="0038242F"/>
    <w:rsid w:val="00382F8F"/>
    <w:rsid w:val="00383504"/>
    <w:rsid w:val="00383A18"/>
    <w:rsid w:val="00383A1A"/>
    <w:rsid w:val="00383B38"/>
    <w:rsid w:val="00383E1B"/>
    <w:rsid w:val="003846D0"/>
    <w:rsid w:val="0038546A"/>
    <w:rsid w:val="00385CB6"/>
    <w:rsid w:val="00386325"/>
    <w:rsid w:val="00386AB4"/>
    <w:rsid w:val="00387578"/>
    <w:rsid w:val="00387646"/>
    <w:rsid w:val="003879DF"/>
    <w:rsid w:val="0039016E"/>
    <w:rsid w:val="0039049E"/>
    <w:rsid w:val="00390803"/>
    <w:rsid w:val="00392911"/>
    <w:rsid w:val="00392C00"/>
    <w:rsid w:val="00392FB8"/>
    <w:rsid w:val="00393561"/>
    <w:rsid w:val="0039381F"/>
    <w:rsid w:val="00393909"/>
    <w:rsid w:val="003961E2"/>
    <w:rsid w:val="00396C3D"/>
    <w:rsid w:val="00397B45"/>
    <w:rsid w:val="003A006B"/>
    <w:rsid w:val="003A06BF"/>
    <w:rsid w:val="003A1353"/>
    <w:rsid w:val="003A1D4C"/>
    <w:rsid w:val="003A292A"/>
    <w:rsid w:val="003A2AD2"/>
    <w:rsid w:val="003A2C23"/>
    <w:rsid w:val="003A2ECA"/>
    <w:rsid w:val="003A3A88"/>
    <w:rsid w:val="003A47B3"/>
    <w:rsid w:val="003A51B7"/>
    <w:rsid w:val="003A5F0F"/>
    <w:rsid w:val="003A642F"/>
    <w:rsid w:val="003A6AA9"/>
    <w:rsid w:val="003A71EB"/>
    <w:rsid w:val="003A7C1E"/>
    <w:rsid w:val="003A7D29"/>
    <w:rsid w:val="003B00D5"/>
    <w:rsid w:val="003B0D77"/>
    <w:rsid w:val="003B1BCB"/>
    <w:rsid w:val="003B250C"/>
    <w:rsid w:val="003B3788"/>
    <w:rsid w:val="003B3965"/>
    <w:rsid w:val="003B3ACB"/>
    <w:rsid w:val="003B5770"/>
    <w:rsid w:val="003B594B"/>
    <w:rsid w:val="003B5C97"/>
    <w:rsid w:val="003B6066"/>
    <w:rsid w:val="003B61D8"/>
    <w:rsid w:val="003B6CFA"/>
    <w:rsid w:val="003B7C6F"/>
    <w:rsid w:val="003C018C"/>
    <w:rsid w:val="003C0630"/>
    <w:rsid w:val="003C184E"/>
    <w:rsid w:val="003C1DC5"/>
    <w:rsid w:val="003C3496"/>
    <w:rsid w:val="003C350B"/>
    <w:rsid w:val="003C3A5E"/>
    <w:rsid w:val="003C4934"/>
    <w:rsid w:val="003C4D85"/>
    <w:rsid w:val="003C5D37"/>
    <w:rsid w:val="003C5EA1"/>
    <w:rsid w:val="003C63F6"/>
    <w:rsid w:val="003C6DCD"/>
    <w:rsid w:val="003C7B59"/>
    <w:rsid w:val="003D01C6"/>
    <w:rsid w:val="003D1157"/>
    <w:rsid w:val="003D14A0"/>
    <w:rsid w:val="003D1B7D"/>
    <w:rsid w:val="003D1BAE"/>
    <w:rsid w:val="003D260B"/>
    <w:rsid w:val="003D3191"/>
    <w:rsid w:val="003D367C"/>
    <w:rsid w:val="003D369F"/>
    <w:rsid w:val="003D37B0"/>
    <w:rsid w:val="003D4549"/>
    <w:rsid w:val="003D4ACE"/>
    <w:rsid w:val="003D4D9C"/>
    <w:rsid w:val="003D6261"/>
    <w:rsid w:val="003D6501"/>
    <w:rsid w:val="003E186D"/>
    <w:rsid w:val="003E1C76"/>
    <w:rsid w:val="003E22C2"/>
    <w:rsid w:val="003E3547"/>
    <w:rsid w:val="003E3810"/>
    <w:rsid w:val="003E40CA"/>
    <w:rsid w:val="003E4B6D"/>
    <w:rsid w:val="003E54FF"/>
    <w:rsid w:val="003E5F23"/>
    <w:rsid w:val="003E6013"/>
    <w:rsid w:val="003E65DB"/>
    <w:rsid w:val="003E6E19"/>
    <w:rsid w:val="003E7A3C"/>
    <w:rsid w:val="003E7F8D"/>
    <w:rsid w:val="003F00A3"/>
    <w:rsid w:val="003F108E"/>
    <w:rsid w:val="003F11B3"/>
    <w:rsid w:val="003F142E"/>
    <w:rsid w:val="003F1F72"/>
    <w:rsid w:val="003F2452"/>
    <w:rsid w:val="003F2640"/>
    <w:rsid w:val="003F2EA5"/>
    <w:rsid w:val="003F3B33"/>
    <w:rsid w:val="003F4753"/>
    <w:rsid w:val="003F47A0"/>
    <w:rsid w:val="003F5E73"/>
    <w:rsid w:val="003F6265"/>
    <w:rsid w:val="003F6C9D"/>
    <w:rsid w:val="003F6D95"/>
    <w:rsid w:val="003F7BC2"/>
    <w:rsid w:val="00400D9A"/>
    <w:rsid w:val="004015CB"/>
    <w:rsid w:val="004016A4"/>
    <w:rsid w:val="00403730"/>
    <w:rsid w:val="00403BC0"/>
    <w:rsid w:val="00404484"/>
    <w:rsid w:val="0040470D"/>
    <w:rsid w:val="004047B6"/>
    <w:rsid w:val="00404A8C"/>
    <w:rsid w:val="004050E3"/>
    <w:rsid w:val="004073E6"/>
    <w:rsid w:val="004105B9"/>
    <w:rsid w:val="0041192E"/>
    <w:rsid w:val="0041397C"/>
    <w:rsid w:val="00413A25"/>
    <w:rsid w:val="004140E3"/>
    <w:rsid w:val="004145DD"/>
    <w:rsid w:val="00414711"/>
    <w:rsid w:val="00414EC0"/>
    <w:rsid w:val="004150E0"/>
    <w:rsid w:val="00415530"/>
    <w:rsid w:val="004159A4"/>
    <w:rsid w:val="00415D13"/>
    <w:rsid w:val="00416B43"/>
    <w:rsid w:val="00417573"/>
    <w:rsid w:val="00420CC4"/>
    <w:rsid w:val="00420CFE"/>
    <w:rsid w:val="00420F43"/>
    <w:rsid w:val="00421CC3"/>
    <w:rsid w:val="00422524"/>
    <w:rsid w:val="004228B6"/>
    <w:rsid w:val="00422FCB"/>
    <w:rsid w:val="004230D6"/>
    <w:rsid w:val="00423249"/>
    <w:rsid w:val="00423E42"/>
    <w:rsid w:val="00424457"/>
    <w:rsid w:val="00424601"/>
    <w:rsid w:val="00424E66"/>
    <w:rsid w:val="00425220"/>
    <w:rsid w:val="00425467"/>
    <w:rsid w:val="00426213"/>
    <w:rsid w:val="0042631E"/>
    <w:rsid w:val="004266EB"/>
    <w:rsid w:val="004268B9"/>
    <w:rsid w:val="00426F8A"/>
    <w:rsid w:val="0042767D"/>
    <w:rsid w:val="00430307"/>
    <w:rsid w:val="004306DE"/>
    <w:rsid w:val="004313AB"/>
    <w:rsid w:val="004314F7"/>
    <w:rsid w:val="00433684"/>
    <w:rsid w:val="00433981"/>
    <w:rsid w:val="00433B68"/>
    <w:rsid w:val="00433DBA"/>
    <w:rsid w:val="00434785"/>
    <w:rsid w:val="00434C2B"/>
    <w:rsid w:val="00435053"/>
    <w:rsid w:val="00435903"/>
    <w:rsid w:val="004360CB"/>
    <w:rsid w:val="0043614E"/>
    <w:rsid w:val="004364E7"/>
    <w:rsid w:val="00436944"/>
    <w:rsid w:val="00436DCA"/>
    <w:rsid w:val="00440155"/>
    <w:rsid w:val="004409A2"/>
    <w:rsid w:val="00440FC7"/>
    <w:rsid w:val="004415BD"/>
    <w:rsid w:val="00443AC2"/>
    <w:rsid w:val="00444DAC"/>
    <w:rsid w:val="00444E0B"/>
    <w:rsid w:val="00445028"/>
    <w:rsid w:val="00445071"/>
    <w:rsid w:val="00445335"/>
    <w:rsid w:val="0044575B"/>
    <w:rsid w:val="00445B6D"/>
    <w:rsid w:val="00445E11"/>
    <w:rsid w:val="00446356"/>
    <w:rsid w:val="00446D6A"/>
    <w:rsid w:val="0045003B"/>
    <w:rsid w:val="00450106"/>
    <w:rsid w:val="00451984"/>
    <w:rsid w:val="00451DD7"/>
    <w:rsid w:val="00452778"/>
    <w:rsid w:val="00452CE5"/>
    <w:rsid w:val="0045348D"/>
    <w:rsid w:val="00453764"/>
    <w:rsid w:val="004540FF"/>
    <w:rsid w:val="00455B03"/>
    <w:rsid w:val="00455CD7"/>
    <w:rsid w:val="00456512"/>
    <w:rsid w:val="00456C64"/>
    <w:rsid w:val="004570EB"/>
    <w:rsid w:val="00457518"/>
    <w:rsid w:val="00460CF5"/>
    <w:rsid w:val="00460DAB"/>
    <w:rsid w:val="004612D4"/>
    <w:rsid w:val="00461BE5"/>
    <w:rsid w:val="0046238D"/>
    <w:rsid w:val="00462A0A"/>
    <w:rsid w:val="00462B88"/>
    <w:rsid w:val="00462CAC"/>
    <w:rsid w:val="00462D21"/>
    <w:rsid w:val="00462E83"/>
    <w:rsid w:val="0046314B"/>
    <w:rsid w:val="00464DE2"/>
    <w:rsid w:val="00464E15"/>
    <w:rsid w:val="004656A0"/>
    <w:rsid w:val="00466203"/>
    <w:rsid w:val="00466794"/>
    <w:rsid w:val="00466E8A"/>
    <w:rsid w:val="0046727A"/>
    <w:rsid w:val="00470AAE"/>
    <w:rsid w:val="00471739"/>
    <w:rsid w:val="00472023"/>
    <w:rsid w:val="00472072"/>
    <w:rsid w:val="00472258"/>
    <w:rsid w:val="004723C8"/>
    <w:rsid w:val="00472462"/>
    <w:rsid w:val="00472FC0"/>
    <w:rsid w:val="00473252"/>
    <w:rsid w:val="00473E34"/>
    <w:rsid w:val="00474282"/>
    <w:rsid w:val="00474B1C"/>
    <w:rsid w:val="00474CC7"/>
    <w:rsid w:val="00474FFD"/>
    <w:rsid w:val="00475509"/>
    <w:rsid w:val="004755C1"/>
    <w:rsid w:val="00475979"/>
    <w:rsid w:val="00475D8B"/>
    <w:rsid w:val="0047618D"/>
    <w:rsid w:val="00476211"/>
    <w:rsid w:val="0047643F"/>
    <w:rsid w:val="00476874"/>
    <w:rsid w:val="00476C24"/>
    <w:rsid w:val="00476F3E"/>
    <w:rsid w:val="00477545"/>
    <w:rsid w:val="00480434"/>
    <w:rsid w:val="004804A6"/>
    <w:rsid w:val="00480DCB"/>
    <w:rsid w:val="00482049"/>
    <w:rsid w:val="0048204D"/>
    <w:rsid w:val="0048263F"/>
    <w:rsid w:val="00482FB3"/>
    <w:rsid w:val="004842FC"/>
    <w:rsid w:val="004843C4"/>
    <w:rsid w:val="00484D10"/>
    <w:rsid w:val="00485CB1"/>
    <w:rsid w:val="004864BE"/>
    <w:rsid w:val="00486A9F"/>
    <w:rsid w:val="00486C4D"/>
    <w:rsid w:val="004874A3"/>
    <w:rsid w:val="00487FF0"/>
    <w:rsid w:val="00490301"/>
    <w:rsid w:val="00490309"/>
    <w:rsid w:val="00490D46"/>
    <w:rsid w:val="00491BE8"/>
    <w:rsid w:val="0049212D"/>
    <w:rsid w:val="00492854"/>
    <w:rsid w:val="004929D2"/>
    <w:rsid w:val="004938FB"/>
    <w:rsid w:val="00493D4F"/>
    <w:rsid w:val="00493DEA"/>
    <w:rsid w:val="00494364"/>
    <w:rsid w:val="0049488E"/>
    <w:rsid w:val="00495D99"/>
    <w:rsid w:val="0049670E"/>
    <w:rsid w:val="004971F6"/>
    <w:rsid w:val="00497F48"/>
    <w:rsid w:val="004A0371"/>
    <w:rsid w:val="004A067D"/>
    <w:rsid w:val="004A09CA"/>
    <w:rsid w:val="004A0A28"/>
    <w:rsid w:val="004A0B9E"/>
    <w:rsid w:val="004A19AA"/>
    <w:rsid w:val="004A1B50"/>
    <w:rsid w:val="004A1F76"/>
    <w:rsid w:val="004A25FB"/>
    <w:rsid w:val="004A292A"/>
    <w:rsid w:val="004A2ADB"/>
    <w:rsid w:val="004A2D3D"/>
    <w:rsid w:val="004A4C17"/>
    <w:rsid w:val="004A4F32"/>
    <w:rsid w:val="004A5084"/>
    <w:rsid w:val="004A60A6"/>
    <w:rsid w:val="004A67AD"/>
    <w:rsid w:val="004A6E36"/>
    <w:rsid w:val="004A6FBE"/>
    <w:rsid w:val="004B0254"/>
    <w:rsid w:val="004B10B0"/>
    <w:rsid w:val="004B1566"/>
    <w:rsid w:val="004B2BC4"/>
    <w:rsid w:val="004B34B0"/>
    <w:rsid w:val="004B4639"/>
    <w:rsid w:val="004B4B80"/>
    <w:rsid w:val="004B4D5C"/>
    <w:rsid w:val="004C38F9"/>
    <w:rsid w:val="004C3DBE"/>
    <w:rsid w:val="004C43F3"/>
    <w:rsid w:val="004C49C6"/>
    <w:rsid w:val="004C5088"/>
    <w:rsid w:val="004C56D0"/>
    <w:rsid w:val="004C604B"/>
    <w:rsid w:val="004C757A"/>
    <w:rsid w:val="004C7AB4"/>
    <w:rsid w:val="004C7B8A"/>
    <w:rsid w:val="004C7BCD"/>
    <w:rsid w:val="004D0401"/>
    <w:rsid w:val="004D062D"/>
    <w:rsid w:val="004D0B25"/>
    <w:rsid w:val="004D0FAB"/>
    <w:rsid w:val="004D217C"/>
    <w:rsid w:val="004D2D54"/>
    <w:rsid w:val="004D3726"/>
    <w:rsid w:val="004D375C"/>
    <w:rsid w:val="004D411F"/>
    <w:rsid w:val="004D45E4"/>
    <w:rsid w:val="004D533F"/>
    <w:rsid w:val="004D5539"/>
    <w:rsid w:val="004D6411"/>
    <w:rsid w:val="004D6659"/>
    <w:rsid w:val="004D693A"/>
    <w:rsid w:val="004D78CE"/>
    <w:rsid w:val="004D7E99"/>
    <w:rsid w:val="004E07E0"/>
    <w:rsid w:val="004E1084"/>
    <w:rsid w:val="004E1DE2"/>
    <w:rsid w:val="004E1F70"/>
    <w:rsid w:val="004E253C"/>
    <w:rsid w:val="004E27E1"/>
    <w:rsid w:val="004E4027"/>
    <w:rsid w:val="004E426D"/>
    <w:rsid w:val="004E4441"/>
    <w:rsid w:val="004E4799"/>
    <w:rsid w:val="004E5B60"/>
    <w:rsid w:val="004E60E2"/>
    <w:rsid w:val="004E7262"/>
    <w:rsid w:val="004E7AFC"/>
    <w:rsid w:val="004F0006"/>
    <w:rsid w:val="004F0893"/>
    <w:rsid w:val="004F1437"/>
    <w:rsid w:val="004F1839"/>
    <w:rsid w:val="004F2B9E"/>
    <w:rsid w:val="004F317E"/>
    <w:rsid w:val="004F37A1"/>
    <w:rsid w:val="004F39D6"/>
    <w:rsid w:val="004F575E"/>
    <w:rsid w:val="004F667A"/>
    <w:rsid w:val="004F75A6"/>
    <w:rsid w:val="004F7D6C"/>
    <w:rsid w:val="00501044"/>
    <w:rsid w:val="00501989"/>
    <w:rsid w:val="005025A9"/>
    <w:rsid w:val="005029C2"/>
    <w:rsid w:val="00504337"/>
    <w:rsid w:val="0050496A"/>
    <w:rsid w:val="00504994"/>
    <w:rsid w:val="0050583E"/>
    <w:rsid w:val="005058B6"/>
    <w:rsid w:val="00505D1F"/>
    <w:rsid w:val="00507448"/>
    <w:rsid w:val="00507882"/>
    <w:rsid w:val="005105BB"/>
    <w:rsid w:val="00511011"/>
    <w:rsid w:val="00511084"/>
    <w:rsid w:val="00511536"/>
    <w:rsid w:val="00511CB8"/>
    <w:rsid w:val="00512196"/>
    <w:rsid w:val="005122FC"/>
    <w:rsid w:val="005126A0"/>
    <w:rsid w:val="00512F80"/>
    <w:rsid w:val="00513695"/>
    <w:rsid w:val="00514F4E"/>
    <w:rsid w:val="00515707"/>
    <w:rsid w:val="00517302"/>
    <w:rsid w:val="005209E6"/>
    <w:rsid w:val="00521B08"/>
    <w:rsid w:val="0052229D"/>
    <w:rsid w:val="0052237E"/>
    <w:rsid w:val="005227AC"/>
    <w:rsid w:val="00524C0B"/>
    <w:rsid w:val="005256C6"/>
    <w:rsid w:val="00525C3E"/>
    <w:rsid w:val="005263B8"/>
    <w:rsid w:val="005269AB"/>
    <w:rsid w:val="00526FF1"/>
    <w:rsid w:val="005303B1"/>
    <w:rsid w:val="005305EB"/>
    <w:rsid w:val="00531241"/>
    <w:rsid w:val="0053181C"/>
    <w:rsid w:val="005318AA"/>
    <w:rsid w:val="0053196D"/>
    <w:rsid w:val="00532608"/>
    <w:rsid w:val="005326A8"/>
    <w:rsid w:val="00533275"/>
    <w:rsid w:val="005340DE"/>
    <w:rsid w:val="00534394"/>
    <w:rsid w:val="00534605"/>
    <w:rsid w:val="005346FC"/>
    <w:rsid w:val="00535B37"/>
    <w:rsid w:val="00536BEF"/>
    <w:rsid w:val="00536F4B"/>
    <w:rsid w:val="0053712B"/>
    <w:rsid w:val="00540E64"/>
    <w:rsid w:val="00540FD6"/>
    <w:rsid w:val="00541F0D"/>
    <w:rsid w:val="00542777"/>
    <w:rsid w:val="005427C4"/>
    <w:rsid w:val="0054313D"/>
    <w:rsid w:val="0054351A"/>
    <w:rsid w:val="00544906"/>
    <w:rsid w:val="005449C2"/>
    <w:rsid w:val="00544A0C"/>
    <w:rsid w:val="0054627C"/>
    <w:rsid w:val="00546B44"/>
    <w:rsid w:val="00547442"/>
    <w:rsid w:val="00547567"/>
    <w:rsid w:val="005477E6"/>
    <w:rsid w:val="00547A2B"/>
    <w:rsid w:val="00550008"/>
    <w:rsid w:val="005508BB"/>
    <w:rsid w:val="00550AEB"/>
    <w:rsid w:val="0055167E"/>
    <w:rsid w:val="00551C52"/>
    <w:rsid w:val="00551F3E"/>
    <w:rsid w:val="00552B7D"/>
    <w:rsid w:val="00552CBF"/>
    <w:rsid w:val="00552F0B"/>
    <w:rsid w:val="0055343D"/>
    <w:rsid w:val="00553C72"/>
    <w:rsid w:val="0055404E"/>
    <w:rsid w:val="00554211"/>
    <w:rsid w:val="005544B4"/>
    <w:rsid w:val="00555230"/>
    <w:rsid w:val="0055548E"/>
    <w:rsid w:val="005563A6"/>
    <w:rsid w:val="00556F6A"/>
    <w:rsid w:val="00557961"/>
    <w:rsid w:val="00557BCC"/>
    <w:rsid w:val="005607E1"/>
    <w:rsid w:val="00561277"/>
    <w:rsid w:val="00561779"/>
    <w:rsid w:val="00561D92"/>
    <w:rsid w:val="0056216B"/>
    <w:rsid w:val="0056377E"/>
    <w:rsid w:val="005638AE"/>
    <w:rsid w:val="00563A73"/>
    <w:rsid w:val="00563D3E"/>
    <w:rsid w:val="005640B0"/>
    <w:rsid w:val="00564F42"/>
    <w:rsid w:val="0056550E"/>
    <w:rsid w:val="00566404"/>
    <w:rsid w:val="00566611"/>
    <w:rsid w:val="00566DEB"/>
    <w:rsid w:val="00566E68"/>
    <w:rsid w:val="0056743B"/>
    <w:rsid w:val="0057068A"/>
    <w:rsid w:val="005724D9"/>
    <w:rsid w:val="00573AB8"/>
    <w:rsid w:val="00574552"/>
    <w:rsid w:val="0057455C"/>
    <w:rsid w:val="00574B0C"/>
    <w:rsid w:val="005752F7"/>
    <w:rsid w:val="00575E1E"/>
    <w:rsid w:val="00576EAF"/>
    <w:rsid w:val="00576F85"/>
    <w:rsid w:val="0058006C"/>
    <w:rsid w:val="00580788"/>
    <w:rsid w:val="00580ACE"/>
    <w:rsid w:val="00583EB5"/>
    <w:rsid w:val="005840D6"/>
    <w:rsid w:val="0058430A"/>
    <w:rsid w:val="005845A8"/>
    <w:rsid w:val="00584A88"/>
    <w:rsid w:val="00584F51"/>
    <w:rsid w:val="00584FC7"/>
    <w:rsid w:val="00587169"/>
    <w:rsid w:val="005872E1"/>
    <w:rsid w:val="005874F8"/>
    <w:rsid w:val="0058799A"/>
    <w:rsid w:val="00587E0E"/>
    <w:rsid w:val="00587FAE"/>
    <w:rsid w:val="00590C33"/>
    <w:rsid w:val="005913BD"/>
    <w:rsid w:val="005915BC"/>
    <w:rsid w:val="00591B15"/>
    <w:rsid w:val="00592A16"/>
    <w:rsid w:val="005948B3"/>
    <w:rsid w:val="005952FF"/>
    <w:rsid w:val="00595B4B"/>
    <w:rsid w:val="00596666"/>
    <w:rsid w:val="00596C05"/>
    <w:rsid w:val="00596C8F"/>
    <w:rsid w:val="00597A52"/>
    <w:rsid w:val="00597CF4"/>
    <w:rsid w:val="005A0709"/>
    <w:rsid w:val="005A0848"/>
    <w:rsid w:val="005A1773"/>
    <w:rsid w:val="005A2E95"/>
    <w:rsid w:val="005A30EB"/>
    <w:rsid w:val="005A35F7"/>
    <w:rsid w:val="005A3FCE"/>
    <w:rsid w:val="005A59C0"/>
    <w:rsid w:val="005A6093"/>
    <w:rsid w:val="005A79FC"/>
    <w:rsid w:val="005B08DD"/>
    <w:rsid w:val="005B1DF1"/>
    <w:rsid w:val="005B3728"/>
    <w:rsid w:val="005B3E23"/>
    <w:rsid w:val="005B40C7"/>
    <w:rsid w:val="005B4811"/>
    <w:rsid w:val="005B48F4"/>
    <w:rsid w:val="005B5117"/>
    <w:rsid w:val="005B5382"/>
    <w:rsid w:val="005B5589"/>
    <w:rsid w:val="005B55AB"/>
    <w:rsid w:val="005B7F76"/>
    <w:rsid w:val="005C0D71"/>
    <w:rsid w:val="005C2496"/>
    <w:rsid w:val="005C37C2"/>
    <w:rsid w:val="005C3F18"/>
    <w:rsid w:val="005C453A"/>
    <w:rsid w:val="005C61D1"/>
    <w:rsid w:val="005C6ED6"/>
    <w:rsid w:val="005C6FB2"/>
    <w:rsid w:val="005D0CE5"/>
    <w:rsid w:val="005D0DBC"/>
    <w:rsid w:val="005D22B2"/>
    <w:rsid w:val="005D2721"/>
    <w:rsid w:val="005D2C45"/>
    <w:rsid w:val="005D306B"/>
    <w:rsid w:val="005D313C"/>
    <w:rsid w:val="005D32E3"/>
    <w:rsid w:val="005D4372"/>
    <w:rsid w:val="005D43A7"/>
    <w:rsid w:val="005D455F"/>
    <w:rsid w:val="005D4DAD"/>
    <w:rsid w:val="005D4F58"/>
    <w:rsid w:val="005D4F84"/>
    <w:rsid w:val="005D663D"/>
    <w:rsid w:val="005D768A"/>
    <w:rsid w:val="005E0086"/>
    <w:rsid w:val="005E0345"/>
    <w:rsid w:val="005E04A9"/>
    <w:rsid w:val="005E1C3E"/>
    <w:rsid w:val="005E20D2"/>
    <w:rsid w:val="005E2F1F"/>
    <w:rsid w:val="005E44F7"/>
    <w:rsid w:val="005E538D"/>
    <w:rsid w:val="005E54F0"/>
    <w:rsid w:val="005E6B85"/>
    <w:rsid w:val="005E7D74"/>
    <w:rsid w:val="005F0B35"/>
    <w:rsid w:val="005F1175"/>
    <w:rsid w:val="005F1397"/>
    <w:rsid w:val="005F1D57"/>
    <w:rsid w:val="005F216B"/>
    <w:rsid w:val="005F2452"/>
    <w:rsid w:val="005F2B3D"/>
    <w:rsid w:val="005F3251"/>
    <w:rsid w:val="005F40D5"/>
    <w:rsid w:val="005F6824"/>
    <w:rsid w:val="005F6B4C"/>
    <w:rsid w:val="005F6E6B"/>
    <w:rsid w:val="00600D92"/>
    <w:rsid w:val="00601A8D"/>
    <w:rsid w:val="00601B26"/>
    <w:rsid w:val="006025E6"/>
    <w:rsid w:val="00602603"/>
    <w:rsid w:val="00603240"/>
    <w:rsid w:val="00603682"/>
    <w:rsid w:val="006054C4"/>
    <w:rsid w:val="0060558C"/>
    <w:rsid w:val="00605DC5"/>
    <w:rsid w:val="00605EBF"/>
    <w:rsid w:val="006076B3"/>
    <w:rsid w:val="006109F6"/>
    <w:rsid w:val="00612699"/>
    <w:rsid w:val="006135D5"/>
    <w:rsid w:val="00614164"/>
    <w:rsid w:val="00614552"/>
    <w:rsid w:val="00614640"/>
    <w:rsid w:val="006146DD"/>
    <w:rsid w:val="00614897"/>
    <w:rsid w:val="00614CFE"/>
    <w:rsid w:val="00616A76"/>
    <w:rsid w:val="006177F4"/>
    <w:rsid w:val="00620139"/>
    <w:rsid w:val="00620960"/>
    <w:rsid w:val="0062140B"/>
    <w:rsid w:val="00621FEE"/>
    <w:rsid w:val="006231E7"/>
    <w:rsid w:val="006239ED"/>
    <w:rsid w:val="00624BDB"/>
    <w:rsid w:val="00624EAB"/>
    <w:rsid w:val="00624F9A"/>
    <w:rsid w:val="006252D1"/>
    <w:rsid w:val="00625E6A"/>
    <w:rsid w:val="00625EBE"/>
    <w:rsid w:val="00625FB3"/>
    <w:rsid w:val="006264C7"/>
    <w:rsid w:val="006265E2"/>
    <w:rsid w:val="00626C82"/>
    <w:rsid w:val="00627325"/>
    <w:rsid w:val="00627737"/>
    <w:rsid w:val="0062782F"/>
    <w:rsid w:val="00630B07"/>
    <w:rsid w:val="006311B4"/>
    <w:rsid w:val="006322C8"/>
    <w:rsid w:val="006327F2"/>
    <w:rsid w:val="00632B72"/>
    <w:rsid w:val="00633FBC"/>
    <w:rsid w:val="0063409A"/>
    <w:rsid w:val="00634266"/>
    <w:rsid w:val="00634445"/>
    <w:rsid w:val="006348CE"/>
    <w:rsid w:val="00634A5E"/>
    <w:rsid w:val="0063654A"/>
    <w:rsid w:val="00636A45"/>
    <w:rsid w:val="0064067B"/>
    <w:rsid w:val="006409DE"/>
    <w:rsid w:val="00641B36"/>
    <w:rsid w:val="00641E95"/>
    <w:rsid w:val="00641ED8"/>
    <w:rsid w:val="0064316E"/>
    <w:rsid w:val="00643942"/>
    <w:rsid w:val="00645706"/>
    <w:rsid w:val="00646728"/>
    <w:rsid w:val="006470E9"/>
    <w:rsid w:val="006473FD"/>
    <w:rsid w:val="006500E3"/>
    <w:rsid w:val="00650B05"/>
    <w:rsid w:val="00650C0D"/>
    <w:rsid w:val="006515C3"/>
    <w:rsid w:val="00651B7D"/>
    <w:rsid w:val="006521DC"/>
    <w:rsid w:val="006526D0"/>
    <w:rsid w:val="00653A85"/>
    <w:rsid w:val="00653ED9"/>
    <w:rsid w:val="00654C3C"/>
    <w:rsid w:val="006557B4"/>
    <w:rsid w:val="00657107"/>
    <w:rsid w:val="00657B0B"/>
    <w:rsid w:val="006604DF"/>
    <w:rsid w:val="006605B4"/>
    <w:rsid w:val="006625CF"/>
    <w:rsid w:val="006625DE"/>
    <w:rsid w:val="0066320B"/>
    <w:rsid w:val="00664004"/>
    <w:rsid w:val="006649F4"/>
    <w:rsid w:val="00664A35"/>
    <w:rsid w:val="00665A93"/>
    <w:rsid w:val="00666D65"/>
    <w:rsid w:val="00666E10"/>
    <w:rsid w:val="006674A4"/>
    <w:rsid w:val="00670BCB"/>
    <w:rsid w:val="00671411"/>
    <w:rsid w:val="00671492"/>
    <w:rsid w:val="006739CD"/>
    <w:rsid w:val="006739E1"/>
    <w:rsid w:val="0067559C"/>
    <w:rsid w:val="006770FC"/>
    <w:rsid w:val="006803ED"/>
    <w:rsid w:val="006806EA"/>
    <w:rsid w:val="00680913"/>
    <w:rsid w:val="00680994"/>
    <w:rsid w:val="00680D41"/>
    <w:rsid w:val="00681C3E"/>
    <w:rsid w:val="00681E0C"/>
    <w:rsid w:val="00682C35"/>
    <w:rsid w:val="006841B4"/>
    <w:rsid w:val="006844E7"/>
    <w:rsid w:val="0068509A"/>
    <w:rsid w:val="00686788"/>
    <w:rsid w:val="00686DA9"/>
    <w:rsid w:val="00687F80"/>
    <w:rsid w:val="0069000B"/>
    <w:rsid w:val="00690656"/>
    <w:rsid w:val="0069115D"/>
    <w:rsid w:val="006911E9"/>
    <w:rsid w:val="006918D0"/>
    <w:rsid w:val="0069285A"/>
    <w:rsid w:val="00693691"/>
    <w:rsid w:val="00694379"/>
    <w:rsid w:val="00694DF6"/>
    <w:rsid w:val="00695219"/>
    <w:rsid w:val="00695242"/>
    <w:rsid w:val="00695701"/>
    <w:rsid w:val="00696319"/>
    <w:rsid w:val="00696550"/>
    <w:rsid w:val="00696F1C"/>
    <w:rsid w:val="00697EC5"/>
    <w:rsid w:val="006A0F64"/>
    <w:rsid w:val="006A3491"/>
    <w:rsid w:val="006A3528"/>
    <w:rsid w:val="006A355A"/>
    <w:rsid w:val="006A4C97"/>
    <w:rsid w:val="006A5595"/>
    <w:rsid w:val="006A5604"/>
    <w:rsid w:val="006A58D0"/>
    <w:rsid w:val="006A5D82"/>
    <w:rsid w:val="006A6428"/>
    <w:rsid w:val="006B0390"/>
    <w:rsid w:val="006B05B9"/>
    <w:rsid w:val="006B1001"/>
    <w:rsid w:val="006B132F"/>
    <w:rsid w:val="006B1549"/>
    <w:rsid w:val="006B26D6"/>
    <w:rsid w:val="006B27D0"/>
    <w:rsid w:val="006B32FB"/>
    <w:rsid w:val="006B3396"/>
    <w:rsid w:val="006B38E4"/>
    <w:rsid w:val="006B3C2D"/>
    <w:rsid w:val="006B5455"/>
    <w:rsid w:val="006B5E79"/>
    <w:rsid w:val="006B6430"/>
    <w:rsid w:val="006B7746"/>
    <w:rsid w:val="006B777E"/>
    <w:rsid w:val="006B7954"/>
    <w:rsid w:val="006C236C"/>
    <w:rsid w:val="006C2464"/>
    <w:rsid w:val="006C3063"/>
    <w:rsid w:val="006C31BC"/>
    <w:rsid w:val="006C4977"/>
    <w:rsid w:val="006C4FBD"/>
    <w:rsid w:val="006C5B2C"/>
    <w:rsid w:val="006C5E99"/>
    <w:rsid w:val="006C5E9D"/>
    <w:rsid w:val="006C6D55"/>
    <w:rsid w:val="006C7770"/>
    <w:rsid w:val="006C7C07"/>
    <w:rsid w:val="006C7DD7"/>
    <w:rsid w:val="006D0402"/>
    <w:rsid w:val="006D097C"/>
    <w:rsid w:val="006D12D0"/>
    <w:rsid w:val="006D1D03"/>
    <w:rsid w:val="006D1DD4"/>
    <w:rsid w:val="006D22E4"/>
    <w:rsid w:val="006D2414"/>
    <w:rsid w:val="006D2F96"/>
    <w:rsid w:val="006D336C"/>
    <w:rsid w:val="006D39FE"/>
    <w:rsid w:val="006D444E"/>
    <w:rsid w:val="006D612A"/>
    <w:rsid w:val="006D6FD6"/>
    <w:rsid w:val="006D7427"/>
    <w:rsid w:val="006E1458"/>
    <w:rsid w:val="006E2996"/>
    <w:rsid w:val="006E31D8"/>
    <w:rsid w:val="006E370A"/>
    <w:rsid w:val="006E48C0"/>
    <w:rsid w:val="006E6A4F"/>
    <w:rsid w:val="006E6BA3"/>
    <w:rsid w:val="006E73C7"/>
    <w:rsid w:val="006E7435"/>
    <w:rsid w:val="006E784C"/>
    <w:rsid w:val="006E7E9A"/>
    <w:rsid w:val="006F19BA"/>
    <w:rsid w:val="006F39C1"/>
    <w:rsid w:val="006F3BC9"/>
    <w:rsid w:val="006F3C84"/>
    <w:rsid w:val="006F41FF"/>
    <w:rsid w:val="006F4BB3"/>
    <w:rsid w:val="006F4FD7"/>
    <w:rsid w:val="006F5071"/>
    <w:rsid w:val="006F5271"/>
    <w:rsid w:val="006F58A5"/>
    <w:rsid w:val="006F5A24"/>
    <w:rsid w:val="006F6262"/>
    <w:rsid w:val="006F6D18"/>
    <w:rsid w:val="006F7252"/>
    <w:rsid w:val="006F78A0"/>
    <w:rsid w:val="00700962"/>
    <w:rsid w:val="00701B91"/>
    <w:rsid w:val="0070248D"/>
    <w:rsid w:val="007030FF"/>
    <w:rsid w:val="00703268"/>
    <w:rsid w:val="00703C2D"/>
    <w:rsid w:val="007043CE"/>
    <w:rsid w:val="00704AB1"/>
    <w:rsid w:val="00706DCC"/>
    <w:rsid w:val="00710512"/>
    <w:rsid w:val="0071179A"/>
    <w:rsid w:val="007121D8"/>
    <w:rsid w:val="00712498"/>
    <w:rsid w:val="00712774"/>
    <w:rsid w:val="0071280F"/>
    <w:rsid w:val="00712B23"/>
    <w:rsid w:val="007130F9"/>
    <w:rsid w:val="007138BC"/>
    <w:rsid w:val="00713A63"/>
    <w:rsid w:val="00713CF2"/>
    <w:rsid w:val="00713DAA"/>
    <w:rsid w:val="00714604"/>
    <w:rsid w:val="00714BD7"/>
    <w:rsid w:val="00715ECB"/>
    <w:rsid w:val="007163C4"/>
    <w:rsid w:val="00716486"/>
    <w:rsid w:val="00720474"/>
    <w:rsid w:val="007217FA"/>
    <w:rsid w:val="00721E3B"/>
    <w:rsid w:val="0072235D"/>
    <w:rsid w:val="0072248D"/>
    <w:rsid w:val="00722B2A"/>
    <w:rsid w:val="007235E5"/>
    <w:rsid w:val="00724118"/>
    <w:rsid w:val="00724733"/>
    <w:rsid w:val="00724BDC"/>
    <w:rsid w:val="007264D6"/>
    <w:rsid w:val="007266B0"/>
    <w:rsid w:val="0072692A"/>
    <w:rsid w:val="00726BBE"/>
    <w:rsid w:val="007278BC"/>
    <w:rsid w:val="00730CA1"/>
    <w:rsid w:val="00731B87"/>
    <w:rsid w:val="00731EDA"/>
    <w:rsid w:val="007329FE"/>
    <w:rsid w:val="00734A1F"/>
    <w:rsid w:val="00734B69"/>
    <w:rsid w:val="00735683"/>
    <w:rsid w:val="007402FF"/>
    <w:rsid w:val="007404DA"/>
    <w:rsid w:val="007410B9"/>
    <w:rsid w:val="00742A8D"/>
    <w:rsid w:val="0074345D"/>
    <w:rsid w:val="007437B5"/>
    <w:rsid w:val="007438B1"/>
    <w:rsid w:val="00745C85"/>
    <w:rsid w:val="007466DF"/>
    <w:rsid w:val="00746E81"/>
    <w:rsid w:val="0074764C"/>
    <w:rsid w:val="00747979"/>
    <w:rsid w:val="00750066"/>
    <w:rsid w:val="0075044B"/>
    <w:rsid w:val="00750724"/>
    <w:rsid w:val="0075167B"/>
    <w:rsid w:val="00751D3C"/>
    <w:rsid w:val="00752A37"/>
    <w:rsid w:val="00753581"/>
    <w:rsid w:val="0075359B"/>
    <w:rsid w:val="0075372B"/>
    <w:rsid w:val="00754945"/>
    <w:rsid w:val="00754C68"/>
    <w:rsid w:val="007561FB"/>
    <w:rsid w:val="00756BEC"/>
    <w:rsid w:val="00756C26"/>
    <w:rsid w:val="00756FF0"/>
    <w:rsid w:val="0076099C"/>
    <w:rsid w:val="00760D9D"/>
    <w:rsid w:val="0076127D"/>
    <w:rsid w:val="007614A4"/>
    <w:rsid w:val="00761672"/>
    <w:rsid w:val="007624EC"/>
    <w:rsid w:val="00762CAA"/>
    <w:rsid w:val="00762D04"/>
    <w:rsid w:val="00763091"/>
    <w:rsid w:val="007634B4"/>
    <w:rsid w:val="00763739"/>
    <w:rsid w:val="00764646"/>
    <w:rsid w:val="00764F9D"/>
    <w:rsid w:val="00765173"/>
    <w:rsid w:val="00765966"/>
    <w:rsid w:val="00765B0E"/>
    <w:rsid w:val="0076606E"/>
    <w:rsid w:val="0076610D"/>
    <w:rsid w:val="00766801"/>
    <w:rsid w:val="00775680"/>
    <w:rsid w:val="0077573F"/>
    <w:rsid w:val="007764AE"/>
    <w:rsid w:val="0077702E"/>
    <w:rsid w:val="00777751"/>
    <w:rsid w:val="0077791B"/>
    <w:rsid w:val="007779B4"/>
    <w:rsid w:val="007815B5"/>
    <w:rsid w:val="007817D5"/>
    <w:rsid w:val="00781ACF"/>
    <w:rsid w:val="00781F8F"/>
    <w:rsid w:val="007827EB"/>
    <w:rsid w:val="0078296A"/>
    <w:rsid w:val="0078298C"/>
    <w:rsid w:val="007838A4"/>
    <w:rsid w:val="00784355"/>
    <w:rsid w:val="00784471"/>
    <w:rsid w:val="00786A79"/>
    <w:rsid w:val="00786B12"/>
    <w:rsid w:val="007876EE"/>
    <w:rsid w:val="00787991"/>
    <w:rsid w:val="00787C19"/>
    <w:rsid w:val="00787FC8"/>
    <w:rsid w:val="00787FD9"/>
    <w:rsid w:val="0079107E"/>
    <w:rsid w:val="007921F8"/>
    <w:rsid w:val="00793665"/>
    <w:rsid w:val="00795139"/>
    <w:rsid w:val="0079583E"/>
    <w:rsid w:val="007965A7"/>
    <w:rsid w:val="00796BEA"/>
    <w:rsid w:val="00796C1E"/>
    <w:rsid w:val="00797084"/>
    <w:rsid w:val="00797607"/>
    <w:rsid w:val="007A0916"/>
    <w:rsid w:val="007A14DD"/>
    <w:rsid w:val="007A16E6"/>
    <w:rsid w:val="007A1D97"/>
    <w:rsid w:val="007A2E45"/>
    <w:rsid w:val="007A3047"/>
    <w:rsid w:val="007A320A"/>
    <w:rsid w:val="007A452F"/>
    <w:rsid w:val="007A5256"/>
    <w:rsid w:val="007A6384"/>
    <w:rsid w:val="007A65D2"/>
    <w:rsid w:val="007A681A"/>
    <w:rsid w:val="007A7D31"/>
    <w:rsid w:val="007A7FF7"/>
    <w:rsid w:val="007B0269"/>
    <w:rsid w:val="007B1BE5"/>
    <w:rsid w:val="007B265F"/>
    <w:rsid w:val="007B26BA"/>
    <w:rsid w:val="007B3344"/>
    <w:rsid w:val="007B34D0"/>
    <w:rsid w:val="007B5109"/>
    <w:rsid w:val="007B5C29"/>
    <w:rsid w:val="007B6507"/>
    <w:rsid w:val="007B769B"/>
    <w:rsid w:val="007C0066"/>
    <w:rsid w:val="007C018B"/>
    <w:rsid w:val="007C1238"/>
    <w:rsid w:val="007C172E"/>
    <w:rsid w:val="007C1E56"/>
    <w:rsid w:val="007C2EBE"/>
    <w:rsid w:val="007C3008"/>
    <w:rsid w:val="007C32AF"/>
    <w:rsid w:val="007C347F"/>
    <w:rsid w:val="007C4D70"/>
    <w:rsid w:val="007C6DAE"/>
    <w:rsid w:val="007C6FE9"/>
    <w:rsid w:val="007C7124"/>
    <w:rsid w:val="007D1890"/>
    <w:rsid w:val="007D1CB5"/>
    <w:rsid w:val="007D2A50"/>
    <w:rsid w:val="007D2C06"/>
    <w:rsid w:val="007D43F3"/>
    <w:rsid w:val="007D44F1"/>
    <w:rsid w:val="007D44F4"/>
    <w:rsid w:val="007D514C"/>
    <w:rsid w:val="007D5F76"/>
    <w:rsid w:val="007D67D4"/>
    <w:rsid w:val="007D6B32"/>
    <w:rsid w:val="007D6F9A"/>
    <w:rsid w:val="007D71E6"/>
    <w:rsid w:val="007D7212"/>
    <w:rsid w:val="007D78D8"/>
    <w:rsid w:val="007D7C0A"/>
    <w:rsid w:val="007D7FE4"/>
    <w:rsid w:val="007E1BBA"/>
    <w:rsid w:val="007E1CA5"/>
    <w:rsid w:val="007E20D7"/>
    <w:rsid w:val="007E2253"/>
    <w:rsid w:val="007E2475"/>
    <w:rsid w:val="007E2995"/>
    <w:rsid w:val="007E2B34"/>
    <w:rsid w:val="007E2D80"/>
    <w:rsid w:val="007E34E7"/>
    <w:rsid w:val="007E38E7"/>
    <w:rsid w:val="007E4F6D"/>
    <w:rsid w:val="007E550D"/>
    <w:rsid w:val="007E5685"/>
    <w:rsid w:val="007E5810"/>
    <w:rsid w:val="007E5BFB"/>
    <w:rsid w:val="007E5E70"/>
    <w:rsid w:val="007E6817"/>
    <w:rsid w:val="007E687C"/>
    <w:rsid w:val="007E6986"/>
    <w:rsid w:val="007E6D3E"/>
    <w:rsid w:val="007E72BC"/>
    <w:rsid w:val="007E7A57"/>
    <w:rsid w:val="007F0B8A"/>
    <w:rsid w:val="007F11C4"/>
    <w:rsid w:val="007F16ED"/>
    <w:rsid w:val="007F24E9"/>
    <w:rsid w:val="007F3221"/>
    <w:rsid w:val="007F33B3"/>
    <w:rsid w:val="007F3759"/>
    <w:rsid w:val="007F3D6D"/>
    <w:rsid w:val="007F405E"/>
    <w:rsid w:val="007F4191"/>
    <w:rsid w:val="007F45E5"/>
    <w:rsid w:val="007F4B35"/>
    <w:rsid w:val="007F6859"/>
    <w:rsid w:val="007F7A0F"/>
    <w:rsid w:val="008005FB"/>
    <w:rsid w:val="00800858"/>
    <w:rsid w:val="00800F2C"/>
    <w:rsid w:val="00801D0F"/>
    <w:rsid w:val="00802996"/>
    <w:rsid w:val="00802A82"/>
    <w:rsid w:val="00803E51"/>
    <w:rsid w:val="008058A2"/>
    <w:rsid w:val="00805B48"/>
    <w:rsid w:val="00806356"/>
    <w:rsid w:val="00807C4F"/>
    <w:rsid w:val="00810D34"/>
    <w:rsid w:val="008115E9"/>
    <w:rsid w:val="0081239A"/>
    <w:rsid w:val="00812867"/>
    <w:rsid w:val="008129F4"/>
    <w:rsid w:val="00813412"/>
    <w:rsid w:val="00814C8B"/>
    <w:rsid w:val="00814D12"/>
    <w:rsid w:val="0081518D"/>
    <w:rsid w:val="008153FC"/>
    <w:rsid w:val="0081629C"/>
    <w:rsid w:val="00816463"/>
    <w:rsid w:val="0081691D"/>
    <w:rsid w:val="00816E04"/>
    <w:rsid w:val="00820227"/>
    <w:rsid w:val="00820484"/>
    <w:rsid w:val="0082048B"/>
    <w:rsid w:val="00820EFD"/>
    <w:rsid w:val="0082136D"/>
    <w:rsid w:val="008223FF"/>
    <w:rsid w:val="008226DB"/>
    <w:rsid w:val="00823926"/>
    <w:rsid w:val="00823B60"/>
    <w:rsid w:val="00824564"/>
    <w:rsid w:val="00824675"/>
    <w:rsid w:val="00824D31"/>
    <w:rsid w:val="0082516E"/>
    <w:rsid w:val="00825AFD"/>
    <w:rsid w:val="008272B7"/>
    <w:rsid w:val="00827865"/>
    <w:rsid w:val="00827ACA"/>
    <w:rsid w:val="00827FC4"/>
    <w:rsid w:val="00830725"/>
    <w:rsid w:val="00830BA6"/>
    <w:rsid w:val="00830FED"/>
    <w:rsid w:val="00831742"/>
    <w:rsid w:val="008326DF"/>
    <w:rsid w:val="00832E31"/>
    <w:rsid w:val="00832FAE"/>
    <w:rsid w:val="00833A4A"/>
    <w:rsid w:val="00834437"/>
    <w:rsid w:val="00834587"/>
    <w:rsid w:val="008348EF"/>
    <w:rsid w:val="00834D1D"/>
    <w:rsid w:val="00835451"/>
    <w:rsid w:val="008364B8"/>
    <w:rsid w:val="0083678C"/>
    <w:rsid w:val="008370D8"/>
    <w:rsid w:val="0084110E"/>
    <w:rsid w:val="00841351"/>
    <w:rsid w:val="00841A55"/>
    <w:rsid w:val="008420C2"/>
    <w:rsid w:val="00843384"/>
    <w:rsid w:val="008436E1"/>
    <w:rsid w:val="00844072"/>
    <w:rsid w:val="00844617"/>
    <w:rsid w:val="008449D9"/>
    <w:rsid w:val="00844E00"/>
    <w:rsid w:val="00845259"/>
    <w:rsid w:val="00845818"/>
    <w:rsid w:val="00845B3C"/>
    <w:rsid w:val="00846C7D"/>
    <w:rsid w:val="00847F90"/>
    <w:rsid w:val="008519A7"/>
    <w:rsid w:val="00852A96"/>
    <w:rsid w:val="00852C97"/>
    <w:rsid w:val="00852F1E"/>
    <w:rsid w:val="00853082"/>
    <w:rsid w:val="00853D79"/>
    <w:rsid w:val="0085678C"/>
    <w:rsid w:val="008568EE"/>
    <w:rsid w:val="00856F8F"/>
    <w:rsid w:val="00857431"/>
    <w:rsid w:val="00860640"/>
    <w:rsid w:val="008607C3"/>
    <w:rsid w:val="00861259"/>
    <w:rsid w:val="00861290"/>
    <w:rsid w:val="00861C35"/>
    <w:rsid w:val="008632BC"/>
    <w:rsid w:val="0086338D"/>
    <w:rsid w:val="00864647"/>
    <w:rsid w:val="00864BBE"/>
    <w:rsid w:val="00865388"/>
    <w:rsid w:val="008657DB"/>
    <w:rsid w:val="00865DBC"/>
    <w:rsid w:val="00866DF4"/>
    <w:rsid w:val="00867112"/>
    <w:rsid w:val="008675EA"/>
    <w:rsid w:val="00870AC4"/>
    <w:rsid w:val="00872A1D"/>
    <w:rsid w:val="00873254"/>
    <w:rsid w:val="0087450A"/>
    <w:rsid w:val="00874F03"/>
    <w:rsid w:val="0087545E"/>
    <w:rsid w:val="008757C4"/>
    <w:rsid w:val="00875A48"/>
    <w:rsid w:val="0087625C"/>
    <w:rsid w:val="008765C8"/>
    <w:rsid w:val="0087776C"/>
    <w:rsid w:val="00877794"/>
    <w:rsid w:val="008802DE"/>
    <w:rsid w:val="0088070C"/>
    <w:rsid w:val="00880901"/>
    <w:rsid w:val="00880A2D"/>
    <w:rsid w:val="00880D4D"/>
    <w:rsid w:val="00882D62"/>
    <w:rsid w:val="00882E9B"/>
    <w:rsid w:val="00882F36"/>
    <w:rsid w:val="008841A8"/>
    <w:rsid w:val="00884298"/>
    <w:rsid w:val="00884E28"/>
    <w:rsid w:val="00886C1C"/>
    <w:rsid w:val="00886EE5"/>
    <w:rsid w:val="008874BE"/>
    <w:rsid w:val="00887B7E"/>
    <w:rsid w:val="00887E3A"/>
    <w:rsid w:val="008906FC"/>
    <w:rsid w:val="00890902"/>
    <w:rsid w:val="00890970"/>
    <w:rsid w:val="008917AC"/>
    <w:rsid w:val="00891E5D"/>
    <w:rsid w:val="008921B1"/>
    <w:rsid w:val="00892955"/>
    <w:rsid w:val="0089306D"/>
    <w:rsid w:val="00893159"/>
    <w:rsid w:val="00893DF7"/>
    <w:rsid w:val="0089441B"/>
    <w:rsid w:val="00896920"/>
    <w:rsid w:val="00896992"/>
    <w:rsid w:val="00896BBA"/>
    <w:rsid w:val="00896BEE"/>
    <w:rsid w:val="00896EA9"/>
    <w:rsid w:val="008970E1"/>
    <w:rsid w:val="0089781E"/>
    <w:rsid w:val="00897B9F"/>
    <w:rsid w:val="008A00A8"/>
    <w:rsid w:val="008A0198"/>
    <w:rsid w:val="008A0B5B"/>
    <w:rsid w:val="008A14E7"/>
    <w:rsid w:val="008A212B"/>
    <w:rsid w:val="008A575B"/>
    <w:rsid w:val="008A5BD5"/>
    <w:rsid w:val="008A62BF"/>
    <w:rsid w:val="008A722E"/>
    <w:rsid w:val="008A75F1"/>
    <w:rsid w:val="008A7925"/>
    <w:rsid w:val="008B0C61"/>
    <w:rsid w:val="008B0E90"/>
    <w:rsid w:val="008B209E"/>
    <w:rsid w:val="008B2888"/>
    <w:rsid w:val="008B2D2B"/>
    <w:rsid w:val="008B36CA"/>
    <w:rsid w:val="008B379D"/>
    <w:rsid w:val="008B440C"/>
    <w:rsid w:val="008B4866"/>
    <w:rsid w:val="008B48BE"/>
    <w:rsid w:val="008B5D3E"/>
    <w:rsid w:val="008B68C5"/>
    <w:rsid w:val="008B710A"/>
    <w:rsid w:val="008C00AD"/>
    <w:rsid w:val="008C0DD8"/>
    <w:rsid w:val="008C1018"/>
    <w:rsid w:val="008C1542"/>
    <w:rsid w:val="008C3A74"/>
    <w:rsid w:val="008C3EBE"/>
    <w:rsid w:val="008C4274"/>
    <w:rsid w:val="008C4A0B"/>
    <w:rsid w:val="008C56F4"/>
    <w:rsid w:val="008C5F68"/>
    <w:rsid w:val="008C67B0"/>
    <w:rsid w:val="008C777D"/>
    <w:rsid w:val="008D11ED"/>
    <w:rsid w:val="008D1C6B"/>
    <w:rsid w:val="008D23F4"/>
    <w:rsid w:val="008D293C"/>
    <w:rsid w:val="008D3591"/>
    <w:rsid w:val="008D3ABD"/>
    <w:rsid w:val="008D3D01"/>
    <w:rsid w:val="008D4314"/>
    <w:rsid w:val="008D4C14"/>
    <w:rsid w:val="008D51F3"/>
    <w:rsid w:val="008D52CE"/>
    <w:rsid w:val="008D5344"/>
    <w:rsid w:val="008D58A1"/>
    <w:rsid w:val="008D6743"/>
    <w:rsid w:val="008D68C2"/>
    <w:rsid w:val="008D6FD9"/>
    <w:rsid w:val="008D71A7"/>
    <w:rsid w:val="008D7874"/>
    <w:rsid w:val="008E25C9"/>
    <w:rsid w:val="008E3CF8"/>
    <w:rsid w:val="008E551D"/>
    <w:rsid w:val="008E55A6"/>
    <w:rsid w:val="008E58EF"/>
    <w:rsid w:val="008E5B20"/>
    <w:rsid w:val="008E64C5"/>
    <w:rsid w:val="008E69EF"/>
    <w:rsid w:val="008F04F3"/>
    <w:rsid w:val="008F0B2F"/>
    <w:rsid w:val="008F15D2"/>
    <w:rsid w:val="008F3C46"/>
    <w:rsid w:val="008F3E99"/>
    <w:rsid w:val="008F42CF"/>
    <w:rsid w:val="008F610B"/>
    <w:rsid w:val="008F70B1"/>
    <w:rsid w:val="008F716F"/>
    <w:rsid w:val="008F7213"/>
    <w:rsid w:val="008F766D"/>
    <w:rsid w:val="008F7C39"/>
    <w:rsid w:val="00900E45"/>
    <w:rsid w:val="00901BA2"/>
    <w:rsid w:val="00901CA0"/>
    <w:rsid w:val="0090200E"/>
    <w:rsid w:val="009020FC"/>
    <w:rsid w:val="0090270F"/>
    <w:rsid w:val="0090276B"/>
    <w:rsid w:val="009030CB"/>
    <w:rsid w:val="009032C1"/>
    <w:rsid w:val="009048B4"/>
    <w:rsid w:val="00904DB1"/>
    <w:rsid w:val="0091053A"/>
    <w:rsid w:val="009107B0"/>
    <w:rsid w:val="00910E30"/>
    <w:rsid w:val="00911708"/>
    <w:rsid w:val="00913228"/>
    <w:rsid w:val="009137BC"/>
    <w:rsid w:val="00913B3B"/>
    <w:rsid w:val="00914089"/>
    <w:rsid w:val="00914D0A"/>
    <w:rsid w:val="00914D12"/>
    <w:rsid w:val="0091507B"/>
    <w:rsid w:val="00915650"/>
    <w:rsid w:val="00915B67"/>
    <w:rsid w:val="00915E4C"/>
    <w:rsid w:val="0091631C"/>
    <w:rsid w:val="00916AA5"/>
    <w:rsid w:val="00916FB7"/>
    <w:rsid w:val="009170F0"/>
    <w:rsid w:val="00917DE8"/>
    <w:rsid w:val="00917EDD"/>
    <w:rsid w:val="00920522"/>
    <w:rsid w:val="00920B1F"/>
    <w:rsid w:val="00920DA3"/>
    <w:rsid w:val="0092115B"/>
    <w:rsid w:val="00922045"/>
    <w:rsid w:val="0092303E"/>
    <w:rsid w:val="0092416A"/>
    <w:rsid w:val="009241B8"/>
    <w:rsid w:val="0092588C"/>
    <w:rsid w:val="00926388"/>
    <w:rsid w:val="00927520"/>
    <w:rsid w:val="009276E0"/>
    <w:rsid w:val="0092784B"/>
    <w:rsid w:val="00930EEE"/>
    <w:rsid w:val="00931D6E"/>
    <w:rsid w:val="00931ED1"/>
    <w:rsid w:val="0093274B"/>
    <w:rsid w:val="009329A0"/>
    <w:rsid w:val="00932BD5"/>
    <w:rsid w:val="00932C21"/>
    <w:rsid w:val="00932EBF"/>
    <w:rsid w:val="00932F76"/>
    <w:rsid w:val="0093365F"/>
    <w:rsid w:val="0093388D"/>
    <w:rsid w:val="00933A78"/>
    <w:rsid w:val="00934306"/>
    <w:rsid w:val="00934608"/>
    <w:rsid w:val="00934690"/>
    <w:rsid w:val="009346B5"/>
    <w:rsid w:val="00934994"/>
    <w:rsid w:val="009358A9"/>
    <w:rsid w:val="00937128"/>
    <w:rsid w:val="00937AA7"/>
    <w:rsid w:val="00937EE1"/>
    <w:rsid w:val="00941424"/>
    <w:rsid w:val="00941E22"/>
    <w:rsid w:val="00942373"/>
    <w:rsid w:val="009429C1"/>
    <w:rsid w:val="009431D9"/>
    <w:rsid w:val="0094339E"/>
    <w:rsid w:val="00943749"/>
    <w:rsid w:val="00943B82"/>
    <w:rsid w:val="00945664"/>
    <w:rsid w:val="00945689"/>
    <w:rsid w:val="00946288"/>
    <w:rsid w:val="00946FCB"/>
    <w:rsid w:val="00947485"/>
    <w:rsid w:val="00947813"/>
    <w:rsid w:val="00947D27"/>
    <w:rsid w:val="00950864"/>
    <w:rsid w:val="009514F6"/>
    <w:rsid w:val="00953BE2"/>
    <w:rsid w:val="00953DDC"/>
    <w:rsid w:val="00954581"/>
    <w:rsid w:val="009545C8"/>
    <w:rsid w:val="00954D2F"/>
    <w:rsid w:val="00955D65"/>
    <w:rsid w:val="00957B3F"/>
    <w:rsid w:val="009608D9"/>
    <w:rsid w:val="0096128B"/>
    <w:rsid w:val="0096231B"/>
    <w:rsid w:val="00962883"/>
    <w:rsid w:val="009629B8"/>
    <w:rsid w:val="00962CED"/>
    <w:rsid w:val="0096425A"/>
    <w:rsid w:val="0096468B"/>
    <w:rsid w:val="00964B48"/>
    <w:rsid w:val="009654AD"/>
    <w:rsid w:val="00965712"/>
    <w:rsid w:val="00965A14"/>
    <w:rsid w:val="00966BCE"/>
    <w:rsid w:val="009671D3"/>
    <w:rsid w:val="00970C84"/>
    <w:rsid w:val="00970FE4"/>
    <w:rsid w:val="009714C0"/>
    <w:rsid w:val="0097182E"/>
    <w:rsid w:val="0097271E"/>
    <w:rsid w:val="00972B75"/>
    <w:rsid w:val="00972D46"/>
    <w:rsid w:val="009732FC"/>
    <w:rsid w:val="00973431"/>
    <w:rsid w:val="009734AC"/>
    <w:rsid w:val="00973536"/>
    <w:rsid w:val="00973BD7"/>
    <w:rsid w:val="00974423"/>
    <w:rsid w:val="009749E3"/>
    <w:rsid w:val="0097523D"/>
    <w:rsid w:val="009753F5"/>
    <w:rsid w:val="00975610"/>
    <w:rsid w:val="009757D1"/>
    <w:rsid w:val="00976206"/>
    <w:rsid w:val="0097675E"/>
    <w:rsid w:val="00980A38"/>
    <w:rsid w:val="009811CE"/>
    <w:rsid w:val="00981532"/>
    <w:rsid w:val="00983591"/>
    <w:rsid w:val="00983862"/>
    <w:rsid w:val="00984781"/>
    <w:rsid w:val="00984B96"/>
    <w:rsid w:val="00984F0F"/>
    <w:rsid w:val="009851CA"/>
    <w:rsid w:val="00985C8D"/>
    <w:rsid w:val="00985FB8"/>
    <w:rsid w:val="009865F2"/>
    <w:rsid w:val="00986934"/>
    <w:rsid w:val="009873CF"/>
    <w:rsid w:val="00987638"/>
    <w:rsid w:val="00987E9C"/>
    <w:rsid w:val="009909FB"/>
    <w:rsid w:val="00990A28"/>
    <w:rsid w:val="00990AAE"/>
    <w:rsid w:val="00990C78"/>
    <w:rsid w:val="0099129C"/>
    <w:rsid w:val="009912FB"/>
    <w:rsid w:val="00991590"/>
    <w:rsid w:val="00991C1F"/>
    <w:rsid w:val="00991D1E"/>
    <w:rsid w:val="0099217A"/>
    <w:rsid w:val="0099384E"/>
    <w:rsid w:val="00993D7B"/>
    <w:rsid w:val="00994957"/>
    <w:rsid w:val="00994D69"/>
    <w:rsid w:val="00995B1D"/>
    <w:rsid w:val="00996658"/>
    <w:rsid w:val="00996A9C"/>
    <w:rsid w:val="00997182"/>
    <w:rsid w:val="00997D5D"/>
    <w:rsid w:val="009A0E1F"/>
    <w:rsid w:val="009A101A"/>
    <w:rsid w:val="009A2BD7"/>
    <w:rsid w:val="009A3044"/>
    <w:rsid w:val="009A39F5"/>
    <w:rsid w:val="009A3F42"/>
    <w:rsid w:val="009A4E90"/>
    <w:rsid w:val="009A5857"/>
    <w:rsid w:val="009A5CF6"/>
    <w:rsid w:val="009A63D4"/>
    <w:rsid w:val="009A6AAB"/>
    <w:rsid w:val="009A6DFF"/>
    <w:rsid w:val="009A7431"/>
    <w:rsid w:val="009B25B3"/>
    <w:rsid w:val="009B2727"/>
    <w:rsid w:val="009B3A0A"/>
    <w:rsid w:val="009B3E33"/>
    <w:rsid w:val="009B5400"/>
    <w:rsid w:val="009B5937"/>
    <w:rsid w:val="009B64CD"/>
    <w:rsid w:val="009B6945"/>
    <w:rsid w:val="009B7733"/>
    <w:rsid w:val="009B7920"/>
    <w:rsid w:val="009B7D8C"/>
    <w:rsid w:val="009C006E"/>
    <w:rsid w:val="009C0A5B"/>
    <w:rsid w:val="009C113E"/>
    <w:rsid w:val="009C232E"/>
    <w:rsid w:val="009C2965"/>
    <w:rsid w:val="009C2A95"/>
    <w:rsid w:val="009C2D5E"/>
    <w:rsid w:val="009C33F7"/>
    <w:rsid w:val="009C373A"/>
    <w:rsid w:val="009C58ED"/>
    <w:rsid w:val="009C5C98"/>
    <w:rsid w:val="009C6014"/>
    <w:rsid w:val="009C62D5"/>
    <w:rsid w:val="009C6704"/>
    <w:rsid w:val="009C73DF"/>
    <w:rsid w:val="009D0871"/>
    <w:rsid w:val="009D2702"/>
    <w:rsid w:val="009D2CF1"/>
    <w:rsid w:val="009D4AFC"/>
    <w:rsid w:val="009D52AC"/>
    <w:rsid w:val="009D5964"/>
    <w:rsid w:val="009D5967"/>
    <w:rsid w:val="009D626E"/>
    <w:rsid w:val="009D6918"/>
    <w:rsid w:val="009D6BE4"/>
    <w:rsid w:val="009D78AF"/>
    <w:rsid w:val="009E0626"/>
    <w:rsid w:val="009E0BD3"/>
    <w:rsid w:val="009E25B1"/>
    <w:rsid w:val="009E30FC"/>
    <w:rsid w:val="009E3256"/>
    <w:rsid w:val="009E348A"/>
    <w:rsid w:val="009E37A3"/>
    <w:rsid w:val="009E4F87"/>
    <w:rsid w:val="009E56E9"/>
    <w:rsid w:val="009F1248"/>
    <w:rsid w:val="009F17D7"/>
    <w:rsid w:val="009F2FC1"/>
    <w:rsid w:val="009F59DE"/>
    <w:rsid w:val="009F63C0"/>
    <w:rsid w:val="009F7028"/>
    <w:rsid w:val="009F752D"/>
    <w:rsid w:val="009F75E4"/>
    <w:rsid w:val="009F7AF2"/>
    <w:rsid w:val="00A01C7C"/>
    <w:rsid w:val="00A025D2"/>
    <w:rsid w:val="00A02E99"/>
    <w:rsid w:val="00A02ED0"/>
    <w:rsid w:val="00A03320"/>
    <w:rsid w:val="00A03C13"/>
    <w:rsid w:val="00A03DE0"/>
    <w:rsid w:val="00A055EB"/>
    <w:rsid w:val="00A05D25"/>
    <w:rsid w:val="00A061F2"/>
    <w:rsid w:val="00A06928"/>
    <w:rsid w:val="00A06EC3"/>
    <w:rsid w:val="00A06FE3"/>
    <w:rsid w:val="00A07006"/>
    <w:rsid w:val="00A071FB"/>
    <w:rsid w:val="00A07451"/>
    <w:rsid w:val="00A07680"/>
    <w:rsid w:val="00A10A99"/>
    <w:rsid w:val="00A1193D"/>
    <w:rsid w:val="00A11D5D"/>
    <w:rsid w:val="00A121BE"/>
    <w:rsid w:val="00A121DE"/>
    <w:rsid w:val="00A128AA"/>
    <w:rsid w:val="00A12917"/>
    <w:rsid w:val="00A1708F"/>
    <w:rsid w:val="00A17949"/>
    <w:rsid w:val="00A2036B"/>
    <w:rsid w:val="00A207F4"/>
    <w:rsid w:val="00A214A2"/>
    <w:rsid w:val="00A2189C"/>
    <w:rsid w:val="00A219F0"/>
    <w:rsid w:val="00A2373B"/>
    <w:rsid w:val="00A240B9"/>
    <w:rsid w:val="00A247E1"/>
    <w:rsid w:val="00A259FB"/>
    <w:rsid w:val="00A26482"/>
    <w:rsid w:val="00A26BE9"/>
    <w:rsid w:val="00A26DCB"/>
    <w:rsid w:val="00A26E9F"/>
    <w:rsid w:val="00A26FF6"/>
    <w:rsid w:val="00A2736D"/>
    <w:rsid w:val="00A306C0"/>
    <w:rsid w:val="00A3092E"/>
    <w:rsid w:val="00A34B51"/>
    <w:rsid w:val="00A35A30"/>
    <w:rsid w:val="00A3630D"/>
    <w:rsid w:val="00A379D5"/>
    <w:rsid w:val="00A40863"/>
    <w:rsid w:val="00A4121B"/>
    <w:rsid w:val="00A41EB1"/>
    <w:rsid w:val="00A425C2"/>
    <w:rsid w:val="00A42CDC"/>
    <w:rsid w:val="00A43896"/>
    <w:rsid w:val="00A43EE7"/>
    <w:rsid w:val="00A44D60"/>
    <w:rsid w:val="00A459FB"/>
    <w:rsid w:val="00A46250"/>
    <w:rsid w:val="00A46509"/>
    <w:rsid w:val="00A46885"/>
    <w:rsid w:val="00A47A50"/>
    <w:rsid w:val="00A47A5C"/>
    <w:rsid w:val="00A47BE8"/>
    <w:rsid w:val="00A50A80"/>
    <w:rsid w:val="00A51FDB"/>
    <w:rsid w:val="00A530FC"/>
    <w:rsid w:val="00A53307"/>
    <w:rsid w:val="00A54DFE"/>
    <w:rsid w:val="00A56C43"/>
    <w:rsid w:val="00A56F34"/>
    <w:rsid w:val="00A578FA"/>
    <w:rsid w:val="00A57A19"/>
    <w:rsid w:val="00A60650"/>
    <w:rsid w:val="00A607D6"/>
    <w:rsid w:val="00A60C8A"/>
    <w:rsid w:val="00A6139E"/>
    <w:rsid w:val="00A636C1"/>
    <w:rsid w:val="00A637AB"/>
    <w:rsid w:val="00A63862"/>
    <w:rsid w:val="00A64375"/>
    <w:rsid w:val="00A646E0"/>
    <w:rsid w:val="00A64BBF"/>
    <w:rsid w:val="00A64E66"/>
    <w:rsid w:val="00A66633"/>
    <w:rsid w:val="00A66883"/>
    <w:rsid w:val="00A66D1A"/>
    <w:rsid w:val="00A66EFA"/>
    <w:rsid w:val="00A672AD"/>
    <w:rsid w:val="00A67709"/>
    <w:rsid w:val="00A678D2"/>
    <w:rsid w:val="00A67ADC"/>
    <w:rsid w:val="00A706F8"/>
    <w:rsid w:val="00A70716"/>
    <w:rsid w:val="00A7095B"/>
    <w:rsid w:val="00A70CA2"/>
    <w:rsid w:val="00A725D7"/>
    <w:rsid w:val="00A726BA"/>
    <w:rsid w:val="00A72C20"/>
    <w:rsid w:val="00A74103"/>
    <w:rsid w:val="00A7527D"/>
    <w:rsid w:val="00A7586A"/>
    <w:rsid w:val="00A758CC"/>
    <w:rsid w:val="00A77134"/>
    <w:rsid w:val="00A77145"/>
    <w:rsid w:val="00A77BF0"/>
    <w:rsid w:val="00A801D0"/>
    <w:rsid w:val="00A80E40"/>
    <w:rsid w:val="00A816DC"/>
    <w:rsid w:val="00A81FAC"/>
    <w:rsid w:val="00A83510"/>
    <w:rsid w:val="00A835AB"/>
    <w:rsid w:val="00A8387F"/>
    <w:rsid w:val="00A83BD7"/>
    <w:rsid w:val="00A840B8"/>
    <w:rsid w:val="00A84B3C"/>
    <w:rsid w:val="00A85587"/>
    <w:rsid w:val="00A8563B"/>
    <w:rsid w:val="00A85F29"/>
    <w:rsid w:val="00A863C6"/>
    <w:rsid w:val="00A86773"/>
    <w:rsid w:val="00A86B02"/>
    <w:rsid w:val="00A8710A"/>
    <w:rsid w:val="00A874D0"/>
    <w:rsid w:val="00A87C5C"/>
    <w:rsid w:val="00A905DF"/>
    <w:rsid w:val="00A9141B"/>
    <w:rsid w:val="00A91F88"/>
    <w:rsid w:val="00A93E32"/>
    <w:rsid w:val="00A94E3A"/>
    <w:rsid w:val="00A94F3A"/>
    <w:rsid w:val="00A961B2"/>
    <w:rsid w:val="00A961B7"/>
    <w:rsid w:val="00A9640D"/>
    <w:rsid w:val="00A96E73"/>
    <w:rsid w:val="00A9776D"/>
    <w:rsid w:val="00A978E2"/>
    <w:rsid w:val="00A97D91"/>
    <w:rsid w:val="00AA06D6"/>
    <w:rsid w:val="00AA1AEE"/>
    <w:rsid w:val="00AA2B7E"/>
    <w:rsid w:val="00AA2D01"/>
    <w:rsid w:val="00AA3658"/>
    <w:rsid w:val="00AA3B1D"/>
    <w:rsid w:val="00AA4E24"/>
    <w:rsid w:val="00AA57E7"/>
    <w:rsid w:val="00AA65BA"/>
    <w:rsid w:val="00AA6A22"/>
    <w:rsid w:val="00AA78EC"/>
    <w:rsid w:val="00AB1846"/>
    <w:rsid w:val="00AB2D29"/>
    <w:rsid w:val="00AB2E4F"/>
    <w:rsid w:val="00AB31F7"/>
    <w:rsid w:val="00AB3D4B"/>
    <w:rsid w:val="00AB4297"/>
    <w:rsid w:val="00AB46EE"/>
    <w:rsid w:val="00AB4BB1"/>
    <w:rsid w:val="00AB5564"/>
    <w:rsid w:val="00AB658B"/>
    <w:rsid w:val="00AB66BB"/>
    <w:rsid w:val="00AB682E"/>
    <w:rsid w:val="00AC022B"/>
    <w:rsid w:val="00AC0663"/>
    <w:rsid w:val="00AC07A4"/>
    <w:rsid w:val="00AC192E"/>
    <w:rsid w:val="00AC1D7F"/>
    <w:rsid w:val="00AC20F2"/>
    <w:rsid w:val="00AC30BD"/>
    <w:rsid w:val="00AC3BEA"/>
    <w:rsid w:val="00AC5595"/>
    <w:rsid w:val="00AC5966"/>
    <w:rsid w:val="00AC5AF6"/>
    <w:rsid w:val="00AC5F45"/>
    <w:rsid w:val="00AC6122"/>
    <w:rsid w:val="00AC6B53"/>
    <w:rsid w:val="00AC6D92"/>
    <w:rsid w:val="00AC7356"/>
    <w:rsid w:val="00AC7DC3"/>
    <w:rsid w:val="00AD05AD"/>
    <w:rsid w:val="00AD087F"/>
    <w:rsid w:val="00AD0A3E"/>
    <w:rsid w:val="00AD125A"/>
    <w:rsid w:val="00AD1CB0"/>
    <w:rsid w:val="00AD3517"/>
    <w:rsid w:val="00AD4A2C"/>
    <w:rsid w:val="00AD540B"/>
    <w:rsid w:val="00AD6E35"/>
    <w:rsid w:val="00AD787A"/>
    <w:rsid w:val="00AE01EB"/>
    <w:rsid w:val="00AE2509"/>
    <w:rsid w:val="00AE25AE"/>
    <w:rsid w:val="00AE31B1"/>
    <w:rsid w:val="00AE3E43"/>
    <w:rsid w:val="00AE4B83"/>
    <w:rsid w:val="00AE4C08"/>
    <w:rsid w:val="00AE4D49"/>
    <w:rsid w:val="00AE4DFC"/>
    <w:rsid w:val="00AE58EB"/>
    <w:rsid w:val="00AE5D85"/>
    <w:rsid w:val="00AE6796"/>
    <w:rsid w:val="00AE6AAA"/>
    <w:rsid w:val="00AE6B19"/>
    <w:rsid w:val="00AE6E3B"/>
    <w:rsid w:val="00AE7E6B"/>
    <w:rsid w:val="00AF0043"/>
    <w:rsid w:val="00AF14A3"/>
    <w:rsid w:val="00AF208A"/>
    <w:rsid w:val="00AF252F"/>
    <w:rsid w:val="00AF2B2F"/>
    <w:rsid w:val="00AF304A"/>
    <w:rsid w:val="00AF3127"/>
    <w:rsid w:val="00AF3DBA"/>
    <w:rsid w:val="00AF40F9"/>
    <w:rsid w:val="00AF416A"/>
    <w:rsid w:val="00AF434D"/>
    <w:rsid w:val="00AF4535"/>
    <w:rsid w:val="00AF46F2"/>
    <w:rsid w:val="00AF5943"/>
    <w:rsid w:val="00AF5C69"/>
    <w:rsid w:val="00AF5E0B"/>
    <w:rsid w:val="00AF6160"/>
    <w:rsid w:val="00AF757F"/>
    <w:rsid w:val="00AF7E50"/>
    <w:rsid w:val="00AF7E63"/>
    <w:rsid w:val="00B012C4"/>
    <w:rsid w:val="00B02174"/>
    <w:rsid w:val="00B02EE3"/>
    <w:rsid w:val="00B02F9B"/>
    <w:rsid w:val="00B03703"/>
    <w:rsid w:val="00B03913"/>
    <w:rsid w:val="00B03A41"/>
    <w:rsid w:val="00B04B57"/>
    <w:rsid w:val="00B04F61"/>
    <w:rsid w:val="00B0518D"/>
    <w:rsid w:val="00B059BA"/>
    <w:rsid w:val="00B05A89"/>
    <w:rsid w:val="00B05BA3"/>
    <w:rsid w:val="00B05EA6"/>
    <w:rsid w:val="00B0650C"/>
    <w:rsid w:val="00B07D11"/>
    <w:rsid w:val="00B07E5E"/>
    <w:rsid w:val="00B100D4"/>
    <w:rsid w:val="00B1099A"/>
    <w:rsid w:val="00B10C85"/>
    <w:rsid w:val="00B10F58"/>
    <w:rsid w:val="00B11EC7"/>
    <w:rsid w:val="00B125AA"/>
    <w:rsid w:val="00B12B10"/>
    <w:rsid w:val="00B13C66"/>
    <w:rsid w:val="00B141D4"/>
    <w:rsid w:val="00B1452C"/>
    <w:rsid w:val="00B14937"/>
    <w:rsid w:val="00B149DF"/>
    <w:rsid w:val="00B14F2C"/>
    <w:rsid w:val="00B151D6"/>
    <w:rsid w:val="00B171E7"/>
    <w:rsid w:val="00B178F7"/>
    <w:rsid w:val="00B20BF7"/>
    <w:rsid w:val="00B2166D"/>
    <w:rsid w:val="00B22515"/>
    <w:rsid w:val="00B234D7"/>
    <w:rsid w:val="00B235FA"/>
    <w:rsid w:val="00B23C22"/>
    <w:rsid w:val="00B247F5"/>
    <w:rsid w:val="00B26065"/>
    <w:rsid w:val="00B260EC"/>
    <w:rsid w:val="00B26228"/>
    <w:rsid w:val="00B26661"/>
    <w:rsid w:val="00B33566"/>
    <w:rsid w:val="00B342D2"/>
    <w:rsid w:val="00B34788"/>
    <w:rsid w:val="00B347EF"/>
    <w:rsid w:val="00B34FF7"/>
    <w:rsid w:val="00B35D1F"/>
    <w:rsid w:val="00B37BBB"/>
    <w:rsid w:val="00B37EDE"/>
    <w:rsid w:val="00B40361"/>
    <w:rsid w:val="00B40448"/>
    <w:rsid w:val="00B40B33"/>
    <w:rsid w:val="00B412FC"/>
    <w:rsid w:val="00B41315"/>
    <w:rsid w:val="00B42F11"/>
    <w:rsid w:val="00B43063"/>
    <w:rsid w:val="00B43869"/>
    <w:rsid w:val="00B44A4B"/>
    <w:rsid w:val="00B44CFF"/>
    <w:rsid w:val="00B45161"/>
    <w:rsid w:val="00B47919"/>
    <w:rsid w:val="00B47E8C"/>
    <w:rsid w:val="00B503E2"/>
    <w:rsid w:val="00B50DB6"/>
    <w:rsid w:val="00B50DF5"/>
    <w:rsid w:val="00B51999"/>
    <w:rsid w:val="00B51C7A"/>
    <w:rsid w:val="00B52211"/>
    <w:rsid w:val="00B52802"/>
    <w:rsid w:val="00B52C2B"/>
    <w:rsid w:val="00B52DD9"/>
    <w:rsid w:val="00B55CFB"/>
    <w:rsid w:val="00B55FD7"/>
    <w:rsid w:val="00B569E4"/>
    <w:rsid w:val="00B56D5D"/>
    <w:rsid w:val="00B57517"/>
    <w:rsid w:val="00B60189"/>
    <w:rsid w:val="00B60A86"/>
    <w:rsid w:val="00B60BD3"/>
    <w:rsid w:val="00B6101A"/>
    <w:rsid w:val="00B622C7"/>
    <w:rsid w:val="00B64D11"/>
    <w:rsid w:val="00B652AB"/>
    <w:rsid w:val="00B663F3"/>
    <w:rsid w:val="00B6690E"/>
    <w:rsid w:val="00B66D93"/>
    <w:rsid w:val="00B679D4"/>
    <w:rsid w:val="00B70C10"/>
    <w:rsid w:val="00B72EA4"/>
    <w:rsid w:val="00B733EB"/>
    <w:rsid w:val="00B75A86"/>
    <w:rsid w:val="00B75C0C"/>
    <w:rsid w:val="00B768D5"/>
    <w:rsid w:val="00B7772D"/>
    <w:rsid w:val="00B80C04"/>
    <w:rsid w:val="00B8144C"/>
    <w:rsid w:val="00B8152E"/>
    <w:rsid w:val="00B8178B"/>
    <w:rsid w:val="00B81AAD"/>
    <w:rsid w:val="00B8217E"/>
    <w:rsid w:val="00B82E05"/>
    <w:rsid w:val="00B858AD"/>
    <w:rsid w:val="00B87DEC"/>
    <w:rsid w:val="00B90ED1"/>
    <w:rsid w:val="00B913D3"/>
    <w:rsid w:val="00B92BCB"/>
    <w:rsid w:val="00B92E8C"/>
    <w:rsid w:val="00B933B6"/>
    <w:rsid w:val="00B93EB9"/>
    <w:rsid w:val="00B95216"/>
    <w:rsid w:val="00B95390"/>
    <w:rsid w:val="00B953CE"/>
    <w:rsid w:val="00B95E5E"/>
    <w:rsid w:val="00B9643A"/>
    <w:rsid w:val="00B96DD3"/>
    <w:rsid w:val="00B96F72"/>
    <w:rsid w:val="00BA04FD"/>
    <w:rsid w:val="00BA09EC"/>
    <w:rsid w:val="00BA0FCD"/>
    <w:rsid w:val="00BA241D"/>
    <w:rsid w:val="00BA254B"/>
    <w:rsid w:val="00BA295F"/>
    <w:rsid w:val="00BA2D1A"/>
    <w:rsid w:val="00BA3092"/>
    <w:rsid w:val="00BA30D2"/>
    <w:rsid w:val="00BA390D"/>
    <w:rsid w:val="00BA44E8"/>
    <w:rsid w:val="00BA4CA5"/>
    <w:rsid w:val="00BA56C3"/>
    <w:rsid w:val="00BA5C50"/>
    <w:rsid w:val="00BA62CC"/>
    <w:rsid w:val="00BA7CC9"/>
    <w:rsid w:val="00BA7EDC"/>
    <w:rsid w:val="00BB0C08"/>
    <w:rsid w:val="00BB0CF4"/>
    <w:rsid w:val="00BB0E46"/>
    <w:rsid w:val="00BB1671"/>
    <w:rsid w:val="00BB17E1"/>
    <w:rsid w:val="00BB2AA9"/>
    <w:rsid w:val="00BB3402"/>
    <w:rsid w:val="00BB36F6"/>
    <w:rsid w:val="00BB3916"/>
    <w:rsid w:val="00BB3A43"/>
    <w:rsid w:val="00BB52BD"/>
    <w:rsid w:val="00BB5416"/>
    <w:rsid w:val="00BB54AB"/>
    <w:rsid w:val="00BB5A36"/>
    <w:rsid w:val="00BB5CFE"/>
    <w:rsid w:val="00BB6318"/>
    <w:rsid w:val="00BB69D7"/>
    <w:rsid w:val="00BB6D95"/>
    <w:rsid w:val="00BC0D35"/>
    <w:rsid w:val="00BC26C4"/>
    <w:rsid w:val="00BC26D2"/>
    <w:rsid w:val="00BC2B38"/>
    <w:rsid w:val="00BC2D83"/>
    <w:rsid w:val="00BC5C0E"/>
    <w:rsid w:val="00BC63D6"/>
    <w:rsid w:val="00BC6C44"/>
    <w:rsid w:val="00BC7001"/>
    <w:rsid w:val="00BD099A"/>
    <w:rsid w:val="00BD0A6F"/>
    <w:rsid w:val="00BD141D"/>
    <w:rsid w:val="00BD14BB"/>
    <w:rsid w:val="00BD1D23"/>
    <w:rsid w:val="00BD34F7"/>
    <w:rsid w:val="00BD57D2"/>
    <w:rsid w:val="00BD5CBC"/>
    <w:rsid w:val="00BD604B"/>
    <w:rsid w:val="00BD6387"/>
    <w:rsid w:val="00BD6627"/>
    <w:rsid w:val="00BD6ACB"/>
    <w:rsid w:val="00BD736D"/>
    <w:rsid w:val="00BD7D2D"/>
    <w:rsid w:val="00BD7FF4"/>
    <w:rsid w:val="00BE0245"/>
    <w:rsid w:val="00BE0508"/>
    <w:rsid w:val="00BE134B"/>
    <w:rsid w:val="00BE1A5C"/>
    <w:rsid w:val="00BE1A93"/>
    <w:rsid w:val="00BE2152"/>
    <w:rsid w:val="00BE2C43"/>
    <w:rsid w:val="00BE2F73"/>
    <w:rsid w:val="00BE2F95"/>
    <w:rsid w:val="00BE334A"/>
    <w:rsid w:val="00BE379E"/>
    <w:rsid w:val="00BE5395"/>
    <w:rsid w:val="00BE642D"/>
    <w:rsid w:val="00BE663B"/>
    <w:rsid w:val="00BE6792"/>
    <w:rsid w:val="00BE67A2"/>
    <w:rsid w:val="00BE6F41"/>
    <w:rsid w:val="00BE6FCC"/>
    <w:rsid w:val="00BE7212"/>
    <w:rsid w:val="00BE7570"/>
    <w:rsid w:val="00BF0595"/>
    <w:rsid w:val="00BF0C98"/>
    <w:rsid w:val="00BF2EB7"/>
    <w:rsid w:val="00BF2FD0"/>
    <w:rsid w:val="00BF3085"/>
    <w:rsid w:val="00BF340B"/>
    <w:rsid w:val="00BF5F75"/>
    <w:rsid w:val="00BF5FB7"/>
    <w:rsid w:val="00BF66F8"/>
    <w:rsid w:val="00BF76DA"/>
    <w:rsid w:val="00C0055F"/>
    <w:rsid w:val="00C00D1D"/>
    <w:rsid w:val="00C01931"/>
    <w:rsid w:val="00C01CEB"/>
    <w:rsid w:val="00C01D76"/>
    <w:rsid w:val="00C028BE"/>
    <w:rsid w:val="00C03ACE"/>
    <w:rsid w:val="00C04753"/>
    <w:rsid w:val="00C06972"/>
    <w:rsid w:val="00C06C50"/>
    <w:rsid w:val="00C06D55"/>
    <w:rsid w:val="00C072F5"/>
    <w:rsid w:val="00C073B1"/>
    <w:rsid w:val="00C12C91"/>
    <w:rsid w:val="00C1355C"/>
    <w:rsid w:val="00C14376"/>
    <w:rsid w:val="00C1535E"/>
    <w:rsid w:val="00C15BA7"/>
    <w:rsid w:val="00C1790F"/>
    <w:rsid w:val="00C17B71"/>
    <w:rsid w:val="00C20DAE"/>
    <w:rsid w:val="00C2115F"/>
    <w:rsid w:val="00C2140C"/>
    <w:rsid w:val="00C2250E"/>
    <w:rsid w:val="00C22E2A"/>
    <w:rsid w:val="00C23B54"/>
    <w:rsid w:val="00C23F16"/>
    <w:rsid w:val="00C24C0F"/>
    <w:rsid w:val="00C25E0F"/>
    <w:rsid w:val="00C25FED"/>
    <w:rsid w:val="00C26119"/>
    <w:rsid w:val="00C2623E"/>
    <w:rsid w:val="00C26782"/>
    <w:rsid w:val="00C30035"/>
    <w:rsid w:val="00C3139B"/>
    <w:rsid w:val="00C32012"/>
    <w:rsid w:val="00C325F7"/>
    <w:rsid w:val="00C32871"/>
    <w:rsid w:val="00C329A0"/>
    <w:rsid w:val="00C3322B"/>
    <w:rsid w:val="00C33363"/>
    <w:rsid w:val="00C334D4"/>
    <w:rsid w:val="00C3464A"/>
    <w:rsid w:val="00C35DCE"/>
    <w:rsid w:val="00C35F67"/>
    <w:rsid w:val="00C3647A"/>
    <w:rsid w:val="00C369C4"/>
    <w:rsid w:val="00C36B0C"/>
    <w:rsid w:val="00C40172"/>
    <w:rsid w:val="00C414B2"/>
    <w:rsid w:val="00C4184A"/>
    <w:rsid w:val="00C42FBF"/>
    <w:rsid w:val="00C43126"/>
    <w:rsid w:val="00C43940"/>
    <w:rsid w:val="00C43DFF"/>
    <w:rsid w:val="00C43EEB"/>
    <w:rsid w:val="00C446E5"/>
    <w:rsid w:val="00C45158"/>
    <w:rsid w:val="00C45691"/>
    <w:rsid w:val="00C46A38"/>
    <w:rsid w:val="00C472A9"/>
    <w:rsid w:val="00C476B9"/>
    <w:rsid w:val="00C47C09"/>
    <w:rsid w:val="00C5114A"/>
    <w:rsid w:val="00C51EF8"/>
    <w:rsid w:val="00C524DA"/>
    <w:rsid w:val="00C52665"/>
    <w:rsid w:val="00C53806"/>
    <w:rsid w:val="00C543CA"/>
    <w:rsid w:val="00C5488E"/>
    <w:rsid w:val="00C554B9"/>
    <w:rsid w:val="00C56C92"/>
    <w:rsid w:val="00C57296"/>
    <w:rsid w:val="00C5741E"/>
    <w:rsid w:val="00C57A49"/>
    <w:rsid w:val="00C61FC1"/>
    <w:rsid w:val="00C62832"/>
    <w:rsid w:val="00C62AB1"/>
    <w:rsid w:val="00C63749"/>
    <w:rsid w:val="00C63EE5"/>
    <w:rsid w:val="00C64675"/>
    <w:rsid w:val="00C65240"/>
    <w:rsid w:val="00C65BBD"/>
    <w:rsid w:val="00C6743B"/>
    <w:rsid w:val="00C70EB9"/>
    <w:rsid w:val="00C71BFC"/>
    <w:rsid w:val="00C720BD"/>
    <w:rsid w:val="00C724BE"/>
    <w:rsid w:val="00C72820"/>
    <w:rsid w:val="00C73D15"/>
    <w:rsid w:val="00C73EAE"/>
    <w:rsid w:val="00C74366"/>
    <w:rsid w:val="00C7637E"/>
    <w:rsid w:val="00C76CE2"/>
    <w:rsid w:val="00C76EFC"/>
    <w:rsid w:val="00C770F0"/>
    <w:rsid w:val="00C773A9"/>
    <w:rsid w:val="00C81199"/>
    <w:rsid w:val="00C82303"/>
    <w:rsid w:val="00C82B1A"/>
    <w:rsid w:val="00C833AB"/>
    <w:rsid w:val="00C839B5"/>
    <w:rsid w:val="00C849FA"/>
    <w:rsid w:val="00C84FE5"/>
    <w:rsid w:val="00C8563E"/>
    <w:rsid w:val="00C856F4"/>
    <w:rsid w:val="00C8682F"/>
    <w:rsid w:val="00C86911"/>
    <w:rsid w:val="00C86F7B"/>
    <w:rsid w:val="00C90007"/>
    <w:rsid w:val="00C90087"/>
    <w:rsid w:val="00C90551"/>
    <w:rsid w:val="00C9092D"/>
    <w:rsid w:val="00C910CC"/>
    <w:rsid w:val="00C910CE"/>
    <w:rsid w:val="00C91AF6"/>
    <w:rsid w:val="00C91B85"/>
    <w:rsid w:val="00C91D1A"/>
    <w:rsid w:val="00C921E5"/>
    <w:rsid w:val="00C9263A"/>
    <w:rsid w:val="00C92A8C"/>
    <w:rsid w:val="00C92E0C"/>
    <w:rsid w:val="00C93CC2"/>
    <w:rsid w:val="00C94BF3"/>
    <w:rsid w:val="00C9554E"/>
    <w:rsid w:val="00C9573F"/>
    <w:rsid w:val="00C96127"/>
    <w:rsid w:val="00C96924"/>
    <w:rsid w:val="00C9710D"/>
    <w:rsid w:val="00C97188"/>
    <w:rsid w:val="00C97F64"/>
    <w:rsid w:val="00CA04FF"/>
    <w:rsid w:val="00CA0ACF"/>
    <w:rsid w:val="00CA0DD7"/>
    <w:rsid w:val="00CA1BA2"/>
    <w:rsid w:val="00CA1EF6"/>
    <w:rsid w:val="00CA1FDB"/>
    <w:rsid w:val="00CA239D"/>
    <w:rsid w:val="00CA359B"/>
    <w:rsid w:val="00CA36A4"/>
    <w:rsid w:val="00CA5137"/>
    <w:rsid w:val="00CA555D"/>
    <w:rsid w:val="00CA5856"/>
    <w:rsid w:val="00CA67E4"/>
    <w:rsid w:val="00CA7038"/>
    <w:rsid w:val="00CA73C3"/>
    <w:rsid w:val="00CA795E"/>
    <w:rsid w:val="00CA7F82"/>
    <w:rsid w:val="00CB158D"/>
    <w:rsid w:val="00CB168A"/>
    <w:rsid w:val="00CB2246"/>
    <w:rsid w:val="00CB2A98"/>
    <w:rsid w:val="00CB3C07"/>
    <w:rsid w:val="00CB3CAC"/>
    <w:rsid w:val="00CB400B"/>
    <w:rsid w:val="00CB4C6D"/>
    <w:rsid w:val="00CB4EB3"/>
    <w:rsid w:val="00CB4F70"/>
    <w:rsid w:val="00CB500C"/>
    <w:rsid w:val="00CB5FD6"/>
    <w:rsid w:val="00CB68D0"/>
    <w:rsid w:val="00CB6A08"/>
    <w:rsid w:val="00CB6FB8"/>
    <w:rsid w:val="00CB71BC"/>
    <w:rsid w:val="00CC13A2"/>
    <w:rsid w:val="00CC1E86"/>
    <w:rsid w:val="00CC29E1"/>
    <w:rsid w:val="00CC4479"/>
    <w:rsid w:val="00CC4714"/>
    <w:rsid w:val="00CC4EE7"/>
    <w:rsid w:val="00CC5BC4"/>
    <w:rsid w:val="00CC70C2"/>
    <w:rsid w:val="00CC7621"/>
    <w:rsid w:val="00CC7B43"/>
    <w:rsid w:val="00CD2115"/>
    <w:rsid w:val="00CD23A8"/>
    <w:rsid w:val="00CD2863"/>
    <w:rsid w:val="00CD2EB3"/>
    <w:rsid w:val="00CD3748"/>
    <w:rsid w:val="00CD3C74"/>
    <w:rsid w:val="00CD550F"/>
    <w:rsid w:val="00CD5CC0"/>
    <w:rsid w:val="00CD62E2"/>
    <w:rsid w:val="00CD6339"/>
    <w:rsid w:val="00CD63BC"/>
    <w:rsid w:val="00CD66BE"/>
    <w:rsid w:val="00CD6FC6"/>
    <w:rsid w:val="00CD7250"/>
    <w:rsid w:val="00CE0983"/>
    <w:rsid w:val="00CE0CE0"/>
    <w:rsid w:val="00CE1568"/>
    <w:rsid w:val="00CE187D"/>
    <w:rsid w:val="00CE2673"/>
    <w:rsid w:val="00CE343A"/>
    <w:rsid w:val="00CE44F0"/>
    <w:rsid w:val="00CE557C"/>
    <w:rsid w:val="00CE60A3"/>
    <w:rsid w:val="00CE7429"/>
    <w:rsid w:val="00CF0875"/>
    <w:rsid w:val="00CF1508"/>
    <w:rsid w:val="00CF3C14"/>
    <w:rsid w:val="00CF3E57"/>
    <w:rsid w:val="00CF45D7"/>
    <w:rsid w:val="00CF513E"/>
    <w:rsid w:val="00CF5678"/>
    <w:rsid w:val="00CF5985"/>
    <w:rsid w:val="00CF60B7"/>
    <w:rsid w:val="00CF63EF"/>
    <w:rsid w:val="00CF64F0"/>
    <w:rsid w:val="00CF6E57"/>
    <w:rsid w:val="00D0064D"/>
    <w:rsid w:val="00D029C8"/>
    <w:rsid w:val="00D02C0E"/>
    <w:rsid w:val="00D038B5"/>
    <w:rsid w:val="00D05003"/>
    <w:rsid w:val="00D0588E"/>
    <w:rsid w:val="00D067E1"/>
    <w:rsid w:val="00D070C7"/>
    <w:rsid w:val="00D0753B"/>
    <w:rsid w:val="00D10480"/>
    <w:rsid w:val="00D108EA"/>
    <w:rsid w:val="00D1093B"/>
    <w:rsid w:val="00D125BB"/>
    <w:rsid w:val="00D12994"/>
    <w:rsid w:val="00D12B95"/>
    <w:rsid w:val="00D1304A"/>
    <w:rsid w:val="00D130C1"/>
    <w:rsid w:val="00D13168"/>
    <w:rsid w:val="00D143C3"/>
    <w:rsid w:val="00D148E5"/>
    <w:rsid w:val="00D17952"/>
    <w:rsid w:val="00D17DF9"/>
    <w:rsid w:val="00D205C6"/>
    <w:rsid w:val="00D207A7"/>
    <w:rsid w:val="00D21501"/>
    <w:rsid w:val="00D22449"/>
    <w:rsid w:val="00D2321B"/>
    <w:rsid w:val="00D235F5"/>
    <w:rsid w:val="00D23B5A"/>
    <w:rsid w:val="00D25065"/>
    <w:rsid w:val="00D26E2A"/>
    <w:rsid w:val="00D272DE"/>
    <w:rsid w:val="00D27928"/>
    <w:rsid w:val="00D30481"/>
    <w:rsid w:val="00D312A8"/>
    <w:rsid w:val="00D31715"/>
    <w:rsid w:val="00D31759"/>
    <w:rsid w:val="00D31C4F"/>
    <w:rsid w:val="00D32EBC"/>
    <w:rsid w:val="00D34977"/>
    <w:rsid w:val="00D34B16"/>
    <w:rsid w:val="00D34D39"/>
    <w:rsid w:val="00D3517D"/>
    <w:rsid w:val="00D35B27"/>
    <w:rsid w:val="00D35F34"/>
    <w:rsid w:val="00D35F44"/>
    <w:rsid w:val="00D3645A"/>
    <w:rsid w:val="00D40657"/>
    <w:rsid w:val="00D4112F"/>
    <w:rsid w:val="00D418C6"/>
    <w:rsid w:val="00D44AD2"/>
    <w:rsid w:val="00D44E5C"/>
    <w:rsid w:val="00D452E4"/>
    <w:rsid w:val="00D45D90"/>
    <w:rsid w:val="00D4663E"/>
    <w:rsid w:val="00D474C3"/>
    <w:rsid w:val="00D47B5D"/>
    <w:rsid w:val="00D47C47"/>
    <w:rsid w:val="00D5034E"/>
    <w:rsid w:val="00D50C60"/>
    <w:rsid w:val="00D51ABE"/>
    <w:rsid w:val="00D531E5"/>
    <w:rsid w:val="00D53938"/>
    <w:rsid w:val="00D54804"/>
    <w:rsid w:val="00D552B7"/>
    <w:rsid w:val="00D554FB"/>
    <w:rsid w:val="00D56443"/>
    <w:rsid w:val="00D57112"/>
    <w:rsid w:val="00D57345"/>
    <w:rsid w:val="00D5759E"/>
    <w:rsid w:val="00D57A24"/>
    <w:rsid w:val="00D57CB9"/>
    <w:rsid w:val="00D611A8"/>
    <w:rsid w:val="00D6151E"/>
    <w:rsid w:val="00D61F62"/>
    <w:rsid w:val="00D62568"/>
    <w:rsid w:val="00D638F3"/>
    <w:rsid w:val="00D65982"/>
    <w:rsid w:val="00D65B50"/>
    <w:rsid w:val="00D66832"/>
    <w:rsid w:val="00D66B54"/>
    <w:rsid w:val="00D70915"/>
    <w:rsid w:val="00D70AAC"/>
    <w:rsid w:val="00D72193"/>
    <w:rsid w:val="00D721B8"/>
    <w:rsid w:val="00D722B1"/>
    <w:rsid w:val="00D72774"/>
    <w:rsid w:val="00D73094"/>
    <w:rsid w:val="00D732B3"/>
    <w:rsid w:val="00D738B7"/>
    <w:rsid w:val="00D73F1C"/>
    <w:rsid w:val="00D74304"/>
    <w:rsid w:val="00D74B6A"/>
    <w:rsid w:val="00D74C02"/>
    <w:rsid w:val="00D75150"/>
    <w:rsid w:val="00D75F15"/>
    <w:rsid w:val="00D762DE"/>
    <w:rsid w:val="00D810EA"/>
    <w:rsid w:val="00D81232"/>
    <w:rsid w:val="00D8168A"/>
    <w:rsid w:val="00D81839"/>
    <w:rsid w:val="00D82D22"/>
    <w:rsid w:val="00D84593"/>
    <w:rsid w:val="00D859E1"/>
    <w:rsid w:val="00D862A1"/>
    <w:rsid w:val="00D86438"/>
    <w:rsid w:val="00D864B0"/>
    <w:rsid w:val="00D869C9"/>
    <w:rsid w:val="00D86D9E"/>
    <w:rsid w:val="00D874E5"/>
    <w:rsid w:val="00D87B88"/>
    <w:rsid w:val="00D87CC2"/>
    <w:rsid w:val="00D9003B"/>
    <w:rsid w:val="00D90196"/>
    <w:rsid w:val="00D90E98"/>
    <w:rsid w:val="00D912A6"/>
    <w:rsid w:val="00D92447"/>
    <w:rsid w:val="00D929D0"/>
    <w:rsid w:val="00D9302C"/>
    <w:rsid w:val="00D936DC"/>
    <w:rsid w:val="00D957F2"/>
    <w:rsid w:val="00D97E28"/>
    <w:rsid w:val="00DA012D"/>
    <w:rsid w:val="00DA1A01"/>
    <w:rsid w:val="00DA2DED"/>
    <w:rsid w:val="00DA3093"/>
    <w:rsid w:val="00DA3252"/>
    <w:rsid w:val="00DA34DD"/>
    <w:rsid w:val="00DA3B71"/>
    <w:rsid w:val="00DA3EA2"/>
    <w:rsid w:val="00DA5843"/>
    <w:rsid w:val="00DA594D"/>
    <w:rsid w:val="00DA5F46"/>
    <w:rsid w:val="00DA70D4"/>
    <w:rsid w:val="00DA77C9"/>
    <w:rsid w:val="00DB0D74"/>
    <w:rsid w:val="00DB2C24"/>
    <w:rsid w:val="00DB39EB"/>
    <w:rsid w:val="00DB4C6D"/>
    <w:rsid w:val="00DB4E22"/>
    <w:rsid w:val="00DB5351"/>
    <w:rsid w:val="00DB559C"/>
    <w:rsid w:val="00DB578E"/>
    <w:rsid w:val="00DB579B"/>
    <w:rsid w:val="00DB588D"/>
    <w:rsid w:val="00DB72F1"/>
    <w:rsid w:val="00DC0C2D"/>
    <w:rsid w:val="00DC0E4A"/>
    <w:rsid w:val="00DC11E8"/>
    <w:rsid w:val="00DC16AA"/>
    <w:rsid w:val="00DC21C8"/>
    <w:rsid w:val="00DC290B"/>
    <w:rsid w:val="00DC3BB6"/>
    <w:rsid w:val="00DC48B8"/>
    <w:rsid w:val="00DC5606"/>
    <w:rsid w:val="00DC592D"/>
    <w:rsid w:val="00DC594A"/>
    <w:rsid w:val="00DC612D"/>
    <w:rsid w:val="00DC6265"/>
    <w:rsid w:val="00DC6D2E"/>
    <w:rsid w:val="00DC7577"/>
    <w:rsid w:val="00DD05C0"/>
    <w:rsid w:val="00DD18B7"/>
    <w:rsid w:val="00DD3788"/>
    <w:rsid w:val="00DD3AFC"/>
    <w:rsid w:val="00DD3BB8"/>
    <w:rsid w:val="00DD4E7F"/>
    <w:rsid w:val="00DD51FF"/>
    <w:rsid w:val="00DD55D1"/>
    <w:rsid w:val="00DD568F"/>
    <w:rsid w:val="00DD5DF3"/>
    <w:rsid w:val="00DD63A4"/>
    <w:rsid w:val="00DD6B3F"/>
    <w:rsid w:val="00DD6D7A"/>
    <w:rsid w:val="00DD6ED5"/>
    <w:rsid w:val="00DD7F0E"/>
    <w:rsid w:val="00DE1136"/>
    <w:rsid w:val="00DE136A"/>
    <w:rsid w:val="00DE197D"/>
    <w:rsid w:val="00DE1DD9"/>
    <w:rsid w:val="00DE3D0D"/>
    <w:rsid w:val="00DE52D4"/>
    <w:rsid w:val="00DE6054"/>
    <w:rsid w:val="00DE6209"/>
    <w:rsid w:val="00DE6688"/>
    <w:rsid w:val="00DE6BE4"/>
    <w:rsid w:val="00DE6C32"/>
    <w:rsid w:val="00DE7D23"/>
    <w:rsid w:val="00DF0092"/>
    <w:rsid w:val="00DF1BEC"/>
    <w:rsid w:val="00DF1E57"/>
    <w:rsid w:val="00DF1FFE"/>
    <w:rsid w:val="00DF21E9"/>
    <w:rsid w:val="00DF2C8D"/>
    <w:rsid w:val="00DF329A"/>
    <w:rsid w:val="00DF4173"/>
    <w:rsid w:val="00DF44EF"/>
    <w:rsid w:val="00DF4A17"/>
    <w:rsid w:val="00DF6308"/>
    <w:rsid w:val="00DF635D"/>
    <w:rsid w:val="00DF6711"/>
    <w:rsid w:val="00DF6A83"/>
    <w:rsid w:val="00DF7A96"/>
    <w:rsid w:val="00E00832"/>
    <w:rsid w:val="00E00E36"/>
    <w:rsid w:val="00E013AD"/>
    <w:rsid w:val="00E01782"/>
    <w:rsid w:val="00E01995"/>
    <w:rsid w:val="00E01F26"/>
    <w:rsid w:val="00E02C37"/>
    <w:rsid w:val="00E03DB3"/>
    <w:rsid w:val="00E04FDA"/>
    <w:rsid w:val="00E056DC"/>
    <w:rsid w:val="00E05DCA"/>
    <w:rsid w:val="00E06B3A"/>
    <w:rsid w:val="00E06B81"/>
    <w:rsid w:val="00E06E74"/>
    <w:rsid w:val="00E06F68"/>
    <w:rsid w:val="00E074E4"/>
    <w:rsid w:val="00E10022"/>
    <w:rsid w:val="00E10356"/>
    <w:rsid w:val="00E11A7B"/>
    <w:rsid w:val="00E121A0"/>
    <w:rsid w:val="00E12AD6"/>
    <w:rsid w:val="00E1371A"/>
    <w:rsid w:val="00E1375E"/>
    <w:rsid w:val="00E1390D"/>
    <w:rsid w:val="00E13C05"/>
    <w:rsid w:val="00E141A6"/>
    <w:rsid w:val="00E1483B"/>
    <w:rsid w:val="00E151A9"/>
    <w:rsid w:val="00E1534A"/>
    <w:rsid w:val="00E163FF"/>
    <w:rsid w:val="00E16CB6"/>
    <w:rsid w:val="00E20284"/>
    <w:rsid w:val="00E20791"/>
    <w:rsid w:val="00E20E29"/>
    <w:rsid w:val="00E20F1F"/>
    <w:rsid w:val="00E22A92"/>
    <w:rsid w:val="00E22AEB"/>
    <w:rsid w:val="00E23CD7"/>
    <w:rsid w:val="00E23D4E"/>
    <w:rsid w:val="00E24A6C"/>
    <w:rsid w:val="00E24B00"/>
    <w:rsid w:val="00E25EB4"/>
    <w:rsid w:val="00E25F46"/>
    <w:rsid w:val="00E261C1"/>
    <w:rsid w:val="00E26344"/>
    <w:rsid w:val="00E271BF"/>
    <w:rsid w:val="00E27E70"/>
    <w:rsid w:val="00E3000A"/>
    <w:rsid w:val="00E3003F"/>
    <w:rsid w:val="00E30B99"/>
    <w:rsid w:val="00E31885"/>
    <w:rsid w:val="00E328F5"/>
    <w:rsid w:val="00E33168"/>
    <w:rsid w:val="00E33D5B"/>
    <w:rsid w:val="00E34254"/>
    <w:rsid w:val="00E3429D"/>
    <w:rsid w:val="00E3473C"/>
    <w:rsid w:val="00E3497C"/>
    <w:rsid w:val="00E3517E"/>
    <w:rsid w:val="00E3572A"/>
    <w:rsid w:val="00E35E64"/>
    <w:rsid w:val="00E36980"/>
    <w:rsid w:val="00E37164"/>
    <w:rsid w:val="00E37C25"/>
    <w:rsid w:val="00E40374"/>
    <w:rsid w:val="00E42087"/>
    <w:rsid w:val="00E420BB"/>
    <w:rsid w:val="00E43302"/>
    <w:rsid w:val="00E43E08"/>
    <w:rsid w:val="00E44709"/>
    <w:rsid w:val="00E449F6"/>
    <w:rsid w:val="00E4510A"/>
    <w:rsid w:val="00E45270"/>
    <w:rsid w:val="00E452BB"/>
    <w:rsid w:val="00E45F79"/>
    <w:rsid w:val="00E46651"/>
    <w:rsid w:val="00E50BF8"/>
    <w:rsid w:val="00E50EC8"/>
    <w:rsid w:val="00E51560"/>
    <w:rsid w:val="00E54249"/>
    <w:rsid w:val="00E5440A"/>
    <w:rsid w:val="00E544F4"/>
    <w:rsid w:val="00E56DA0"/>
    <w:rsid w:val="00E576A7"/>
    <w:rsid w:val="00E600AD"/>
    <w:rsid w:val="00E60182"/>
    <w:rsid w:val="00E608A9"/>
    <w:rsid w:val="00E612A8"/>
    <w:rsid w:val="00E624DF"/>
    <w:rsid w:val="00E629E2"/>
    <w:rsid w:val="00E62C2E"/>
    <w:rsid w:val="00E63565"/>
    <w:rsid w:val="00E6429C"/>
    <w:rsid w:val="00E657A3"/>
    <w:rsid w:val="00E6598C"/>
    <w:rsid w:val="00E66F38"/>
    <w:rsid w:val="00E672A3"/>
    <w:rsid w:val="00E67B10"/>
    <w:rsid w:val="00E71996"/>
    <w:rsid w:val="00E72B9D"/>
    <w:rsid w:val="00E730A7"/>
    <w:rsid w:val="00E73193"/>
    <w:rsid w:val="00E73570"/>
    <w:rsid w:val="00E739C6"/>
    <w:rsid w:val="00E73BD3"/>
    <w:rsid w:val="00E73C96"/>
    <w:rsid w:val="00E740B7"/>
    <w:rsid w:val="00E7467F"/>
    <w:rsid w:val="00E74C16"/>
    <w:rsid w:val="00E758BF"/>
    <w:rsid w:val="00E761EA"/>
    <w:rsid w:val="00E76AE3"/>
    <w:rsid w:val="00E77483"/>
    <w:rsid w:val="00E7773B"/>
    <w:rsid w:val="00E8052B"/>
    <w:rsid w:val="00E806D0"/>
    <w:rsid w:val="00E80875"/>
    <w:rsid w:val="00E80D58"/>
    <w:rsid w:val="00E80FD3"/>
    <w:rsid w:val="00E8127D"/>
    <w:rsid w:val="00E826C3"/>
    <w:rsid w:val="00E82905"/>
    <w:rsid w:val="00E84640"/>
    <w:rsid w:val="00E8666E"/>
    <w:rsid w:val="00E86F95"/>
    <w:rsid w:val="00E90F58"/>
    <w:rsid w:val="00E91819"/>
    <w:rsid w:val="00E9208D"/>
    <w:rsid w:val="00E9290F"/>
    <w:rsid w:val="00E92C90"/>
    <w:rsid w:val="00E93331"/>
    <w:rsid w:val="00E93897"/>
    <w:rsid w:val="00E952E0"/>
    <w:rsid w:val="00E953C4"/>
    <w:rsid w:val="00E9553A"/>
    <w:rsid w:val="00E957CF"/>
    <w:rsid w:val="00E962E2"/>
    <w:rsid w:val="00E96878"/>
    <w:rsid w:val="00E973B4"/>
    <w:rsid w:val="00E9766E"/>
    <w:rsid w:val="00E97D36"/>
    <w:rsid w:val="00E97EAE"/>
    <w:rsid w:val="00EA17AC"/>
    <w:rsid w:val="00EA3C03"/>
    <w:rsid w:val="00EA4642"/>
    <w:rsid w:val="00EA51EE"/>
    <w:rsid w:val="00EA678B"/>
    <w:rsid w:val="00EA7663"/>
    <w:rsid w:val="00EB0105"/>
    <w:rsid w:val="00EB1649"/>
    <w:rsid w:val="00EB1D4B"/>
    <w:rsid w:val="00EB1D92"/>
    <w:rsid w:val="00EB2049"/>
    <w:rsid w:val="00EB2DDE"/>
    <w:rsid w:val="00EB3E5B"/>
    <w:rsid w:val="00EB5FBF"/>
    <w:rsid w:val="00EB64B6"/>
    <w:rsid w:val="00EB6B91"/>
    <w:rsid w:val="00EB746F"/>
    <w:rsid w:val="00EB7694"/>
    <w:rsid w:val="00EC055C"/>
    <w:rsid w:val="00EC05EA"/>
    <w:rsid w:val="00EC0761"/>
    <w:rsid w:val="00EC09CC"/>
    <w:rsid w:val="00EC0A4E"/>
    <w:rsid w:val="00EC221F"/>
    <w:rsid w:val="00EC3695"/>
    <w:rsid w:val="00EC3C1D"/>
    <w:rsid w:val="00EC418E"/>
    <w:rsid w:val="00EC4B3A"/>
    <w:rsid w:val="00EC5997"/>
    <w:rsid w:val="00EC7D54"/>
    <w:rsid w:val="00ED077F"/>
    <w:rsid w:val="00ED144F"/>
    <w:rsid w:val="00ED295A"/>
    <w:rsid w:val="00ED303E"/>
    <w:rsid w:val="00ED5C1C"/>
    <w:rsid w:val="00ED5D27"/>
    <w:rsid w:val="00ED5E4B"/>
    <w:rsid w:val="00ED6F5D"/>
    <w:rsid w:val="00ED71F2"/>
    <w:rsid w:val="00ED7964"/>
    <w:rsid w:val="00ED7B3E"/>
    <w:rsid w:val="00EE0FC4"/>
    <w:rsid w:val="00EE3120"/>
    <w:rsid w:val="00EE33E5"/>
    <w:rsid w:val="00EE3E9D"/>
    <w:rsid w:val="00EE4456"/>
    <w:rsid w:val="00EE555A"/>
    <w:rsid w:val="00EE5822"/>
    <w:rsid w:val="00EE5A8F"/>
    <w:rsid w:val="00EE6A79"/>
    <w:rsid w:val="00EE70DB"/>
    <w:rsid w:val="00EE755E"/>
    <w:rsid w:val="00EE770B"/>
    <w:rsid w:val="00EE7AE9"/>
    <w:rsid w:val="00EE7DA5"/>
    <w:rsid w:val="00EF03D9"/>
    <w:rsid w:val="00EF0BA5"/>
    <w:rsid w:val="00EF104E"/>
    <w:rsid w:val="00EF229E"/>
    <w:rsid w:val="00EF2BF0"/>
    <w:rsid w:val="00EF36EF"/>
    <w:rsid w:val="00EF3D14"/>
    <w:rsid w:val="00EF47F2"/>
    <w:rsid w:val="00EF59AE"/>
    <w:rsid w:val="00EF5F2C"/>
    <w:rsid w:val="00EF6BE3"/>
    <w:rsid w:val="00EF702A"/>
    <w:rsid w:val="00EF7BF0"/>
    <w:rsid w:val="00F007B6"/>
    <w:rsid w:val="00F01551"/>
    <w:rsid w:val="00F01FF5"/>
    <w:rsid w:val="00F03347"/>
    <w:rsid w:val="00F034C5"/>
    <w:rsid w:val="00F0410D"/>
    <w:rsid w:val="00F0497D"/>
    <w:rsid w:val="00F04E0C"/>
    <w:rsid w:val="00F07E48"/>
    <w:rsid w:val="00F1006A"/>
    <w:rsid w:val="00F101C5"/>
    <w:rsid w:val="00F103B5"/>
    <w:rsid w:val="00F10F29"/>
    <w:rsid w:val="00F11579"/>
    <w:rsid w:val="00F1187E"/>
    <w:rsid w:val="00F12340"/>
    <w:rsid w:val="00F12B10"/>
    <w:rsid w:val="00F131A8"/>
    <w:rsid w:val="00F131E5"/>
    <w:rsid w:val="00F135DC"/>
    <w:rsid w:val="00F144D0"/>
    <w:rsid w:val="00F1451B"/>
    <w:rsid w:val="00F15A3B"/>
    <w:rsid w:val="00F1625E"/>
    <w:rsid w:val="00F16AED"/>
    <w:rsid w:val="00F16C9B"/>
    <w:rsid w:val="00F17626"/>
    <w:rsid w:val="00F177ED"/>
    <w:rsid w:val="00F20A25"/>
    <w:rsid w:val="00F211C2"/>
    <w:rsid w:val="00F216CB"/>
    <w:rsid w:val="00F21D8E"/>
    <w:rsid w:val="00F23C6E"/>
    <w:rsid w:val="00F24861"/>
    <w:rsid w:val="00F2593F"/>
    <w:rsid w:val="00F25C6A"/>
    <w:rsid w:val="00F26BAB"/>
    <w:rsid w:val="00F26EB2"/>
    <w:rsid w:val="00F27AAC"/>
    <w:rsid w:val="00F27BA0"/>
    <w:rsid w:val="00F27C9D"/>
    <w:rsid w:val="00F27D4B"/>
    <w:rsid w:val="00F30DA7"/>
    <w:rsid w:val="00F3115D"/>
    <w:rsid w:val="00F311A0"/>
    <w:rsid w:val="00F3150A"/>
    <w:rsid w:val="00F320F5"/>
    <w:rsid w:val="00F32299"/>
    <w:rsid w:val="00F34845"/>
    <w:rsid w:val="00F354AA"/>
    <w:rsid w:val="00F37A6A"/>
    <w:rsid w:val="00F37F40"/>
    <w:rsid w:val="00F404B8"/>
    <w:rsid w:val="00F406C8"/>
    <w:rsid w:val="00F40CC6"/>
    <w:rsid w:val="00F41127"/>
    <w:rsid w:val="00F42385"/>
    <w:rsid w:val="00F42748"/>
    <w:rsid w:val="00F4457F"/>
    <w:rsid w:val="00F45A53"/>
    <w:rsid w:val="00F467DA"/>
    <w:rsid w:val="00F46E0C"/>
    <w:rsid w:val="00F47688"/>
    <w:rsid w:val="00F479A6"/>
    <w:rsid w:val="00F47CF6"/>
    <w:rsid w:val="00F50490"/>
    <w:rsid w:val="00F510E6"/>
    <w:rsid w:val="00F51616"/>
    <w:rsid w:val="00F51802"/>
    <w:rsid w:val="00F51BAB"/>
    <w:rsid w:val="00F51F27"/>
    <w:rsid w:val="00F52A96"/>
    <w:rsid w:val="00F5324F"/>
    <w:rsid w:val="00F53454"/>
    <w:rsid w:val="00F53A1B"/>
    <w:rsid w:val="00F53A9E"/>
    <w:rsid w:val="00F54398"/>
    <w:rsid w:val="00F5465C"/>
    <w:rsid w:val="00F54CF1"/>
    <w:rsid w:val="00F55088"/>
    <w:rsid w:val="00F55615"/>
    <w:rsid w:val="00F5575C"/>
    <w:rsid w:val="00F55918"/>
    <w:rsid w:val="00F56022"/>
    <w:rsid w:val="00F56088"/>
    <w:rsid w:val="00F567B7"/>
    <w:rsid w:val="00F57433"/>
    <w:rsid w:val="00F6007C"/>
    <w:rsid w:val="00F607C8"/>
    <w:rsid w:val="00F61D30"/>
    <w:rsid w:val="00F62C26"/>
    <w:rsid w:val="00F641CD"/>
    <w:rsid w:val="00F64A3B"/>
    <w:rsid w:val="00F65EB3"/>
    <w:rsid w:val="00F65F19"/>
    <w:rsid w:val="00F66AA6"/>
    <w:rsid w:val="00F66E56"/>
    <w:rsid w:val="00F6718D"/>
    <w:rsid w:val="00F671A4"/>
    <w:rsid w:val="00F6766D"/>
    <w:rsid w:val="00F70130"/>
    <w:rsid w:val="00F70A56"/>
    <w:rsid w:val="00F71086"/>
    <w:rsid w:val="00F714DE"/>
    <w:rsid w:val="00F7163E"/>
    <w:rsid w:val="00F72E2F"/>
    <w:rsid w:val="00F732A6"/>
    <w:rsid w:val="00F743E0"/>
    <w:rsid w:val="00F74D1C"/>
    <w:rsid w:val="00F75135"/>
    <w:rsid w:val="00F76E1D"/>
    <w:rsid w:val="00F80879"/>
    <w:rsid w:val="00F8097E"/>
    <w:rsid w:val="00F80B82"/>
    <w:rsid w:val="00F80FFF"/>
    <w:rsid w:val="00F82249"/>
    <w:rsid w:val="00F8290C"/>
    <w:rsid w:val="00F82DE8"/>
    <w:rsid w:val="00F83034"/>
    <w:rsid w:val="00F83130"/>
    <w:rsid w:val="00F84471"/>
    <w:rsid w:val="00F856CD"/>
    <w:rsid w:val="00F86127"/>
    <w:rsid w:val="00F86980"/>
    <w:rsid w:val="00F86F0E"/>
    <w:rsid w:val="00F87EF7"/>
    <w:rsid w:val="00F90B67"/>
    <w:rsid w:val="00F90B98"/>
    <w:rsid w:val="00F90C23"/>
    <w:rsid w:val="00F91746"/>
    <w:rsid w:val="00F920C2"/>
    <w:rsid w:val="00F92C3B"/>
    <w:rsid w:val="00F93469"/>
    <w:rsid w:val="00F942F5"/>
    <w:rsid w:val="00F945F9"/>
    <w:rsid w:val="00F95149"/>
    <w:rsid w:val="00F9595D"/>
    <w:rsid w:val="00F96CA8"/>
    <w:rsid w:val="00F96DE4"/>
    <w:rsid w:val="00F9766E"/>
    <w:rsid w:val="00FA0437"/>
    <w:rsid w:val="00FA0466"/>
    <w:rsid w:val="00FA0490"/>
    <w:rsid w:val="00FA2F63"/>
    <w:rsid w:val="00FA3B1C"/>
    <w:rsid w:val="00FA4616"/>
    <w:rsid w:val="00FA4A11"/>
    <w:rsid w:val="00FA530F"/>
    <w:rsid w:val="00FA56F5"/>
    <w:rsid w:val="00FA79A4"/>
    <w:rsid w:val="00FA79E1"/>
    <w:rsid w:val="00FB005E"/>
    <w:rsid w:val="00FB08E8"/>
    <w:rsid w:val="00FB12E2"/>
    <w:rsid w:val="00FB1C16"/>
    <w:rsid w:val="00FB1F55"/>
    <w:rsid w:val="00FB219D"/>
    <w:rsid w:val="00FB242C"/>
    <w:rsid w:val="00FB3054"/>
    <w:rsid w:val="00FB377F"/>
    <w:rsid w:val="00FB3ADF"/>
    <w:rsid w:val="00FB43E7"/>
    <w:rsid w:val="00FC0556"/>
    <w:rsid w:val="00FC22F6"/>
    <w:rsid w:val="00FC2471"/>
    <w:rsid w:val="00FC2B99"/>
    <w:rsid w:val="00FC2E11"/>
    <w:rsid w:val="00FC3E4A"/>
    <w:rsid w:val="00FC4868"/>
    <w:rsid w:val="00FC4FDA"/>
    <w:rsid w:val="00FC6C82"/>
    <w:rsid w:val="00FC6EE9"/>
    <w:rsid w:val="00FC770B"/>
    <w:rsid w:val="00FC79CC"/>
    <w:rsid w:val="00FD0292"/>
    <w:rsid w:val="00FD0447"/>
    <w:rsid w:val="00FD0828"/>
    <w:rsid w:val="00FD0E59"/>
    <w:rsid w:val="00FD1685"/>
    <w:rsid w:val="00FD1F5B"/>
    <w:rsid w:val="00FD1F80"/>
    <w:rsid w:val="00FD39A2"/>
    <w:rsid w:val="00FD43D2"/>
    <w:rsid w:val="00FD49D4"/>
    <w:rsid w:val="00FD585B"/>
    <w:rsid w:val="00FD58B4"/>
    <w:rsid w:val="00FD676D"/>
    <w:rsid w:val="00FD6929"/>
    <w:rsid w:val="00FD7B50"/>
    <w:rsid w:val="00FD7F41"/>
    <w:rsid w:val="00FE1B44"/>
    <w:rsid w:val="00FE2207"/>
    <w:rsid w:val="00FE2DE5"/>
    <w:rsid w:val="00FE4F34"/>
    <w:rsid w:val="00FE5567"/>
    <w:rsid w:val="00FE6D88"/>
    <w:rsid w:val="00FE722E"/>
    <w:rsid w:val="00FE78AC"/>
    <w:rsid w:val="00FF0DFE"/>
    <w:rsid w:val="00FF1DD8"/>
    <w:rsid w:val="00FF26CF"/>
    <w:rsid w:val="00FF33D7"/>
    <w:rsid w:val="00FF3B43"/>
    <w:rsid w:val="00FF4894"/>
    <w:rsid w:val="00FF4C7E"/>
    <w:rsid w:val="00FF4E97"/>
    <w:rsid w:val="00FF5A64"/>
    <w:rsid w:val="00FF5AC8"/>
    <w:rsid w:val="00FF5D85"/>
    <w:rsid w:val="00FF62CF"/>
    <w:rsid w:val="00FF7F8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259"/>
    <w:pPr>
      <w:spacing w:after="60"/>
      <w:jc w:val="both"/>
    </w:pPr>
    <w:rPr>
      <w:rFonts w:ascii="Verdana" w:hAnsi="Verdana"/>
      <w:sz w:val="18"/>
    </w:rPr>
  </w:style>
  <w:style w:type="paragraph" w:styleId="Titre1">
    <w:name w:val="heading 1"/>
    <w:next w:val="Normal"/>
    <w:link w:val="Titre1Car"/>
    <w:qFormat/>
    <w:rsid w:val="00861259"/>
    <w:pPr>
      <w:keepNext/>
      <w:keepLines/>
      <w:pBdr>
        <w:bottom w:val="single" w:sz="12" w:space="1" w:color="1C5840"/>
      </w:pBdr>
      <w:spacing w:before="480" w:after="240"/>
      <w:outlineLvl w:val="0"/>
    </w:pPr>
    <w:rPr>
      <w:rFonts w:ascii="Verdana" w:hAnsi="Verdana"/>
      <w:b/>
      <w:smallCaps/>
      <w:noProof/>
      <w:color w:val="1C5840"/>
      <w:spacing w:val="20"/>
      <w:kern w:val="28"/>
      <w:sz w:val="36"/>
      <w:szCs w:val="36"/>
    </w:rPr>
  </w:style>
  <w:style w:type="paragraph" w:styleId="Titre2">
    <w:name w:val="heading 2"/>
    <w:next w:val="Normal"/>
    <w:link w:val="Titre2Car"/>
    <w:qFormat/>
    <w:rsid w:val="00861259"/>
    <w:pPr>
      <w:keepNext/>
      <w:keepLines/>
      <w:spacing w:before="360" w:after="120"/>
      <w:outlineLvl w:val="1"/>
    </w:pPr>
    <w:rPr>
      <w:rFonts w:ascii="Verdana" w:hAnsi="Verdana"/>
      <w:b/>
      <w:smallCaps/>
      <w:noProof/>
      <w:color w:val="1C5840"/>
      <w:sz w:val="28"/>
      <w:szCs w:val="28"/>
      <w:u w:val="single"/>
    </w:rPr>
  </w:style>
  <w:style w:type="paragraph" w:styleId="Titre3">
    <w:name w:val="heading 3"/>
    <w:next w:val="Normal"/>
    <w:link w:val="Titre3Car"/>
    <w:qFormat/>
    <w:rsid w:val="00861259"/>
    <w:pPr>
      <w:keepNext/>
      <w:keepLines/>
      <w:spacing w:before="180" w:after="120"/>
      <w:outlineLvl w:val="2"/>
    </w:pPr>
    <w:rPr>
      <w:rFonts w:ascii="Verdana" w:hAnsi="Verdana"/>
      <w:b/>
      <w:smallCaps/>
      <w:noProof/>
      <w:lang w:val="it-IT"/>
    </w:rPr>
  </w:style>
  <w:style w:type="paragraph" w:styleId="Titre4">
    <w:name w:val="heading 4"/>
    <w:basedOn w:val="Normal"/>
    <w:next w:val="Normal"/>
    <w:link w:val="Titre4Car"/>
    <w:qFormat/>
    <w:rsid w:val="00861259"/>
    <w:pPr>
      <w:keepNext/>
      <w:keepLines/>
      <w:numPr>
        <w:numId w:val="2"/>
      </w:numPr>
      <w:tabs>
        <w:tab w:val="clear" w:pos="340"/>
        <w:tab w:val="num" w:pos="720"/>
      </w:tabs>
      <w:spacing w:before="60"/>
      <w:ind w:left="720" w:hanging="360"/>
      <w:jc w:val="left"/>
      <w:outlineLvl w:val="3"/>
    </w:pPr>
    <w:rPr>
      <w:b/>
      <w:bCs/>
    </w:rPr>
  </w:style>
  <w:style w:type="paragraph" w:styleId="Titre5">
    <w:name w:val="heading 5"/>
    <w:aliases w:val="petites maj"/>
    <w:basedOn w:val="Titre7"/>
    <w:next w:val="Normal"/>
    <w:link w:val="Titre5Car"/>
    <w:qFormat/>
    <w:rsid w:val="00861259"/>
    <w:pPr>
      <w:spacing w:before="240"/>
      <w:outlineLvl w:val="4"/>
    </w:pPr>
    <w:rPr>
      <w:caps/>
      <w:smallCaps/>
      <w:noProof w:val="0"/>
      <w:szCs w:val="28"/>
    </w:rPr>
  </w:style>
  <w:style w:type="paragraph" w:styleId="Titre6">
    <w:name w:val="heading 6"/>
    <w:next w:val="Normal"/>
    <w:link w:val="Titre6Car"/>
    <w:qFormat/>
    <w:rsid w:val="00861259"/>
    <w:pPr>
      <w:tabs>
        <w:tab w:val="num" w:pos="1854"/>
      </w:tabs>
      <w:spacing w:before="240" w:after="120"/>
      <w:ind w:left="1985" w:hanging="681"/>
      <w:jc w:val="both"/>
      <w:outlineLvl w:val="5"/>
    </w:pPr>
    <w:rPr>
      <w:rFonts w:ascii="Arial" w:hAnsi="Arial"/>
      <w:b/>
      <w:noProof/>
      <w:sz w:val="22"/>
      <w:szCs w:val="22"/>
    </w:rPr>
  </w:style>
  <w:style w:type="paragraph" w:styleId="Titre7">
    <w:name w:val="heading 7"/>
    <w:next w:val="Normal"/>
    <w:link w:val="Titre7Car"/>
    <w:qFormat/>
    <w:rsid w:val="00861259"/>
    <w:pPr>
      <w:tabs>
        <w:tab w:val="num" w:pos="360"/>
      </w:tabs>
      <w:spacing w:before="120" w:after="120"/>
      <w:ind w:left="360" w:hanging="360"/>
      <w:outlineLvl w:val="6"/>
    </w:pPr>
    <w:rPr>
      <w:rFonts w:ascii="Arial" w:eastAsiaTheme="majorEastAsia" w:hAnsi="Arial" w:cstheme="majorBidi"/>
      <w:b/>
      <w:noProof/>
      <w:sz w:val="22"/>
      <w:szCs w:val="22"/>
    </w:rPr>
  </w:style>
  <w:style w:type="paragraph" w:styleId="Titre8">
    <w:name w:val="heading 8"/>
    <w:next w:val="Normal"/>
    <w:link w:val="Titre8Car"/>
    <w:qFormat/>
    <w:rsid w:val="00861259"/>
    <w:pPr>
      <w:numPr>
        <w:numId w:val="4"/>
      </w:numPr>
      <w:pBdr>
        <w:top w:val="single" w:sz="4" w:space="1" w:color="auto"/>
        <w:bottom w:val="single" w:sz="4" w:space="1" w:color="auto"/>
      </w:pBdr>
      <w:tabs>
        <w:tab w:val="clear" w:pos="643"/>
        <w:tab w:val="num" w:pos="360"/>
        <w:tab w:val="left" w:pos="709"/>
      </w:tabs>
      <w:spacing w:before="240" w:after="240"/>
      <w:ind w:left="360"/>
      <w:jc w:val="center"/>
      <w:outlineLvl w:val="7"/>
    </w:pPr>
    <w:rPr>
      <w:rFonts w:ascii="Arial" w:hAnsi="Arial"/>
      <w:b/>
      <w:caps/>
      <w:noProof/>
      <w:sz w:val="32"/>
    </w:rPr>
  </w:style>
  <w:style w:type="paragraph" w:styleId="Titre9">
    <w:name w:val="heading 9"/>
    <w:next w:val="Normal"/>
    <w:link w:val="Titre9Car"/>
    <w:qFormat/>
    <w:rsid w:val="00861259"/>
    <w:pPr>
      <w:numPr>
        <w:numId w:val="5"/>
      </w:numPr>
      <w:tabs>
        <w:tab w:val="clear" w:pos="926"/>
        <w:tab w:val="num" w:pos="360"/>
        <w:tab w:val="left" w:pos="1134"/>
      </w:tabs>
      <w:spacing w:before="240" w:after="60"/>
      <w:ind w:left="360"/>
      <w:outlineLvl w:val="8"/>
    </w:pPr>
    <w:rPr>
      <w:rFonts w:ascii="Arial" w:hAnsi="Arial"/>
      <w:b/>
      <w:noProo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uteur">
    <w:name w:val="_auteur"/>
    <w:basedOn w:val="Normal"/>
    <w:next w:val="refdate"/>
    <w:rsid w:val="008970E1"/>
    <w:pPr>
      <w:spacing w:after="0"/>
      <w:jc w:val="right"/>
    </w:pPr>
    <w:rPr>
      <w:b/>
      <w:bCs/>
      <w:color w:val="1C5840"/>
      <w:sz w:val="16"/>
    </w:rPr>
  </w:style>
  <w:style w:type="paragraph" w:customStyle="1" w:styleId="refdate">
    <w:name w:val="_ref_date"/>
    <w:basedOn w:val="auteur"/>
    <w:rsid w:val="008970E1"/>
    <w:rPr>
      <w:b w:val="0"/>
      <w:bCs w:val="0"/>
    </w:rPr>
  </w:style>
  <w:style w:type="paragraph" w:styleId="Pieddepage">
    <w:name w:val="footer"/>
    <w:basedOn w:val="Normal"/>
    <w:rsid w:val="00105D91"/>
    <w:pPr>
      <w:pBdr>
        <w:top w:val="single" w:sz="4" w:space="1" w:color="1C5840"/>
      </w:pBdr>
      <w:tabs>
        <w:tab w:val="right" w:pos="10206"/>
      </w:tabs>
      <w:spacing w:after="0"/>
      <w:jc w:val="left"/>
    </w:pPr>
    <w:rPr>
      <w:color w:val="1C5840"/>
      <w:sz w:val="16"/>
    </w:rPr>
  </w:style>
  <w:style w:type="character" w:styleId="Lienhypertexte">
    <w:name w:val="Hyperlink"/>
    <w:basedOn w:val="Policepardfaut"/>
    <w:uiPriority w:val="99"/>
    <w:rsid w:val="00B04B57"/>
    <w:rPr>
      <w:color w:val="1C5840"/>
      <w:u w:val="single"/>
    </w:rPr>
  </w:style>
  <w:style w:type="paragraph" w:styleId="Commentaire">
    <w:name w:val="annotation text"/>
    <w:link w:val="CommentaireCar"/>
    <w:uiPriority w:val="99"/>
    <w:semiHidden/>
    <w:rsid w:val="00AF434D"/>
    <w:rPr>
      <w:rFonts w:ascii="Arial" w:hAnsi="Arial"/>
      <w:noProof/>
      <w:sz w:val="18"/>
    </w:rPr>
  </w:style>
  <w:style w:type="paragraph" w:styleId="Listepuces">
    <w:name w:val="List Bullet"/>
    <w:basedOn w:val="Normal"/>
    <w:rsid w:val="00347C5F"/>
    <w:pPr>
      <w:numPr>
        <w:numId w:val="6"/>
      </w:numPr>
    </w:pPr>
  </w:style>
  <w:style w:type="paragraph" w:customStyle="1" w:styleId="TitreAnnexe">
    <w:name w:val="Titre Annexe"/>
    <w:basedOn w:val="Titre1"/>
    <w:rsid w:val="00603240"/>
    <w:pPr>
      <w:pageBreakBefore/>
      <w:spacing w:before="0"/>
    </w:pPr>
  </w:style>
  <w:style w:type="paragraph" w:customStyle="1" w:styleId="titre70">
    <w:name w:val="titre 7"/>
    <w:basedOn w:val="Titre9"/>
    <w:next w:val="Normal"/>
    <w:semiHidden/>
    <w:pPr>
      <w:spacing w:after="120"/>
    </w:pPr>
  </w:style>
  <w:style w:type="paragraph" w:customStyle="1" w:styleId="Titre3min">
    <w:name w:val="Titre 3 min"/>
    <w:basedOn w:val="Titre3"/>
    <w:next w:val="Normal"/>
    <w:semiHidden/>
    <w:rsid w:val="000F3DC1"/>
    <w:pPr>
      <w:numPr>
        <w:ilvl w:val="2"/>
        <w:numId w:val="1"/>
      </w:numPr>
      <w:jc w:val="both"/>
    </w:pPr>
    <w:rPr>
      <w:smallCaps w:val="0"/>
      <w:szCs w:val="24"/>
    </w:rPr>
  </w:style>
  <w:style w:type="paragraph" w:customStyle="1" w:styleId="titreparagraphe1">
    <w:name w:val="titre paragraphe 1"/>
    <w:next w:val="Normal"/>
    <w:semiHidden/>
    <w:pPr>
      <w:numPr>
        <w:numId w:val="3"/>
      </w:numPr>
      <w:spacing w:before="120" w:after="120"/>
    </w:pPr>
    <w:rPr>
      <w:rFonts w:ascii="Arial" w:hAnsi="Arial"/>
      <w:b/>
      <w:noProof/>
      <w:sz w:val="28"/>
      <w:szCs w:val="28"/>
      <w:u w:val="dotDash"/>
    </w:rPr>
  </w:style>
  <w:style w:type="paragraph" w:customStyle="1" w:styleId="basdepage">
    <w:name w:val="bas de page"/>
    <w:basedOn w:val="Pieddepage"/>
    <w:rsid w:val="005B5382"/>
    <w:pPr>
      <w:pBdr>
        <w:top w:val="single" w:sz="2" w:space="0" w:color="1C5840"/>
      </w:pBdr>
      <w:tabs>
        <w:tab w:val="clear" w:pos="10206"/>
        <w:tab w:val="right" w:pos="9639"/>
      </w:tabs>
    </w:pPr>
  </w:style>
  <w:style w:type="character" w:customStyle="1" w:styleId="fortCar">
    <w:name w:val="fort Car"/>
    <w:basedOn w:val="Policepardfaut"/>
    <w:link w:val="fort"/>
    <w:rsid w:val="00E30B99"/>
    <w:rPr>
      <w:rFonts w:ascii="Verdana" w:hAnsi="Verdana"/>
      <w:b/>
      <w:color w:val="1C5840"/>
      <w:sz w:val="18"/>
      <w:szCs w:val="18"/>
      <w:lang w:val="fr-FR" w:eastAsia="fr-FR" w:bidi="ar-SA"/>
    </w:rPr>
  </w:style>
  <w:style w:type="paragraph" w:customStyle="1" w:styleId="fort">
    <w:name w:val="fort"/>
    <w:basedOn w:val="Normal"/>
    <w:next w:val="Normal"/>
    <w:link w:val="fortCar"/>
    <w:rsid w:val="00C476B9"/>
    <w:rPr>
      <w:b/>
      <w:color w:val="1C5840"/>
      <w:szCs w:val="18"/>
    </w:rPr>
  </w:style>
  <w:style w:type="table" w:customStyle="1" w:styleId="tableau1">
    <w:name w:val="tableau1"/>
    <w:basedOn w:val="TableauNormal"/>
    <w:rsid w:val="00BB1671"/>
    <w:rPr>
      <w:rFonts w:ascii="Verdana" w:hAnsi="Verdana"/>
      <w:sz w:val="18"/>
    </w:rPr>
    <w:tblPr>
      <w:tblInd w:w="0" w:type="dxa"/>
      <w:tblBorders>
        <w:top w:val="single" w:sz="12" w:space="0" w:color="1C5840"/>
        <w:left w:val="single" w:sz="12" w:space="0" w:color="1C5840"/>
        <w:bottom w:val="single" w:sz="12" w:space="0" w:color="1C5840"/>
        <w:right w:val="single" w:sz="12" w:space="0" w:color="1C5840"/>
        <w:insideH w:val="single" w:sz="12" w:space="0" w:color="1C5840"/>
        <w:insideV w:val="single" w:sz="12" w:space="0" w:color="1C5840"/>
      </w:tblBorders>
      <w:tblCellMar>
        <w:top w:w="0" w:type="dxa"/>
        <w:left w:w="108" w:type="dxa"/>
        <w:bottom w:w="0" w:type="dxa"/>
        <w:right w:w="108" w:type="dxa"/>
      </w:tblCellMar>
    </w:tblPr>
  </w:style>
  <w:style w:type="character" w:styleId="Lienhypertextesuivivisit">
    <w:name w:val="FollowedHyperlink"/>
    <w:basedOn w:val="Policepardfaut"/>
    <w:rsid w:val="00E30B99"/>
    <w:rPr>
      <w:color w:val="1C5840"/>
      <w:u w:val="single"/>
    </w:rPr>
  </w:style>
  <w:style w:type="paragraph" w:styleId="TM1">
    <w:name w:val="toc 1"/>
    <w:basedOn w:val="Normal"/>
    <w:next w:val="Normal"/>
    <w:autoRedefine/>
    <w:uiPriority w:val="39"/>
    <w:rsid w:val="009C2A95"/>
    <w:pPr>
      <w:pBdr>
        <w:bottom w:val="single" w:sz="2" w:space="0" w:color="1C5840"/>
        <w:between w:val="single" w:sz="2" w:space="0" w:color="1C5840"/>
      </w:pBdr>
      <w:tabs>
        <w:tab w:val="right" w:leader="underscore" w:pos="10206"/>
      </w:tabs>
      <w:spacing w:before="240" w:after="0"/>
    </w:pPr>
    <w:rPr>
      <w:b/>
      <w:smallCaps/>
      <w:noProof/>
      <w:color w:val="1C5840"/>
      <w:sz w:val="24"/>
      <w:szCs w:val="28"/>
    </w:rPr>
  </w:style>
  <w:style w:type="paragraph" w:styleId="TM2">
    <w:name w:val="toc 2"/>
    <w:basedOn w:val="Normal"/>
    <w:next w:val="Normal"/>
    <w:autoRedefine/>
    <w:uiPriority w:val="39"/>
    <w:rsid w:val="009C2A95"/>
    <w:pPr>
      <w:tabs>
        <w:tab w:val="right" w:leader="dot" w:pos="10206"/>
      </w:tabs>
      <w:spacing w:before="120" w:after="0"/>
      <w:ind w:left="567"/>
    </w:pPr>
    <w:rPr>
      <w:b/>
      <w:bCs/>
      <w:smallCaps/>
      <w:noProof/>
      <w:color w:val="1C5840"/>
      <w:sz w:val="20"/>
      <w:szCs w:val="18"/>
    </w:rPr>
  </w:style>
  <w:style w:type="paragraph" w:styleId="TM3">
    <w:name w:val="toc 3"/>
    <w:basedOn w:val="Normal"/>
    <w:next w:val="Normal"/>
    <w:autoRedefine/>
    <w:uiPriority w:val="39"/>
    <w:rsid w:val="009C2A95"/>
    <w:pPr>
      <w:tabs>
        <w:tab w:val="right" w:pos="10206"/>
      </w:tabs>
      <w:spacing w:after="0"/>
      <w:ind w:left="851"/>
    </w:pPr>
    <w:rPr>
      <w:noProof/>
      <w:color w:val="1C5840"/>
      <w:szCs w:val="18"/>
    </w:rPr>
  </w:style>
  <w:style w:type="paragraph" w:styleId="Lgende">
    <w:name w:val="caption"/>
    <w:basedOn w:val="Normal"/>
    <w:next w:val="Normal"/>
    <w:uiPriority w:val="35"/>
    <w:qFormat/>
    <w:rsid w:val="00861259"/>
    <w:pPr>
      <w:spacing w:before="60"/>
      <w:jc w:val="right"/>
    </w:pPr>
    <w:rPr>
      <w:b/>
      <w:bCs/>
      <w:sz w:val="16"/>
    </w:rPr>
  </w:style>
  <w:style w:type="paragraph" w:styleId="Tabledesillustrations">
    <w:name w:val="table of figures"/>
    <w:basedOn w:val="Normal"/>
    <w:next w:val="Normal"/>
    <w:semiHidden/>
    <w:rsid w:val="00F96CA8"/>
  </w:style>
  <w:style w:type="paragraph" w:styleId="Sous-titre">
    <w:name w:val="Subtitle"/>
    <w:basedOn w:val="Normal"/>
    <w:next w:val="Titre1"/>
    <w:link w:val="Sous-titreCar"/>
    <w:qFormat/>
    <w:rsid w:val="00861259"/>
    <w:pPr>
      <w:widowControl w:val="0"/>
      <w:pBdr>
        <w:bottom w:val="single" w:sz="12" w:space="12" w:color="1C5840"/>
      </w:pBdr>
      <w:spacing w:before="120" w:after="240"/>
      <w:ind w:left="1701" w:right="1699"/>
      <w:jc w:val="center"/>
    </w:pPr>
    <w:rPr>
      <w:rFonts w:eastAsiaTheme="majorEastAsia" w:cstheme="majorBidi"/>
      <w:b/>
      <w:smallCaps/>
      <w:color w:val="1C5840"/>
      <w:sz w:val="28"/>
      <w:szCs w:val="28"/>
    </w:rPr>
  </w:style>
  <w:style w:type="paragraph" w:customStyle="1" w:styleId="tableautitrecolonnes">
    <w:name w:val="tableau titre colonnes"/>
    <w:basedOn w:val="Normal"/>
    <w:rsid w:val="00B234D7"/>
    <w:pPr>
      <w:jc w:val="center"/>
    </w:pPr>
    <w:rPr>
      <w:b/>
      <w:smallCaps/>
      <w:color w:val="1C5840"/>
      <w:szCs w:val="18"/>
    </w:rPr>
  </w:style>
  <w:style w:type="paragraph" w:customStyle="1" w:styleId="tableaucontenu">
    <w:name w:val="tableau contenu"/>
    <w:basedOn w:val="Normal"/>
    <w:rsid w:val="00A56F34"/>
    <w:pPr>
      <w:jc w:val="center"/>
    </w:pPr>
  </w:style>
  <w:style w:type="paragraph" w:styleId="TM4">
    <w:name w:val="toc 4"/>
    <w:basedOn w:val="Normal"/>
    <w:next w:val="Normal"/>
    <w:autoRedefine/>
    <w:rsid w:val="00C90087"/>
    <w:pPr>
      <w:ind w:left="540"/>
    </w:pPr>
  </w:style>
  <w:style w:type="paragraph" w:styleId="TM5">
    <w:name w:val="toc 5"/>
    <w:basedOn w:val="Normal"/>
    <w:next w:val="Normal"/>
    <w:autoRedefine/>
    <w:rsid w:val="00C90087"/>
    <w:pPr>
      <w:ind w:left="720"/>
    </w:pPr>
  </w:style>
  <w:style w:type="paragraph" w:styleId="Explorateurdedocuments">
    <w:name w:val="Document Map"/>
    <w:basedOn w:val="Normal"/>
    <w:semiHidden/>
    <w:rsid w:val="00F82249"/>
    <w:pPr>
      <w:shd w:val="clear" w:color="auto" w:fill="000080"/>
    </w:pPr>
    <w:rPr>
      <w:rFonts w:ascii="Tahoma" w:hAnsi="Tahoma" w:cs="Tahoma"/>
      <w:sz w:val="20"/>
    </w:rPr>
  </w:style>
  <w:style w:type="paragraph" w:styleId="Listepuces2">
    <w:name w:val="List Bullet 2"/>
    <w:basedOn w:val="Listepuces"/>
    <w:rsid w:val="000565FE"/>
    <w:pPr>
      <w:spacing w:after="0"/>
    </w:pPr>
  </w:style>
  <w:style w:type="character" w:styleId="Marquedecommentaire">
    <w:name w:val="annotation reference"/>
    <w:basedOn w:val="Policepardfaut"/>
    <w:uiPriority w:val="99"/>
    <w:semiHidden/>
    <w:rsid w:val="005C2496"/>
    <w:rPr>
      <w:sz w:val="16"/>
      <w:szCs w:val="16"/>
    </w:rPr>
  </w:style>
  <w:style w:type="paragraph" w:styleId="Objetducommentaire">
    <w:name w:val="annotation subject"/>
    <w:basedOn w:val="Commentaire"/>
    <w:next w:val="Commentaire"/>
    <w:semiHidden/>
    <w:rsid w:val="005C2496"/>
    <w:pPr>
      <w:spacing w:after="60"/>
      <w:jc w:val="both"/>
    </w:pPr>
    <w:rPr>
      <w:rFonts w:ascii="Verdana" w:hAnsi="Verdana"/>
      <w:bCs/>
      <w:i/>
      <w:smallCaps/>
      <w:noProof w:val="0"/>
      <w:sz w:val="20"/>
    </w:rPr>
  </w:style>
  <w:style w:type="paragraph" w:styleId="Textedebulles">
    <w:name w:val="Balloon Text"/>
    <w:basedOn w:val="Normal"/>
    <w:semiHidden/>
    <w:rsid w:val="005C2496"/>
    <w:rPr>
      <w:rFonts w:ascii="Tahoma" w:hAnsi="Tahoma"/>
      <w:sz w:val="16"/>
      <w:szCs w:val="16"/>
    </w:rPr>
  </w:style>
  <w:style w:type="paragraph" w:styleId="Titre">
    <w:name w:val="Title"/>
    <w:basedOn w:val="Normal"/>
    <w:next w:val="Sous-titre"/>
    <w:link w:val="TitreCar"/>
    <w:qFormat/>
    <w:rsid w:val="00861259"/>
    <w:pPr>
      <w:widowControl w:val="0"/>
      <w:pBdr>
        <w:top w:val="single" w:sz="12" w:space="9" w:color="1C5840"/>
        <w:bottom w:val="single" w:sz="12" w:space="9" w:color="1C5840"/>
      </w:pBdr>
      <w:spacing w:before="2400" w:after="120"/>
      <w:ind w:left="1134" w:right="1134"/>
      <w:jc w:val="center"/>
    </w:pPr>
    <w:rPr>
      <w:b/>
      <w:smallCaps/>
      <w:color w:val="1C5840"/>
      <w:sz w:val="36"/>
      <w:szCs w:val="36"/>
    </w:rPr>
  </w:style>
  <w:style w:type="paragraph" w:styleId="En-tte">
    <w:name w:val="header"/>
    <w:basedOn w:val="Normal"/>
    <w:rsid w:val="00440155"/>
    <w:pPr>
      <w:tabs>
        <w:tab w:val="center" w:pos="4536"/>
        <w:tab w:val="right" w:pos="9072"/>
      </w:tabs>
    </w:pPr>
  </w:style>
  <w:style w:type="paragraph" w:styleId="Notedebasdepage">
    <w:name w:val="footnote text"/>
    <w:basedOn w:val="Normal"/>
    <w:link w:val="NotedebasdepageCar"/>
    <w:uiPriority w:val="99"/>
    <w:semiHidden/>
    <w:rsid w:val="00AF434D"/>
    <w:pPr>
      <w:jc w:val="left"/>
    </w:pPr>
    <w:rPr>
      <w:sz w:val="16"/>
    </w:rPr>
  </w:style>
  <w:style w:type="character" w:styleId="Appelnotedebasdep">
    <w:name w:val="footnote reference"/>
    <w:basedOn w:val="Policepardfaut"/>
    <w:uiPriority w:val="99"/>
    <w:semiHidden/>
    <w:rsid w:val="00347C5F"/>
    <w:rPr>
      <w:vertAlign w:val="superscript"/>
    </w:rPr>
  </w:style>
  <w:style w:type="numbering" w:customStyle="1" w:styleId="Listenumrote">
    <w:name w:val="Liste numérotée"/>
    <w:rsid w:val="00AE4C08"/>
    <w:pPr>
      <w:numPr>
        <w:numId w:val="7"/>
      </w:numPr>
    </w:pPr>
  </w:style>
  <w:style w:type="character" w:customStyle="1" w:styleId="CommentaireCar">
    <w:name w:val="Commentaire Car"/>
    <w:basedOn w:val="Policepardfaut"/>
    <w:link w:val="Commentaire"/>
    <w:uiPriority w:val="99"/>
    <w:rsid w:val="00CB5FD6"/>
    <w:rPr>
      <w:rFonts w:ascii="Arial" w:hAnsi="Arial"/>
      <w:noProof/>
      <w:sz w:val="18"/>
      <w:lang w:val="fr-FR" w:eastAsia="fr-FR" w:bidi="ar-SA"/>
    </w:rPr>
  </w:style>
  <w:style w:type="character" w:customStyle="1" w:styleId="Titre1Car">
    <w:name w:val="Titre 1 Car"/>
    <w:basedOn w:val="Policepardfaut"/>
    <w:link w:val="Titre1"/>
    <w:rsid w:val="00861259"/>
    <w:rPr>
      <w:rFonts w:ascii="Verdana" w:hAnsi="Verdana"/>
      <w:b/>
      <w:smallCaps/>
      <w:noProof/>
      <w:color w:val="1C5840"/>
      <w:spacing w:val="20"/>
      <w:kern w:val="28"/>
      <w:sz w:val="36"/>
      <w:szCs w:val="36"/>
    </w:rPr>
  </w:style>
  <w:style w:type="character" w:customStyle="1" w:styleId="Titre2Car">
    <w:name w:val="Titre 2 Car"/>
    <w:basedOn w:val="Policepardfaut"/>
    <w:link w:val="Titre2"/>
    <w:rsid w:val="00861259"/>
    <w:rPr>
      <w:rFonts w:ascii="Verdana" w:hAnsi="Verdana"/>
      <w:b/>
      <w:smallCaps/>
      <w:noProof/>
      <w:color w:val="1C5840"/>
      <w:sz w:val="28"/>
      <w:szCs w:val="28"/>
      <w:u w:val="single"/>
    </w:rPr>
  </w:style>
  <w:style w:type="character" w:customStyle="1" w:styleId="Titre3Car">
    <w:name w:val="Titre 3 Car"/>
    <w:basedOn w:val="Policepardfaut"/>
    <w:link w:val="Titre3"/>
    <w:rsid w:val="00861259"/>
    <w:rPr>
      <w:rFonts w:ascii="Verdana" w:hAnsi="Verdana"/>
      <w:b/>
      <w:smallCaps/>
      <w:noProof/>
      <w:lang w:val="it-IT"/>
    </w:rPr>
  </w:style>
  <w:style w:type="character" w:customStyle="1" w:styleId="Titre4Car">
    <w:name w:val="Titre 4 Car"/>
    <w:basedOn w:val="Policepardfaut"/>
    <w:link w:val="Titre4"/>
    <w:rsid w:val="00861259"/>
    <w:rPr>
      <w:rFonts w:ascii="Verdana" w:hAnsi="Verdana"/>
      <w:b/>
      <w:bCs/>
      <w:sz w:val="18"/>
    </w:rPr>
  </w:style>
  <w:style w:type="character" w:customStyle="1" w:styleId="Titre5Car">
    <w:name w:val="Titre 5 Car"/>
    <w:aliases w:val="petites maj Car"/>
    <w:basedOn w:val="Policepardfaut"/>
    <w:link w:val="Titre5"/>
    <w:rsid w:val="00861259"/>
    <w:rPr>
      <w:rFonts w:ascii="Arial" w:hAnsi="Arial"/>
      <w:b/>
      <w:caps/>
      <w:smallCaps/>
      <w:sz w:val="22"/>
      <w:szCs w:val="28"/>
    </w:rPr>
  </w:style>
  <w:style w:type="character" w:customStyle="1" w:styleId="Titre6Car">
    <w:name w:val="Titre 6 Car"/>
    <w:basedOn w:val="Policepardfaut"/>
    <w:link w:val="Titre6"/>
    <w:rsid w:val="00861259"/>
    <w:rPr>
      <w:rFonts w:ascii="Arial" w:hAnsi="Arial"/>
      <w:b/>
      <w:noProof/>
      <w:sz w:val="22"/>
      <w:szCs w:val="22"/>
    </w:rPr>
  </w:style>
  <w:style w:type="character" w:customStyle="1" w:styleId="Titre7Car">
    <w:name w:val="Titre 7 Car"/>
    <w:basedOn w:val="Policepardfaut"/>
    <w:link w:val="Titre7"/>
    <w:rsid w:val="00861259"/>
    <w:rPr>
      <w:rFonts w:ascii="Arial" w:eastAsiaTheme="majorEastAsia" w:hAnsi="Arial" w:cstheme="majorBidi"/>
      <w:b/>
      <w:noProof/>
      <w:sz w:val="22"/>
      <w:szCs w:val="22"/>
    </w:rPr>
  </w:style>
  <w:style w:type="character" w:customStyle="1" w:styleId="Titre8Car">
    <w:name w:val="Titre 8 Car"/>
    <w:basedOn w:val="Policepardfaut"/>
    <w:link w:val="Titre8"/>
    <w:rsid w:val="00861259"/>
    <w:rPr>
      <w:rFonts w:ascii="Arial" w:hAnsi="Arial"/>
      <w:b/>
      <w:caps/>
      <w:noProof/>
      <w:sz w:val="32"/>
    </w:rPr>
  </w:style>
  <w:style w:type="character" w:customStyle="1" w:styleId="Titre9Car">
    <w:name w:val="Titre 9 Car"/>
    <w:basedOn w:val="Policepardfaut"/>
    <w:link w:val="Titre9"/>
    <w:rsid w:val="00861259"/>
    <w:rPr>
      <w:rFonts w:ascii="Arial" w:hAnsi="Arial"/>
      <w:b/>
      <w:noProof/>
      <w:sz w:val="22"/>
      <w:szCs w:val="22"/>
    </w:rPr>
  </w:style>
  <w:style w:type="character" w:customStyle="1" w:styleId="TitreCar">
    <w:name w:val="Titre Car"/>
    <w:basedOn w:val="Policepardfaut"/>
    <w:link w:val="Titre"/>
    <w:rsid w:val="00861259"/>
    <w:rPr>
      <w:rFonts w:ascii="Verdana" w:hAnsi="Verdana"/>
      <w:b/>
      <w:smallCaps/>
      <w:color w:val="1C5840"/>
      <w:sz w:val="36"/>
      <w:szCs w:val="36"/>
    </w:rPr>
  </w:style>
  <w:style w:type="character" w:customStyle="1" w:styleId="Sous-titreCar">
    <w:name w:val="Sous-titre Car"/>
    <w:basedOn w:val="Policepardfaut"/>
    <w:link w:val="Sous-titre"/>
    <w:rsid w:val="00861259"/>
    <w:rPr>
      <w:rFonts w:ascii="Verdana" w:eastAsiaTheme="majorEastAsia" w:hAnsi="Verdana" w:cstheme="majorBidi"/>
      <w:b/>
      <w:smallCaps/>
      <w:color w:val="1C5840"/>
      <w:sz w:val="28"/>
      <w:szCs w:val="28"/>
    </w:rPr>
  </w:style>
  <w:style w:type="paragraph" w:styleId="Paragraphedeliste">
    <w:name w:val="List Paragraph"/>
    <w:aliases w:val="References"/>
    <w:basedOn w:val="Normal"/>
    <w:link w:val="ParagraphedelisteCar"/>
    <w:qFormat/>
    <w:rsid w:val="00861259"/>
    <w:pPr>
      <w:ind w:left="720"/>
      <w:contextualSpacing/>
    </w:pPr>
  </w:style>
  <w:style w:type="character" w:customStyle="1" w:styleId="ParagraphedelisteCar">
    <w:name w:val="Paragraphe de liste Car"/>
    <w:aliases w:val="References Car"/>
    <w:link w:val="Paragraphedeliste"/>
    <w:uiPriority w:val="34"/>
    <w:locked/>
    <w:rsid w:val="00861259"/>
    <w:rPr>
      <w:rFonts w:ascii="Verdana" w:hAnsi="Verdana"/>
      <w:sz w:val="18"/>
    </w:rPr>
  </w:style>
  <w:style w:type="paragraph" w:styleId="En-ttedetabledesmatires">
    <w:name w:val="TOC Heading"/>
    <w:basedOn w:val="Titre1"/>
    <w:next w:val="Normal"/>
    <w:uiPriority w:val="39"/>
    <w:semiHidden/>
    <w:unhideWhenUsed/>
    <w:qFormat/>
    <w:rsid w:val="00861259"/>
    <w:pPr>
      <w:pBdr>
        <w:bottom w:val="none" w:sz="0" w:space="0" w:color="auto"/>
      </w:pBdr>
      <w:spacing w:after="0" w:line="276" w:lineRule="auto"/>
      <w:outlineLvl w:val="9"/>
    </w:pPr>
    <w:rPr>
      <w:rFonts w:asciiTheme="majorHAnsi" w:eastAsiaTheme="majorEastAsia" w:hAnsiTheme="majorHAnsi" w:cstheme="majorBidi"/>
      <w:bCs/>
      <w:smallCaps w:val="0"/>
      <w:noProof w:val="0"/>
      <w:color w:val="365F91" w:themeColor="accent1" w:themeShade="BF"/>
      <w:spacing w:val="0"/>
      <w:kern w:val="0"/>
      <w:sz w:val="28"/>
      <w:szCs w:val="28"/>
      <w:lang w:eastAsia="fr-FR"/>
    </w:rPr>
  </w:style>
  <w:style w:type="character" w:customStyle="1" w:styleId="NotedebasdepageCar">
    <w:name w:val="Note de bas de page Car"/>
    <w:basedOn w:val="Policepardfaut"/>
    <w:link w:val="Notedebasdepage"/>
    <w:uiPriority w:val="99"/>
    <w:semiHidden/>
    <w:rsid w:val="001E4193"/>
    <w:rPr>
      <w:rFonts w:ascii="Verdana" w:hAnsi="Verdana"/>
      <w:sz w:val="16"/>
    </w:rPr>
  </w:style>
  <w:style w:type="table" w:styleId="Grilledutableau">
    <w:name w:val="Table Grid"/>
    <w:basedOn w:val="TableauNormal"/>
    <w:rsid w:val="009A3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259"/>
    <w:pPr>
      <w:spacing w:after="60"/>
      <w:jc w:val="both"/>
    </w:pPr>
    <w:rPr>
      <w:rFonts w:ascii="Verdana" w:hAnsi="Verdana"/>
      <w:sz w:val="18"/>
    </w:rPr>
  </w:style>
  <w:style w:type="paragraph" w:styleId="Titre1">
    <w:name w:val="heading 1"/>
    <w:next w:val="Normal"/>
    <w:link w:val="Titre1Car"/>
    <w:qFormat/>
    <w:rsid w:val="00861259"/>
    <w:pPr>
      <w:keepNext/>
      <w:keepLines/>
      <w:pBdr>
        <w:bottom w:val="single" w:sz="12" w:space="1" w:color="1C5840"/>
      </w:pBdr>
      <w:spacing w:before="480" w:after="240"/>
      <w:outlineLvl w:val="0"/>
    </w:pPr>
    <w:rPr>
      <w:rFonts w:ascii="Verdana" w:hAnsi="Verdana"/>
      <w:b/>
      <w:smallCaps/>
      <w:noProof/>
      <w:color w:val="1C5840"/>
      <w:spacing w:val="20"/>
      <w:kern w:val="28"/>
      <w:sz w:val="36"/>
      <w:szCs w:val="36"/>
    </w:rPr>
  </w:style>
  <w:style w:type="paragraph" w:styleId="Titre2">
    <w:name w:val="heading 2"/>
    <w:next w:val="Normal"/>
    <w:link w:val="Titre2Car"/>
    <w:qFormat/>
    <w:rsid w:val="00861259"/>
    <w:pPr>
      <w:keepNext/>
      <w:keepLines/>
      <w:spacing w:before="360" w:after="120"/>
      <w:outlineLvl w:val="1"/>
    </w:pPr>
    <w:rPr>
      <w:rFonts w:ascii="Verdana" w:hAnsi="Verdana"/>
      <w:b/>
      <w:smallCaps/>
      <w:noProof/>
      <w:color w:val="1C5840"/>
      <w:sz w:val="28"/>
      <w:szCs w:val="28"/>
      <w:u w:val="single"/>
    </w:rPr>
  </w:style>
  <w:style w:type="paragraph" w:styleId="Titre3">
    <w:name w:val="heading 3"/>
    <w:next w:val="Normal"/>
    <w:link w:val="Titre3Car"/>
    <w:qFormat/>
    <w:rsid w:val="00861259"/>
    <w:pPr>
      <w:keepNext/>
      <w:keepLines/>
      <w:spacing w:before="180" w:after="120"/>
      <w:outlineLvl w:val="2"/>
    </w:pPr>
    <w:rPr>
      <w:rFonts w:ascii="Verdana" w:hAnsi="Verdana"/>
      <w:b/>
      <w:smallCaps/>
      <w:noProof/>
      <w:lang w:val="it-IT"/>
    </w:rPr>
  </w:style>
  <w:style w:type="paragraph" w:styleId="Titre4">
    <w:name w:val="heading 4"/>
    <w:basedOn w:val="Normal"/>
    <w:next w:val="Normal"/>
    <w:link w:val="Titre4Car"/>
    <w:qFormat/>
    <w:rsid w:val="00861259"/>
    <w:pPr>
      <w:keepNext/>
      <w:keepLines/>
      <w:numPr>
        <w:numId w:val="2"/>
      </w:numPr>
      <w:tabs>
        <w:tab w:val="clear" w:pos="340"/>
        <w:tab w:val="num" w:pos="720"/>
      </w:tabs>
      <w:spacing w:before="60"/>
      <w:ind w:left="720" w:hanging="360"/>
      <w:jc w:val="left"/>
      <w:outlineLvl w:val="3"/>
    </w:pPr>
    <w:rPr>
      <w:b/>
      <w:bCs/>
    </w:rPr>
  </w:style>
  <w:style w:type="paragraph" w:styleId="Titre5">
    <w:name w:val="heading 5"/>
    <w:aliases w:val="petites maj"/>
    <w:basedOn w:val="Titre7"/>
    <w:next w:val="Normal"/>
    <w:link w:val="Titre5Car"/>
    <w:qFormat/>
    <w:rsid w:val="00861259"/>
    <w:pPr>
      <w:spacing w:before="240"/>
      <w:outlineLvl w:val="4"/>
    </w:pPr>
    <w:rPr>
      <w:caps/>
      <w:smallCaps/>
      <w:noProof w:val="0"/>
      <w:szCs w:val="28"/>
    </w:rPr>
  </w:style>
  <w:style w:type="paragraph" w:styleId="Titre6">
    <w:name w:val="heading 6"/>
    <w:next w:val="Normal"/>
    <w:link w:val="Titre6Car"/>
    <w:qFormat/>
    <w:rsid w:val="00861259"/>
    <w:pPr>
      <w:tabs>
        <w:tab w:val="num" w:pos="1854"/>
      </w:tabs>
      <w:spacing w:before="240" w:after="120"/>
      <w:ind w:left="1985" w:hanging="681"/>
      <w:jc w:val="both"/>
      <w:outlineLvl w:val="5"/>
    </w:pPr>
    <w:rPr>
      <w:rFonts w:ascii="Arial" w:hAnsi="Arial"/>
      <w:b/>
      <w:noProof/>
      <w:sz w:val="22"/>
      <w:szCs w:val="22"/>
    </w:rPr>
  </w:style>
  <w:style w:type="paragraph" w:styleId="Titre7">
    <w:name w:val="heading 7"/>
    <w:next w:val="Normal"/>
    <w:link w:val="Titre7Car"/>
    <w:qFormat/>
    <w:rsid w:val="00861259"/>
    <w:pPr>
      <w:tabs>
        <w:tab w:val="num" w:pos="360"/>
      </w:tabs>
      <w:spacing w:before="120" w:after="120"/>
      <w:ind w:left="360" w:hanging="360"/>
      <w:outlineLvl w:val="6"/>
    </w:pPr>
    <w:rPr>
      <w:rFonts w:ascii="Arial" w:eastAsiaTheme="majorEastAsia" w:hAnsi="Arial" w:cstheme="majorBidi"/>
      <w:b/>
      <w:noProof/>
      <w:sz w:val="22"/>
      <w:szCs w:val="22"/>
    </w:rPr>
  </w:style>
  <w:style w:type="paragraph" w:styleId="Titre8">
    <w:name w:val="heading 8"/>
    <w:next w:val="Normal"/>
    <w:link w:val="Titre8Car"/>
    <w:qFormat/>
    <w:rsid w:val="00861259"/>
    <w:pPr>
      <w:numPr>
        <w:numId w:val="4"/>
      </w:numPr>
      <w:pBdr>
        <w:top w:val="single" w:sz="4" w:space="1" w:color="auto"/>
        <w:bottom w:val="single" w:sz="4" w:space="1" w:color="auto"/>
      </w:pBdr>
      <w:tabs>
        <w:tab w:val="clear" w:pos="643"/>
        <w:tab w:val="num" w:pos="360"/>
        <w:tab w:val="left" w:pos="709"/>
      </w:tabs>
      <w:spacing w:before="240" w:after="240"/>
      <w:ind w:left="360"/>
      <w:jc w:val="center"/>
      <w:outlineLvl w:val="7"/>
    </w:pPr>
    <w:rPr>
      <w:rFonts w:ascii="Arial" w:hAnsi="Arial"/>
      <w:b/>
      <w:caps/>
      <w:noProof/>
      <w:sz w:val="32"/>
    </w:rPr>
  </w:style>
  <w:style w:type="paragraph" w:styleId="Titre9">
    <w:name w:val="heading 9"/>
    <w:next w:val="Normal"/>
    <w:link w:val="Titre9Car"/>
    <w:qFormat/>
    <w:rsid w:val="00861259"/>
    <w:pPr>
      <w:numPr>
        <w:numId w:val="5"/>
      </w:numPr>
      <w:tabs>
        <w:tab w:val="clear" w:pos="926"/>
        <w:tab w:val="num" w:pos="360"/>
        <w:tab w:val="left" w:pos="1134"/>
      </w:tabs>
      <w:spacing w:before="240" w:after="60"/>
      <w:ind w:left="360"/>
      <w:outlineLvl w:val="8"/>
    </w:pPr>
    <w:rPr>
      <w:rFonts w:ascii="Arial" w:hAnsi="Arial"/>
      <w:b/>
      <w:noProo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uteur">
    <w:name w:val="_auteur"/>
    <w:basedOn w:val="Normal"/>
    <w:next w:val="refdate"/>
    <w:rsid w:val="008970E1"/>
    <w:pPr>
      <w:spacing w:after="0"/>
      <w:jc w:val="right"/>
    </w:pPr>
    <w:rPr>
      <w:b/>
      <w:bCs/>
      <w:color w:val="1C5840"/>
      <w:sz w:val="16"/>
    </w:rPr>
  </w:style>
  <w:style w:type="paragraph" w:customStyle="1" w:styleId="refdate">
    <w:name w:val="_ref_date"/>
    <w:basedOn w:val="auteur"/>
    <w:rsid w:val="008970E1"/>
    <w:rPr>
      <w:b w:val="0"/>
      <w:bCs w:val="0"/>
    </w:rPr>
  </w:style>
  <w:style w:type="paragraph" w:styleId="Pieddepage">
    <w:name w:val="footer"/>
    <w:basedOn w:val="Normal"/>
    <w:rsid w:val="00105D91"/>
    <w:pPr>
      <w:pBdr>
        <w:top w:val="single" w:sz="4" w:space="1" w:color="1C5840"/>
      </w:pBdr>
      <w:tabs>
        <w:tab w:val="right" w:pos="10206"/>
      </w:tabs>
      <w:spacing w:after="0"/>
      <w:jc w:val="left"/>
    </w:pPr>
    <w:rPr>
      <w:color w:val="1C5840"/>
      <w:sz w:val="16"/>
    </w:rPr>
  </w:style>
  <w:style w:type="character" w:styleId="Lienhypertexte">
    <w:name w:val="Hyperlink"/>
    <w:basedOn w:val="Policepardfaut"/>
    <w:uiPriority w:val="99"/>
    <w:rsid w:val="00B04B57"/>
    <w:rPr>
      <w:color w:val="1C5840"/>
      <w:u w:val="single"/>
    </w:rPr>
  </w:style>
  <w:style w:type="paragraph" w:styleId="Commentaire">
    <w:name w:val="annotation text"/>
    <w:link w:val="CommentaireCar"/>
    <w:uiPriority w:val="99"/>
    <w:semiHidden/>
    <w:rsid w:val="00AF434D"/>
    <w:rPr>
      <w:rFonts w:ascii="Arial" w:hAnsi="Arial"/>
      <w:noProof/>
      <w:sz w:val="18"/>
    </w:rPr>
  </w:style>
  <w:style w:type="paragraph" w:styleId="Listepuces">
    <w:name w:val="List Bullet"/>
    <w:basedOn w:val="Normal"/>
    <w:rsid w:val="00347C5F"/>
    <w:pPr>
      <w:numPr>
        <w:numId w:val="6"/>
      </w:numPr>
    </w:pPr>
  </w:style>
  <w:style w:type="paragraph" w:customStyle="1" w:styleId="TitreAnnexe">
    <w:name w:val="Titre Annexe"/>
    <w:basedOn w:val="Titre1"/>
    <w:rsid w:val="00603240"/>
    <w:pPr>
      <w:pageBreakBefore/>
      <w:spacing w:before="0"/>
    </w:pPr>
  </w:style>
  <w:style w:type="paragraph" w:customStyle="1" w:styleId="titre70">
    <w:name w:val="titre 7"/>
    <w:basedOn w:val="Titre9"/>
    <w:next w:val="Normal"/>
    <w:semiHidden/>
    <w:pPr>
      <w:spacing w:after="120"/>
    </w:pPr>
  </w:style>
  <w:style w:type="paragraph" w:customStyle="1" w:styleId="Titre3min">
    <w:name w:val="Titre 3 min"/>
    <w:basedOn w:val="Titre3"/>
    <w:next w:val="Normal"/>
    <w:semiHidden/>
    <w:rsid w:val="000F3DC1"/>
    <w:pPr>
      <w:numPr>
        <w:ilvl w:val="2"/>
        <w:numId w:val="1"/>
      </w:numPr>
      <w:jc w:val="both"/>
    </w:pPr>
    <w:rPr>
      <w:smallCaps w:val="0"/>
      <w:szCs w:val="24"/>
    </w:rPr>
  </w:style>
  <w:style w:type="paragraph" w:customStyle="1" w:styleId="titreparagraphe1">
    <w:name w:val="titre paragraphe 1"/>
    <w:next w:val="Normal"/>
    <w:semiHidden/>
    <w:pPr>
      <w:numPr>
        <w:numId w:val="3"/>
      </w:numPr>
      <w:spacing w:before="120" w:after="120"/>
    </w:pPr>
    <w:rPr>
      <w:rFonts w:ascii="Arial" w:hAnsi="Arial"/>
      <w:b/>
      <w:noProof/>
      <w:sz w:val="28"/>
      <w:szCs w:val="28"/>
      <w:u w:val="dotDash"/>
    </w:rPr>
  </w:style>
  <w:style w:type="paragraph" w:customStyle="1" w:styleId="basdepage">
    <w:name w:val="bas de page"/>
    <w:basedOn w:val="Pieddepage"/>
    <w:rsid w:val="005B5382"/>
    <w:pPr>
      <w:pBdr>
        <w:top w:val="single" w:sz="2" w:space="0" w:color="1C5840"/>
      </w:pBdr>
      <w:tabs>
        <w:tab w:val="clear" w:pos="10206"/>
        <w:tab w:val="right" w:pos="9639"/>
      </w:tabs>
    </w:pPr>
  </w:style>
  <w:style w:type="character" w:customStyle="1" w:styleId="fortCar">
    <w:name w:val="fort Car"/>
    <w:basedOn w:val="Policepardfaut"/>
    <w:link w:val="fort"/>
    <w:rsid w:val="00E30B99"/>
    <w:rPr>
      <w:rFonts w:ascii="Verdana" w:hAnsi="Verdana"/>
      <w:b/>
      <w:color w:val="1C5840"/>
      <w:sz w:val="18"/>
      <w:szCs w:val="18"/>
      <w:lang w:val="fr-FR" w:eastAsia="fr-FR" w:bidi="ar-SA"/>
    </w:rPr>
  </w:style>
  <w:style w:type="paragraph" w:customStyle="1" w:styleId="fort">
    <w:name w:val="fort"/>
    <w:basedOn w:val="Normal"/>
    <w:next w:val="Normal"/>
    <w:link w:val="fortCar"/>
    <w:rsid w:val="00C476B9"/>
    <w:rPr>
      <w:b/>
      <w:color w:val="1C5840"/>
      <w:szCs w:val="18"/>
    </w:rPr>
  </w:style>
  <w:style w:type="table" w:customStyle="1" w:styleId="tableau1">
    <w:name w:val="tableau1"/>
    <w:basedOn w:val="TableauNormal"/>
    <w:rsid w:val="00BB1671"/>
    <w:rPr>
      <w:rFonts w:ascii="Verdana" w:hAnsi="Verdana"/>
      <w:sz w:val="18"/>
    </w:rPr>
    <w:tblPr>
      <w:tblInd w:w="0" w:type="dxa"/>
      <w:tblBorders>
        <w:top w:val="single" w:sz="12" w:space="0" w:color="1C5840"/>
        <w:left w:val="single" w:sz="12" w:space="0" w:color="1C5840"/>
        <w:bottom w:val="single" w:sz="12" w:space="0" w:color="1C5840"/>
        <w:right w:val="single" w:sz="12" w:space="0" w:color="1C5840"/>
        <w:insideH w:val="single" w:sz="12" w:space="0" w:color="1C5840"/>
        <w:insideV w:val="single" w:sz="12" w:space="0" w:color="1C5840"/>
      </w:tblBorders>
      <w:tblCellMar>
        <w:top w:w="0" w:type="dxa"/>
        <w:left w:w="108" w:type="dxa"/>
        <w:bottom w:w="0" w:type="dxa"/>
        <w:right w:w="108" w:type="dxa"/>
      </w:tblCellMar>
    </w:tblPr>
  </w:style>
  <w:style w:type="character" w:styleId="Lienhypertextesuivivisit">
    <w:name w:val="FollowedHyperlink"/>
    <w:basedOn w:val="Policepardfaut"/>
    <w:rsid w:val="00E30B99"/>
    <w:rPr>
      <w:color w:val="1C5840"/>
      <w:u w:val="single"/>
    </w:rPr>
  </w:style>
  <w:style w:type="paragraph" w:styleId="TM1">
    <w:name w:val="toc 1"/>
    <w:basedOn w:val="Normal"/>
    <w:next w:val="Normal"/>
    <w:autoRedefine/>
    <w:uiPriority w:val="39"/>
    <w:rsid w:val="009C2A95"/>
    <w:pPr>
      <w:pBdr>
        <w:bottom w:val="single" w:sz="2" w:space="0" w:color="1C5840"/>
        <w:between w:val="single" w:sz="2" w:space="0" w:color="1C5840"/>
      </w:pBdr>
      <w:tabs>
        <w:tab w:val="right" w:leader="underscore" w:pos="10206"/>
      </w:tabs>
      <w:spacing w:before="240" w:after="0"/>
    </w:pPr>
    <w:rPr>
      <w:b/>
      <w:smallCaps/>
      <w:noProof/>
      <w:color w:val="1C5840"/>
      <w:sz w:val="24"/>
      <w:szCs w:val="28"/>
    </w:rPr>
  </w:style>
  <w:style w:type="paragraph" w:styleId="TM2">
    <w:name w:val="toc 2"/>
    <w:basedOn w:val="Normal"/>
    <w:next w:val="Normal"/>
    <w:autoRedefine/>
    <w:uiPriority w:val="39"/>
    <w:rsid w:val="009C2A95"/>
    <w:pPr>
      <w:tabs>
        <w:tab w:val="right" w:leader="dot" w:pos="10206"/>
      </w:tabs>
      <w:spacing w:before="120" w:after="0"/>
      <w:ind w:left="567"/>
    </w:pPr>
    <w:rPr>
      <w:b/>
      <w:bCs/>
      <w:smallCaps/>
      <w:noProof/>
      <w:color w:val="1C5840"/>
      <w:sz w:val="20"/>
      <w:szCs w:val="18"/>
    </w:rPr>
  </w:style>
  <w:style w:type="paragraph" w:styleId="TM3">
    <w:name w:val="toc 3"/>
    <w:basedOn w:val="Normal"/>
    <w:next w:val="Normal"/>
    <w:autoRedefine/>
    <w:uiPriority w:val="39"/>
    <w:rsid w:val="009C2A95"/>
    <w:pPr>
      <w:tabs>
        <w:tab w:val="right" w:pos="10206"/>
      </w:tabs>
      <w:spacing w:after="0"/>
      <w:ind w:left="851"/>
    </w:pPr>
    <w:rPr>
      <w:noProof/>
      <w:color w:val="1C5840"/>
      <w:szCs w:val="18"/>
    </w:rPr>
  </w:style>
  <w:style w:type="paragraph" w:styleId="Lgende">
    <w:name w:val="caption"/>
    <w:basedOn w:val="Normal"/>
    <w:next w:val="Normal"/>
    <w:uiPriority w:val="35"/>
    <w:qFormat/>
    <w:rsid w:val="00861259"/>
    <w:pPr>
      <w:spacing w:before="60"/>
      <w:jc w:val="right"/>
    </w:pPr>
    <w:rPr>
      <w:b/>
      <w:bCs/>
      <w:sz w:val="16"/>
    </w:rPr>
  </w:style>
  <w:style w:type="paragraph" w:styleId="Tabledesillustrations">
    <w:name w:val="table of figures"/>
    <w:basedOn w:val="Normal"/>
    <w:next w:val="Normal"/>
    <w:semiHidden/>
    <w:rsid w:val="00F96CA8"/>
  </w:style>
  <w:style w:type="paragraph" w:styleId="Sous-titre">
    <w:name w:val="Subtitle"/>
    <w:basedOn w:val="Normal"/>
    <w:next w:val="Titre1"/>
    <w:link w:val="Sous-titreCar"/>
    <w:qFormat/>
    <w:rsid w:val="00861259"/>
    <w:pPr>
      <w:widowControl w:val="0"/>
      <w:pBdr>
        <w:bottom w:val="single" w:sz="12" w:space="12" w:color="1C5840"/>
      </w:pBdr>
      <w:spacing w:before="120" w:after="240"/>
      <w:ind w:left="1701" w:right="1699"/>
      <w:jc w:val="center"/>
    </w:pPr>
    <w:rPr>
      <w:rFonts w:eastAsiaTheme="majorEastAsia" w:cstheme="majorBidi"/>
      <w:b/>
      <w:smallCaps/>
      <w:color w:val="1C5840"/>
      <w:sz w:val="28"/>
      <w:szCs w:val="28"/>
    </w:rPr>
  </w:style>
  <w:style w:type="paragraph" w:customStyle="1" w:styleId="tableautitrecolonnes">
    <w:name w:val="tableau titre colonnes"/>
    <w:basedOn w:val="Normal"/>
    <w:rsid w:val="00B234D7"/>
    <w:pPr>
      <w:jc w:val="center"/>
    </w:pPr>
    <w:rPr>
      <w:b/>
      <w:smallCaps/>
      <w:color w:val="1C5840"/>
      <w:szCs w:val="18"/>
    </w:rPr>
  </w:style>
  <w:style w:type="paragraph" w:customStyle="1" w:styleId="tableaucontenu">
    <w:name w:val="tableau contenu"/>
    <w:basedOn w:val="Normal"/>
    <w:rsid w:val="00A56F34"/>
    <w:pPr>
      <w:jc w:val="center"/>
    </w:pPr>
  </w:style>
  <w:style w:type="paragraph" w:styleId="TM4">
    <w:name w:val="toc 4"/>
    <w:basedOn w:val="Normal"/>
    <w:next w:val="Normal"/>
    <w:autoRedefine/>
    <w:rsid w:val="00C90087"/>
    <w:pPr>
      <w:ind w:left="540"/>
    </w:pPr>
  </w:style>
  <w:style w:type="paragraph" w:styleId="TM5">
    <w:name w:val="toc 5"/>
    <w:basedOn w:val="Normal"/>
    <w:next w:val="Normal"/>
    <w:autoRedefine/>
    <w:rsid w:val="00C90087"/>
    <w:pPr>
      <w:ind w:left="720"/>
    </w:pPr>
  </w:style>
  <w:style w:type="paragraph" w:styleId="Explorateurdedocuments">
    <w:name w:val="Document Map"/>
    <w:basedOn w:val="Normal"/>
    <w:semiHidden/>
    <w:rsid w:val="00F82249"/>
    <w:pPr>
      <w:shd w:val="clear" w:color="auto" w:fill="000080"/>
    </w:pPr>
    <w:rPr>
      <w:rFonts w:ascii="Tahoma" w:hAnsi="Tahoma" w:cs="Tahoma"/>
      <w:sz w:val="20"/>
    </w:rPr>
  </w:style>
  <w:style w:type="paragraph" w:styleId="Listepuces2">
    <w:name w:val="List Bullet 2"/>
    <w:basedOn w:val="Listepuces"/>
    <w:rsid w:val="000565FE"/>
    <w:pPr>
      <w:spacing w:after="0"/>
    </w:pPr>
  </w:style>
  <w:style w:type="character" w:styleId="Marquedecommentaire">
    <w:name w:val="annotation reference"/>
    <w:basedOn w:val="Policepardfaut"/>
    <w:uiPriority w:val="99"/>
    <w:semiHidden/>
    <w:rsid w:val="005C2496"/>
    <w:rPr>
      <w:sz w:val="16"/>
      <w:szCs w:val="16"/>
    </w:rPr>
  </w:style>
  <w:style w:type="paragraph" w:styleId="Objetducommentaire">
    <w:name w:val="annotation subject"/>
    <w:basedOn w:val="Commentaire"/>
    <w:next w:val="Commentaire"/>
    <w:semiHidden/>
    <w:rsid w:val="005C2496"/>
    <w:pPr>
      <w:spacing w:after="60"/>
      <w:jc w:val="both"/>
    </w:pPr>
    <w:rPr>
      <w:rFonts w:ascii="Verdana" w:hAnsi="Verdana"/>
      <w:bCs/>
      <w:i/>
      <w:smallCaps/>
      <w:noProof w:val="0"/>
      <w:sz w:val="20"/>
    </w:rPr>
  </w:style>
  <w:style w:type="paragraph" w:styleId="Textedebulles">
    <w:name w:val="Balloon Text"/>
    <w:basedOn w:val="Normal"/>
    <w:semiHidden/>
    <w:rsid w:val="005C2496"/>
    <w:rPr>
      <w:rFonts w:ascii="Tahoma" w:hAnsi="Tahoma"/>
      <w:sz w:val="16"/>
      <w:szCs w:val="16"/>
    </w:rPr>
  </w:style>
  <w:style w:type="paragraph" w:styleId="Titre">
    <w:name w:val="Title"/>
    <w:basedOn w:val="Normal"/>
    <w:next w:val="Sous-titre"/>
    <w:link w:val="TitreCar"/>
    <w:qFormat/>
    <w:rsid w:val="00861259"/>
    <w:pPr>
      <w:widowControl w:val="0"/>
      <w:pBdr>
        <w:top w:val="single" w:sz="12" w:space="9" w:color="1C5840"/>
        <w:bottom w:val="single" w:sz="12" w:space="9" w:color="1C5840"/>
      </w:pBdr>
      <w:spacing w:before="2400" w:after="120"/>
      <w:ind w:left="1134" w:right="1134"/>
      <w:jc w:val="center"/>
    </w:pPr>
    <w:rPr>
      <w:b/>
      <w:smallCaps/>
      <w:color w:val="1C5840"/>
      <w:sz w:val="36"/>
      <w:szCs w:val="36"/>
    </w:rPr>
  </w:style>
  <w:style w:type="paragraph" w:styleId="En-tte">
    <w:name w:val="header"/>
    <w:basedOn w:val="Normal"/>
    <w:rsid w:val="00440155"/>
    <w:pPr>
      <w:tabs>
        <w:tab w:val="center" w:pos="4536"/>
        <w:tab w:val="right" w:pos="9072"/>
      </w:tabs>
    </w:pPr>
  </w:style>
  <w:style w:type="paragraph" w:styleId="Notedebasdepage">
    <w:name w:val="footnote text"/>
    <w:basedOn w:val="Normal"/>
    <w:link w:val="NotedebasdepageCar"/>
    <w:uiPriority w:val="99"/>
    <w:semiHidden/>
    <w:rsid w:val="00AF434D"/>
    <w:pPr>
      <w:jc w:val="left"/>
    </w:pPr>
    <w:rPr>
      <w:sz w:val="16"/>
    </w:rPr>
  </w:style>
  <w:style w:type="character" w:styleId="Appelnotedebasdep">
    <w:name w:val="footnote reference"/>
    <w:basedOn w:val="Policepardfaut"/>
    <w:uiPriority w:val="99"/>
    <w:semiHidden/>
    <w:rsid w:val="00347C5F"/>
    <w:rPr>
      <w:vertAlign w:val="superscript"/>
    </w:rPr>
  </w:style>
  <w:style w:type="numbering" w:customStyle="1" w:styleId="Listenumrote">
    <w:name w:val="Liste numérotée"/>
    <w:rsid w:val="00AE4C08"/>
    <w:pPr>
      <w:numPr>
        <w:numId w:val="7"/>
      </w:numPr>
    </w:pPr>
  </w:style>
  <w:style w:type="character" w:customStyle="1" w:styleId="CommentaireCar">
    <w:name w:val="Commentaire Car"/>
    <w:basedOn w:val="Policepardfaut"/>
    <w:link w:val="Commentaire"/>
    <w:uiPriority w:val="99"/>
    <w:rsid w:val="00CB5FD6"/>
    <w:rPr>
      <w:rFonts w:ascii="Arial" w:hAnsi="Arial"/>
      <w:noProof/>
      <w:sz w:val="18"/>
      <w:lang w:val="fr-FR" w:eastAsia="fr-FR" w:bidi="ar-SA"/>
    </w:rPr>
  </w:style>
  <w:style w:type="character" w:customStyle="1" w:styleId="Titre1Car">
    <w:name w:val="Titre 1 Car"/>
    <w:basedOn w:val="Policepardfaut"/>
    <w:link w:val="Titre1"/>
    <w:rsid w:val="00861259"/>
    <w:rPr>
      <w:rFonts w:ascii="Verdana" w:hAnsi="Verdana"/>
      <w:b/>
      <w:smallCaps/>
      <w:noProof/>
      <w:color w:val="1C5840"/>
      <w:spacing w:val="20"/>
      <w:kern w:val="28"/>
      <w:sz w:val="36"/>
      <w:szCs w:val="36"/>
    </w:rPr>
  </w:style>
  <w:style w:type="character" w:customStyle="1" w:styleId="Titre2Car">
    <w:name w:val="Titre 2 Car"/>
    <w:basedOn w:val="Policepardfaut"/>
    <w:link w:val="Titre2"/>
    <w:rsid w:val="00861259"/>
    <w:rPr>
      <w:rFonts w:ascii="Verdana" w:hAnsi="Verdana"/>
      <w:b/>
      <w:smallCaps/>
      <w:noProof/>
      <w:color w:val="1C5840"/>
      <w:sz w:val="28"/>
      <w:szCs w:val="28"/>
      <w:u w:val="single"/>
    </w:rPr>
  </w:style>
  <w:style w:type="character" w:customStyle="1" w:styleId="Titre3Car">
    <w:name w:val="Titre 3 Car"/>
    <w:basedOn w:val="Policepardfaut"/>
    <w:link w:val="Titre3"/>
    <w:rsid w:val="00861259"/>
    <w:rPr>
      <w:rFonts w:ascii="Verdana" w:hAnsi="Verdana"/>
      <w:b/>
      <w:smallCaps/>
      <w:noProof/>
      <w:lang w:val="it-IT"/>
    </w:rPr>
  </w:style>
  <w:style w:type="character" w:customStyle="1" w:styleId="Titre4Car">
    <w:name w:val="Titre 4 Car"/>
    <w:basedOn w:val="Policepardfaut"/>
    <w:link w:val="Titre4"/>
    <w:rsid w:val="00861259"/>
    <w:rPr>
      <w:rFonts w:ascii="Verdana" w:hAnsi="Verdana"/>
      <w:b/>
      <w:bCs/>
      <w:sz w:val="18"/>
    </w:rPr>
  </w:style>
  <w:style w:type="character" w:customStyle="1" w:styleId="Titre5Car">
    <w:name w:val="Titre 5 Car"/>
    <w:aliases w:val="petites maj Car"/>
    <w:basedOn w:val="Policepardfaut"/>
    <w:link w:val="Titre5"/>
    <w:rsid w:val="00861259"/>
    <w:rPr>
      <w:rFonts w:ascii="Arial" w:hAnsi="Arial"/>
      <w:b/>
      <w:caps/>
      <w:smallCaps/>
      <w:sz w:val="22"/>
      <w:szCs w:val="28"/>
    </w:rPr>
  </w:style>
  <w:style w:type="character" w:customStyle="1" w:styleId="Titre6Car">
    <w:name w:val="Titre 6 Car"/>
    <w:basedOn w:val="Policepardfaut"/>
    <w:link w:val="Titre6"/>
    <w:rsid w:val="00861259"/>
    <w:rPr>
      <w:rFonts w:ascii="Arial" w:hAnsi="Arial"/>
      <w:b/>
      <w:noProof/>
      <w:sz w:val="22"/>
      <w:szCs w:val="22"/>
    </w:rPr>
  </w:style>
  <w:style w:type="character" w:customStyle="1" w:styleId="Titre7Car">
    <w:name w:val="Titre 7 Car"/>
    <w:basedOn w:val="Policepardfaut"/>
    <w:link w:val="Titre7"/>
    <w:rsid w:val="00861259"/>
    <w:rPr>
      <w:rFonts w:ascii="Arial" w:eastAsiaTheme="majorEastAsia" w:hAnsi="Arial" w:cstheme="majorBidi"/>
      <w:b/>
      <w:noProof/>
      <w:sz w:val="22"/>
      <w:szCs w:val="22"/>
    </w:rPr>
  </w:style>
  <w:style w:type="character" w:customStyle="1" w:styleId="Titre8Car">
    <w:name w:val="Titre 8 Car"/>
    <w:basedOn w:val="Policepardfaut"/>
    <w:link w:val="Titre8"/>
    <w:rsid w:val="00861259"/>
    <w:rPr>
      <w:rFonts w:ascii="Arial" w:hAnsi="Arial"/>
      <w:b/>
      <w:caps/>
      <w:noProof/>
      <w:sz w:val="32"/>
    </w:rPr>
  </w:style>
  <w:style w:type="character" w:customStyle="1" w:styleId="Titre9Car">
    <w:name w:val="Titre 9 Car"/>
    <w:basedOn w:val="Policepardfaut"/>
    <w:link w:val="Titre9"/>
    <w:rsid w:val="00861259"/>
    <w:rPr>
      <w:rFonts w:ascii="Arial" w:hAnsi="Arial"/>
      <w:b/>
      <w:noProof/>
      <w:sz w:val="22"/>
      <w:szCs w:val="22"/>
    </w:rPr>
  </w:style>
  <w:style w:type="character" w:customStyle="1" w:styleId="TitreCar">
    <w:name w:val="Titre Car"/>
    <w:basedOn w:val="Policepardfaut"/>
    <w:link w:val="Titre"/>
    <w:rsid w:val="00861259"/>
    <w:rPr>
      <w:rFonts w:ascii="Verdana" w:hAnsi="Verdana"/>
      <w:b/>
      <w:smallCaps/>
      <w:color w:val="1C5840"/>
      <w:sz w:val="36"/>
      <w:szCs w:val="36"/>
    </w:rPr>
  </w:style>
  <w:style w:type="character" w:customStyle="1" w:styleId="Sous-titreCar">
    <w:name w:val="Sous-titre Car"/>
    <w:basedOn w:val="Policepardfaut"/>
    <w:link w:val="Sous-titre"/>
    <w:rsid w:val="00861259"/>
    <w:rPr>
      <w:rFonts w:ascii="Verdana" w:eastAsiaTheme="majorEastAsia" w:hAnsi="Verdana" w:cstheme="majorBidi"/>
      <w:b/>
      <w:smallCaps/>
      <w:color w:val="1C5840"/>
      <w:sz w:val="28"/>
      <w:szCs w:val="28"/>
    </w:rPr>
  </w:style>
  <w:style w:type="paragraph" w:styleId="Paragraphedeliste">
    <w:name w:val="List Paragraph"/>
    <w:aliases w:val="References"/>
    <w:basedOn w:val="Normal"/>
    <w:link w:val="ParagraphedelisteCar"/>
    <w:qFormat/>
    <w:rsid w:val="00861259"/>
    <w:pPr>
      <w:ind w:left="720"/>
      <w:contextualSpacing/>
    </w:pPr>
  </w:style>
  <w:style w:type="character" w:customStyle="1" w:styleId="ParagraphedelisteCar">
    <w:name w:val="Paragraphe de liste Car"/>
    <w:aliases w:val="References Car"/>
    <w:link w:val="Paragraphedeliste"/>
    <w:uiPriority w:val="34"/>
    <w:locked/>
    <w:rsid w:val="00861259"/>
    <w:rPr>
      <w:rFonts w:ascii="Verdana" w:hAnsi="Verdana"/>
      <w:sz w:val="18"/>
    </w:rPr>
  </w:style>
  <w:style w:type="paragraph" w:styleId="En-ttedetabledesmatires">
    <w:name w:val="TOC Heading"/>
    <w:basedOn w:val="Titre1"/>
    <w:next w:val="Normal"/>
    <w:uiPriority w:val="39"/>
    <w:semiHidden/>
    <w:unhideWhenUsed/>
    <w:qFormat/>
    <w:rsid w:val="00861259"/>
    <w:pPr>
      <w:pBdr>
        <w:bottom w:val="none" w:sz="0" w:space="0" w:color="auto"/>
      </w:pBdr>
      <w:spacing w:after="0" w:line="276" w:lineRule="auto"/>
      <w:outlineLvl w:val="9"/>
    </w:pPr>
    <w:rPr>
      <w:rFonts w:asciiTheme="majorHAnsi" w:eastAsiaTheme="majorEastAsia" w:hAnsiTheme="majorHAnsi" w:cstheme="majorBidi"/>
      <w:bCs/>
      <w:smallCaps w:val="0"/>
      <w:noProof w:val="0"/>
      <w:color w:val="365F91" w:themeColor="accent1" w:themeShade="BF"/>
      <w:spacing w:val="0"/>
      <w:kern w:val="0"/>
      <w:sz w:val="28"/>
      <w:szCs w:val="28"/>
      <w:lang w:eastAsia="fr-FR"/>
    </w:rPr>
  </w:style>
  <w:style w:type="character" w:customStyle="1" w:styleId="NotedebasdepageCar">
    <w:name w:val="Note de bas de page Car"/>
    <w:basedOn w:val="Policepardfaut"/>
    <w:link w:val="Notedebasdepage"/>
    <w:uiPriority w:val="99"/>
    <w:semiHidden/>
    <w:rsid w:val="001E4193"/>
    <w:rPr>
      <w:rFonts w:ascii="Verdana" w:hAnsi="Verdana"/>
      <w:sz w:val="16"/>
    </w:rPr>
  </w:style>
  <w:style w:type="table" w:styleId="Grilledutableau">
    <w:name w:val="Table Grid"/>
    <w:basedOn w:val="TableauNormal"/>
    <w:rsid w:val="009A3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ubmission xmlns="4a67b500-675c-4a0e-be83-649364ee36bb">500</Submiss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80F88338101094194638516AF2E04EC" ma:contentTypeVersion="1" ma:contentTypeDescription="Create a new document." ma:contentTypeScope="" ma:versionID="7dd202dc080da66d2c4b4e58eb9f971c">
  <xsd:schema xmlns:xsd="http://www.w3.org/2001/XMLSchema" xmlns:xs="http://www.w3.org/2001/XMLSchema" xmlns:p="http://schemas.microsoft.com/office/2006/metadata/properties" xmlns:ns2="4a67b500-675c-4a0e-be83-649364ee36bb" targetNamespace="http://schemas.microsoft.com/office/2006/metadata/properties" ma:root="true" ma:fieldsID="31a7f4ea7dd673bf8f16b2ef2c2d4be3" ns2:_="">
    <xsd:import namespace="4a67b500-675c-4a0e-be83-649364ee36bb"/>
    <xsd:element name="properties">
      <xsd:complexType>
        <xsd:sequence>
          <xsd:element name="documentManagement">
            <xsd:complexType>
              <xsd:all>
                <xsd:element ref="ns2:Submis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7b500-675c-4a0e-be83-649364ee36bb" elementFormDefault="qualified">
    <xsd:import namespace="http://schemas.microsoft.com/office/2006/documentManagement/types"/>
    <xsd:import namespace="http://schemas.microsoft.com/office/infopath/2007/PartnerControls"/>
    <xsd:element name="Submission" ma:index="8" nillable="true" ma:displayName="Submission" ma:list="{994b8fb1-7fca-4b72-b2c1-919cb6e7a01e}" ma:internalName="Submission" ma:showField="Title" ma:web="a7976897-2996-4018-9d51-a46c68a2aa5c">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AA817-7D5E-4E6F-901C-8B0C975AEC10}"/>
</file>

<file path=customXml/itemProps2.xml><?xml version="1.0" encoding="utf-8"?>
<ds:datastoreItem xmlns:ds="http://schemas.openxmlformats.org/officeDocument/2006/customXml" ds:itemID="{37950A54-CEE2-4942-BCF5-1BCBEF9D6F93}"/>
</file>

<file path=customXml/itemProps3.xml><?xml version="1.0" encoding="utf-8"?>
<ds:datastoreItem xmlns:ds="http://schemas.openxmlformats.org/officeDocument/2006/customXml" ds:itemID="{3A14179D-A5A2-4265-BFCF-46FDC37509E3}"/>
</file>

<file path=customXml/itemProps4.xml><?xml version="1.0" encoding="utf-8"?>
<ds:datastoreItem xmlns:ds="http://schemas.openxmlformats.org/officeDocument/2006/customXml" ds:itemID="{6B9AEFBC-5D9B-4969-AC72-3A1FDE108781}"/>
</file>

<file path=docProps/app.xml><?xml version="1.0" encoding="utf-8"?>
<Properties xmlns="http://schemas.openxmlformats.org/officeDocument/2006/extended-properties" xmlns:vt="http://schemas.openxmlformats.org/officeDocument/2006/docPropsVTypes">
  <Template>Normal.dotm</Template>
  <TotalTime>184</TotalTime>
  <Pages>15</Pages>
  <Words>7044</Words>
  <Characters>38742</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Rapport GERES</vt:lpstr>
    </vt:vector>
  </TitlesOfParts>
  <Company>GERES Climat</Company>
  <LinksUpToDate>false</LinksUpToDate>
  <CharactersWithSpaces>45695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09 29 INDC_Guinee_version finale CCNUCCSK.docx</dc:title>
  <dc:creator>vlaubin</dc:creator>
  <cp:lastModifiedBy>DELL</cp:lastModifiedBy>
  <cp:revision>6</cp:revision>
  <cp:lastPrinted>2005-09-07T17:28:00Z</cp:lastPrinted>
  <dcterms:created xsi:type="dcterms:W3CDTF">2015-09-30T10:31:00Z</dcterms:created>
  <dcterms:modified xsi:type="dcterms:W3CDTF">2015-10-01T07:52:00Z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0x010100680F88338101094194638516AF2E04EC</vt:lpwstr>
  </property>
  <property fmtid="{D5CDD505-2E9C-101B-9397-08002B2CF9AE}" pid="3" name="TemplateUrl">
    <vt:lpwstr/>
  </property>
  <property fmtid="{D5CDD505-2E9C-101B-9397-08002B2CF9AE}" pid="4" name="Order">
    <vt:r8>92400</vt:r8>
  </property>
  <property fmtid="{D5CDD505-2E9C-101B-9397-08002B2CF9AE}" pid="5" name="xd_ProgID">
    <vt:lpwstr/>
  </property>
  <property fmtid="{D5CDD505-2E9C-101B-9397-08002B2CF9AE}" pid="6" name="_CopySource">
    <vt:lpwstr>https://process.unfccc.int/sites/submissions/INDC/Drop Off Library/500/15 09 29 INDC_Guinee_version finale CCNUCCSK.docx</vt:lpwstr>
  </property>
  <property fmtid="{D5CDD505-2E9C-101B-9397-08002B2CF9AE}" pid="7" name="_SourceUrl">
    <vt:lpwstr/>
  </property>
  <property fmtid="{D5CDD505-2E9C-101B-9397-08002B2CF9AE}" pid="8" name="_SharedFileIndex">
    <vt:lpwstr/>
  </property>
  <property fmtid="{D5CDD505-2E9C-101B-9397-08002B2CF9AE}" pid="9" name="xd_Signature">
    <vt:bool>false</vt:bool>
  </property>
</Properties>
</file>