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D9" w:rsidRDefault="009166D9" w:rsidP="009166D9">
      <w:pPr>
        <w:jc w:val="center"/>
        <w:rPr>
          <w:b/>
          <w:sz w:val="24"/>
        </w:rPr>
      </w:pPr>
      <w:r>
        <w:rPr>
          <w:noProof/>
        </w:rPr>
        <w:drawing>
          <wp:inline distT="0" distB="0" distL="0" distR="0" wp14:anchorId="231A1835" wp14:editId="3B1F7814">
            <wp:extent cx="800100" cy="866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66775"/>
                    </a:xfrm>
                    <a:prstGeom prst="rect">
                      <a:avLst/>
                    </a:prstGeom>
                    <a:noFill/>
                    <a:ln>
                      <a:noFill/>
                    </a:ln>
                  </pic:spPr>
                </pic:pic>
              </a:graphicData>
            </a:graphic>
          </wp:inline>
        </w:drawing>
      </w:r>
    </w:p>
    <w:p w:rsidR="00E1264D" w:rsidRDefault="00E1264D" w:rsidP="009166D9">
      <w:pPr>
        <w:jc w:val="center"/>
        <w:rPr>
          <w:b/>
          <w:sz w:val="24"/>
        </w:rPr>
      </w:pPr>
      <w:r>
        <w:rPr>
          <w:b/>
          <w:sz w:val="28"/>
          <w:szCs w:val="28"/>
          <w:lang w:val="uz-Cyrl-UZ"/>
        </w:rPr>
        <w:t>Government of Montenegro</w:t>
      </w:r>
    </w:p>
    <w:p w:rsidR="00AC4E63" w:rsidRPr="000415B9" w:rsidRDefault="00CD36E9" w:rsidP="009166D9">
      <w:pPr>
        <w:jc w:val="center"/>
        <w:rPr>
          <w:rFonts w:ascii="Arial" w:hAnsi="Arial" w:cs="Arial"/>
          <w:b/>
          <w:sz w:val="28"/>
          <w:szCs w:val="28"/>
        </w:rPr>
      </w:pPr>
      <w:r w:rsidRPr="000415B9">
        <w:rPr>
          <w:rFonts w:ascii="Arial" w:hAnsi="Arial" w:cs="Arial"/>
          <w:b/>
          <w:sz w:val="28"/>
          <w:szCs w:val="28"/>
        </w:rPr>
        <w:t xml:space="preserve">Intended Nationally Determined Contribution (INDC) of </w:t>
      </w:r>
      <w:r w:rsidR="0058554C" w:rsidRPr="000415B9">
        <w:rPr>
          <w:rFonts w:ascii="Arial" w:hAnsi="Arial" w:cs="Arial"/>
          <w:b/>
          <w:sz w:val="28"/>
          <w:szCs w:val="28"/>
        </w:rPr>
        <w:t>Montenegro</w:t>
      </w:r>
      <w:r w:rsidR="00950FD3" w:rsidRPr="000415B9">
        <w:rPr>
          <w:rFonts w:ascii="Arial" w:hAnsi="Arial" w:cs="Arial"/>
          <w:b/>
          <w:sz w:val="28"/>
          <w:szCs w:val="28"/>
        </w:rPr>
        <w:t xml:space="preserve"> following decision 1/CP.19 </w:t>
      </w:r>
      <w:r w:rsidR="007B2922" w:rsidRPr="000415B9">
        <w:rPr>
          <w:rFonts w:ascii="Arial" w:hAnsi="Arial" w:cs="Arial"/>
          <w:b/>
          <w:sz w:val="28"/>
          <w:szCs w:val="28"/>
        </w:rPr>
        <w:t xml:space="preserve">and </w:t>
      </w:r>
      <w:r w:rsidR="00950FD3" w:rsidRPr="000415B9">
        <w:rPr>
          <w:rFonts w:ascii="Arial" w:hAnsi="Arial" w:cs="Arial"/>
          <w:b/>
          <w:sz w:val="28"/>
          <w:szCs w:val="28"/>
        </w:rPr>
        <w:t>decision 1/CP.20</w:t>
      </w:r>
    </w:p>
    <w:p w:rsidR="00AC4E63" w:rsidRDefault="00AC4E63"/>
    <w:p w:rsidR="000415B9" w:rsidRPr="000415B9" w:rsidRDefault="000415B9">
      <w:pPr>
        <w:rPr>
          <w:rFonts w:ascii="Arial" w:hAnsi="Arial" w:cs="Arial"/>
        </w:rPr>
      </w:pPr>
      <w:proofErr w:type="spellStart"/>
      <w:r w:rsidRPr="000415B9">
        <w:rPr>
          <w:rFonts w:ascii="Arial" w:hAnsi="Arial" w:cs="Arial"/>
        </w:rPr>
        <w:t>Podgorica</w:t>
      </w:r>
      <w:proofErr w:type="spellEnd"/>
      <w:r w:rsidRPr="000415B9">
        <w:rPr>
          <w:rFonts w:ascii="Arial" w:hAnsi="Arial" w:cs="Arial"/>
        </w:rPr>
        <w:t xml:space="preserve">, </w:t>
      </w:r>
      <w:r>
        <w:rPr>
          <w:rFonts w:ascii="Arial" w:hAnsi="Arial" w:cs="Arial"/>
        </w:rPr>
        <w:t>September 2015</w:t>
      </w:r>
    </w:p>
    <w:p w:rsidR="000415B9" w:rsidRDefault="000415B9" w:rsidP="00C1366B">
      <w:pPr>
        <w:jc w:val="both"/>
        <w:rPr>
          <w:rFonts w:ascii="Arial" w:hAnsi="Arial" w:cs="Arial"/>
        </w:rPr>
      </w:pPr>
    </w:p>
    <w:p w:rsidR="009278B2" w:rsidRPr="000415B9" w:rsidRDefault="009278B2" w:rsidP="00C1366B">
      <w:pPr>
        <w:jc w:val="both"/>
        <w:rPr>
          <w:rFonts w:ascii="Arial" w:hAnsi="Arial" w:cs="Arial"/>
        </w:rPr>
      </w:pPr>
      <w:r w:rsidRPr="000415B9">
        <w:rPr>
          <w:rFonts w:ascii="Arial" w:hAnsi="Arial" w:cs="Arial"/>
        </w:rPr>
        <w:t>This document presents Montenegro’s Intended Nationally Determined Contribution following decision 1/CP.19 and decision 1/CP.20 of the United Nations Framework Convention on Climate Change (UNFCCC), which invited Parties to communicate the UNFCCC Secretariat their INDCs, with the aim to achieve the ultimate objective of the UNFCCC as set out in Article 2 of the Convention.</w:t>
      </w:r>
    </w:p>
    <w:p w:rsidR="00653BAB" w:rsidRPr="000415B9" w:rsidRDefault="00653BAB" w:rsidP="00653BAB">
      <w:pPr>
        <w:jc w:val="both"/>
        <w:rPr>
          <w:rFonts w:ascii="Arial" w:hAnsi="Arial" w:cs="Arial"/>
        </w:rPr>
      </w:pPr>
      <w:r w:rsidRPr="000415B9">
        <w:rPr>
          <w:rFonts w:ascii="Arial" w:hAnsi="Arial" w:cs="Arial"/>
        </w:rPr>
        <w:t xml:space="preserve">The region of South East Europe, including Montenegro, is highly vulnerable to the impacts of climate change thus avoiding dangerous climate change is of paramount importance for </w:t>
      </w:r>
      <w:bookmarkStart w:id="0" w:name="_GoBack"/>
      <w:bookmarkEnd w:id="0"/>
      <w:r w:rsidRPr="000415B9">
        <w:rPr>
          <w:rFonts w:ascii="Arial" w:hAnsi="Arial" w:cs="Arial"/>
        </w:rPr>
        <w:t>the country.</w:t>
      </w:r>
      <w:r w:rsidR="00B86A86" w:rsidRPr="000415B9">
        <w:rPr>
          <w:rFonts w:ascii="Arial" w:hAnsi="Arial" w:cs="Arial"/>
        </w:rPr>
        <w:t xml:space="preserve"> </w:t>
      </w:r>
    </w:p>
    <w:p w:rsidR="00BB52D0" w:rsidRPr="000415B9" w:rsidRDefault="009278B2" w:rsidP="009278B2">
      <w:pPr>
        <w:jc w:val="both"/>
        <w:rPr>
          <w:rFonts w:ascii="Arial" w:hAnsi="Arial" w:cs="Arial"/>
        </w:rPr>
      </w:pPr>
      <w:r w:rsidRPr="000415B9">
        <w:rPr>
          <w:rFonts w:ascii="Arial" w:hAnsi="Arial" w:cs="Arial"/>
        </w:rPr>
        <w:t xml:space="preserve">Montenegro is a non-Annex I country </w:t>
      </w:r>
      <w:r w:rsidR="001B7065" w:rsidRPr="000415B9">
        <w:rPr>
          <w:rFonts w:ascii="Arial" w:hAnsi="Arial" w:cs="Arial"/>
        </w:rPr>
        <w:t xml:space="preserve">with a population of 621 </w:t>
      </w:r>
      <w:r w:rsidR="00EB22DE">
        <w:rPr>
          <w:rFonts w:ascii="Arial" w:hAnsi="Arial" w:cs="Arial"/>
        </w:rPr>
        <w:t>200</w:t>
      </w:r>
      <w:r w:rsidR="001B7065" w:rsidRPr="000415B9">
        <w:rPr>
          <w:rFonts w:ascii="Arial" w:hAnsi="Arial" w:cs="Arial"/>
        </w:rPr>
        <w:t xml:space="preserve">. </w:t>
      </w:r>
      <w:r w:rsidR="00153A5E" w:rsidRPr="000415B9">
        <w:rPr>
          <w:rFonts w:ascii="Arial" w:hAnsi="Arial" w:cs="Arial"/>
        </w:rPr>
        <w:t>According</w:t>
      </w:r>
      <w:r w:rsidR="005B0269" w:rsidRPr="000415B9">
        <w:rPr>
          <w:rFonts w:ascii="Arial" w:hAnsi="Arial" w:cs="Arial"/>
        </w:rPr>
        <w:t xml:space="preserve"> to 201</w:t>
      </w:r>
      <w:r w:rsidR="00EB22DE">
        <w:rPr>
          <w:rFonts w:ascii="Arial" w:hAnsi="Arial" w:cs="Arial"/>
        </w:rPr>
        <w:t>3</w:t>
      </w:r>
      <w:r w:rsidR="005B0269" w:rsidRPr="000415B9">
        <w:rPr>
          <w:rFonts w:ascii="Arial" w:hAnsi="Arial" w:cs="Arial"/>
        </w:rPr>
        <w:t xml:space="preserve"> data GDP </w:t>
      </w:r>
      <w:r w:rsidRPr="000415B9">
        <w:rPr>
          <w:rFonts w:ascii="Arial" w:hAnsi="Arial" w:cs="Arial"/>
        </w:rPr>
        <w:t xml:space="preserve">per capita </w:t>
      </w:r>
      <w:r w:rsidR="005B0269" w:rsidRPr="000415B9">
        <w:rPr>
          <w:rFonts w:ascii="Arial" w:hAnsi="Arial" w:cs="Arial"/>
        </w:rPr>
        <w:t>is</w:t>
      </w:r>
      <w:r w:rsidRPr="000415B9">
        <w:rPr>
          <w:rFonts w:ascii="Arial" w:hAnsi="Arial" w:cs="Arial"/>
        </w:rPr>
        <w:t xml:space="preserve"> </w:t>
      </w:r>
      <w:r w:rsidR="00EB22DE">
        <w:rPr>
          <w:rFonts w:ascii="Arial" w:hAnsi="Arial" w:cs="Arial"/>
        </w:rPr>
        <w:t>5 356 EUR</w:t>
      </w:r>
      <w:r w:rsidRPr="000415B9">
        <w:rPr>
          <w:rFonts w:ascii="Arial" w:hAnsi="Arial" w:cs="Arial"/>
        </w:rPr>
        <w:t xml:space="preserve">. </w:t>
      </w:r>
      <w:r w:rsidR="00C170E2" w:rsidRPr="000415B9">
        <w:rPr>
          <w:rFonts w:ascii="Arial" w:hAnsi="Arial" w:cs="Arial"/>
        </w:rPr>
        <w:t>S</w:t>
      </w:r>
      <w:r w:rsidR="007B435E" w:rsidRPr="000415B9">
        <w:rPr>
          <w:rFonts w:ascii="Arial" w:hAnsi="Arial" w:cs="Arial"/>
        </w:rPr>
        <w:t xml:space="preserve">ize of country </w:t>
      </w:r>
      <w:r w:rsidR="00C170E2" w:rsidRPr="000415B9">
        <w:rPr>
          <w:rFonts w:ascii="Arial" w:hAnsi="Arial" w:cs="Arial"/>
        </w:rPr>
        <w:t>causes</w:t>
      </w:r>
      <w:r w:rsidR="007B435E" w:rsidRPr="000415B9">
        <w:rPr>
          <w:rFonts w:ascii="Arial" w:hAnsi="Arial" w:cs="Arial"/>
        </w:rPr>
        <w:t xml:space="preserve"> reduced flexibility in the application of policies in some emitting sectors where single source of emissions can be dominant</w:t>
      </w:r>
      <w:r w:rsidR="00BB52D0" w:rsidRPr="000415B9">
        <w:rPr>
          <w:rFonts w:ascii="Arial" w:hAnsi="Arial" w:cs="Arial"/>
        </w:rPr>
        <w:t xml:space="preserve">, distorting the emission profile of the country. </w:t>
      </w:r>
      <w:r w:rsidR="00653BAB" w:rsidRPr="000415B9">
        <w:rPr>
          <w:rFonts w:ascii="Arial" w:hAnsi="Arial" w:cs="Arial"/>
        </w:rPr>
        <w:t xml:space="preserve"> Also, it should be noted that tourism is one of the main drivers of the economy, having the number of tourists visiting the country</w:t>
      </w:r>
      <w:r w:rsidR="00C345E0" w:rsidRPr="000415B9">
        <w:rPr>
          <w:rFonts w:ascii="Arial" w:hAnsi="Arial" w:cs="Arial"/>
        </w:rPr>
        <w:t xml:space="preserve"> annually</w:t>
      </w:r>
      <w:r w:rsidR="00653BAB" w:rsidRPr="000415B9">
        <w:rPr>
          <w:rFonts w:ascii="Arial" w:hAnsi="Arial" w:cs="Arial"/>
        </w:rPr>
        <w:t xml:space="preserve"> more than twice </w:t>
      </w:r>
      <w:r w:rsidR="00C345E0" w:rsidRPr="000415B9">
        <w:rPr>
          <w:rFonts w:ascii="Arial" w:hAnsi="Arial" w:cs="Arial"/>
        </w:rPr>
        <w:t>of the number</w:t>
      </w:r>
      <w:r w:rsidR="00B94D48" w:rsidRPr="000415B9">
        <w:rPr>
          <w:rFonts w:ascii="Arial" w:hAnsi="Arial" w:cs="Arial"/>
        </w:rPr>
        <w:t xml:space="preserve"> </w:t>
      </w:r>
      <w:r w:rsidR="00C345E0" w:rsidRPr="000415B9">
        <w:rPr>
          <w:rFonts w:ascii="Arial" w:hAnsi="Arial" w:cs="Arial"/>
        </w:rPr>
        <w:t>of</w:t>
      </w:r>
      <w:r w:rsidR="00653BAB" w:rsidRPr="000415B9">
        <w:rPr>
          <w:rFonts w:ascii="Arial" w:hAnsi="Arial" w:cs="Arial"/>
        </w:rPr>
        <w:t xml:space="preserve"> local population.</w:t>
      </w:r>
    </w:p>
    <w:p w:rsidR="009278B2" w:rsidRPr="000415B9" w:rsidRDefault="00B94D48" w:rsidP="009278B2">
      <w:pPr>
        <w:jc w:val="both"/>
        <w:rPr>
          <w:rFonts w:ascii="Arial" w:hAnsi="Arial" w:cs="Arial"/>
        </w:rPr>
      </w:pPr>
      <w:r w:rsidRPr="000415B9">
        <w:rPr>
          <w:rFonts w:ascii="Arial" w:hAnsi="Arial" w:cs="Arial"/>
        </w:rPr>
        <w:t xml:space="preserve">Montenegro’s contribution to the international effort to avoid dangerous climate change is expressed </w:t>
      </w:r>
      <w:proofErr w:type="gramStart"/>
      <w:r w:rsidRPr="000415B9">
        <w:rPr>
          <w:rFonts w:ascii="Arial" w:hAnsi="Arial" w:cs="Arial"/>
        </w:rPr>
        <w:t xml:space="preserve">in  </w:t>
      </w:r>
      <w:r w:rsidR="00C170E2" w:rsidRPr="000415B9">
        <w:rPr>
          <w:rFonts w:ascii="Arial" w:hAnsi="Arial" w:cs="Arial"/>
          <w:b/>
        </w:rPr>
        <w:t>30</w:t>
      </w:r>
      <w:proofErr w:type="gramEnd"/>
      <w:r w:rsidRPr="000415B9">
        <w:rPr>
          <w:rFonts w:ascii="Arial" w:hAnsi="Arial" w:cs="Arial"/>
          <w:b/>
        </w:rPr>
        <w:t xml:space="preserve"> % emission reduction by 2030 compared to the 1990 base year</w:t>
      </w:r>
      <w:r w:rsidRPr="000415B9">
        <w:rPr>
          <w:rFonts w:ascii="Arial" w:hAnsi="Arial" w:cs="Arial"/>
        </w:rPr>
        <w:t xml:space="preserve">.  The emission level of greenhouse gases for Montenegro </w:t>
      </w:r>
      <w:r w:rsidR="00C170E2" w:rsidRPr="000415B9">
        <w:rPr>
          <w:rFonts w:ascii="Arial" w:hAnsi="Arial" w:cs="Arial"/>
        </w:rPr>
        <w:t xml:space="preserve">from sectors covered by INDC </w:t>
      </w:r>
      <w:r w:rsidRPr="000415B9">
        <w:rPr>
          <w:rFonts w:ascii="Arial" w:hAnsi="Arial" w:cs="Arial"/>
        </w:rPr>
        <w:t xml:space="preserve">was </w:t>
      </w:r>
      <w:r w:rsidR="00C170E2" w:rsidRPr="000415B9">
        <w:rPr>
          <w:rFonts w:ascii="Arial" w:hAnsi="Arial" w:cs="Arial"/>
        </w:rPr>
        <w:t>5239</w:t>
      </w:r>
      <w:r w:rsidRPr="000415B9">
        <w:rPr>
          <w:rFonts w:ascii="Arial" w:hAnsi="Arial" w:cs="Arial"/>
        </w:rPr>
        <w:t xml:space="preserve"> kilotons in 1990 and Montenegro pledges to reduce it at least b</w:t>
      </w:r>
      <w:r w:rsidR="00B86A86" w:rsidRPr="000415B9">
        <w:rPr>
          <w:rFonts w:ascii="Arial" w:hAnsi="Arial" w:cs="Arial"/>
        </w:rPr>
        <w:t xml:space="preserve">y </w:t>
      </w:r>
      <w:r w:rsidR="00114386" w:rsidRPr="000415B9">
        <w:rPr>
          <w:rFonts w:ascii="Arial" w:hAnsi="Arial" w:cs="Arial"/>
        </w:rPr>
        <w:t xml:space="preserve">1572 </w:t>
      </w:r>
      <w:r w:rsidR="00B86A86" w:rsidRPr="000415B9">
        <w:rPr>
          <w:rFonts w:ascii="Arial" w:hAnsi="Arial" w:cs="Arial"/>
        </w:rPr>
        <w:t xml:space="preserve">kilotons, to the level below or at </w:t>
      </w:r>
      <w:r w:rsidR="00114386" w:rsidRPr="000415B9">
        <w:rPr>
          <w:rFonts w:ascii="Arial" w:hAnsi="Arial" w:cs="Arial"/>
        </w:rPr>
        <w:t>3667</w:t>
      </w:r>
      <w:r w:rsidR="00B86A86" w:rsidRPr="000415B9">
        <w:rPr>
          <w:rFonts w:ascii="Arial" w:hAnsi="Arial" w:cs="Arial"/>
        </w:rPr>
        <w:t xml:space="preserve"> kilotons. The reduction is to be achieved by general increase of energy efficiency, improvement of industrial technologies, increase of the share of renewables and modernization in the power sector.</w:t>
      </w:r>
    </w:p>
    <w:p w:rsidR="000415B9" w:rsidRDefault="009278B2" w:rsidP="009278B2">
      <w:pPr>
        <w:jc w:val="both"/>
        <w:rPr>
          <w:rFonts w:ascii="Arial" w:hAnsi="Arial" w:cs="Arial"/>
        </w:rPr>
      </w:pPr>
      <w:r w:rsidRPr="000415B9">
        <w:rPr>
          <w:rFonts w:ascii="Arial" w:hAnsi="Arial" w:cs="Arial"/>
        </w:rPr>
        <w:t xml:space="preserve">In the following </w:t>
      </w:r>
      <w:r w:rsidR="000415B9">
        <w:rPr>
          <w:rFonts w:ascii="Arial" w:hAnsi="Arial" w:cs="Arial"/>
        </w:rPr>
        <w:t xml:space="preserve">Annex </w:t>
      </w:r>
      <w:r w:rsidRPr="000415B9">
        <w:rPr>
          <w:rFonts w:ascii="Arial" w:hAnsi="Arial" w:cs="Arial"/>
        </w:rPr>
        <w:t xml:space="preserve">additional information is provided regarding the INDC in order to </w:t>
      </w:r>
      <w:r w:rsidR="000415B9">
        <w:rPr>
          <w:rFonts w:ascii="Arial" w:hAnsi="Arial" w:cs="Arial"/>
        </w:rPr>
        <w:t xml:space="preserve">ensure </w:t>
      </w:r>
      <w:r w:rsidRPr="000415B9">
        <w:rPr>
          <w:rFonts w:ascii="Arial" w:hAnsi="Arial" w:cs="Arial"/>
        </w:rPr>
        <w:t>clarity, transparency and understanding.</w:t>
      </w:r>
    </w:p>
    <w:p w:rsidR="000415B9" w:rsidRDefault="000415B9" w:rsidP="009278B2">
      <w:pPr>
        <w:jc w:val="both"/>
        <w:rPr>
          <w:rFonts w:ascii="Arial" w:hAnsi="Arial" w:cs="Arial"/>
        </w:rPr>
      </w:pPr>
    </w:p>
    <w:p w:rsidR="000415B9" w:rsidRDefault="000415B9" w:rsidP="009278B2">
      <w:pPr>
        <w:jc w:val="both"/>
        <w:rPr>
          <w:rFonts w:ascii="Arial" w:hAnsi="Arial" w:cs="Arial"/>
        </w:rPr>
      </w:pPr>
    </w:p>
    <w:p w:rsidR="000415B9" w:rsidRDefault="000415B9" w:rsidP="009278B2">
      <w:pPr>
        <w:jc w:val="both"/>
        <w:rPr>
          <w:rFonts w:ascii="Arial" w:hAnsi="Arial" w:cs="Arial"/>
        </w:rPr>
      </w:pPr>
    </w:p>
    <w:p w:rsidR="00CE6D51" w:rsidRDefault="00CE6D51" w:rsidP="000415B9">
      <w:pPr>
        <w:rPr>
          <w:rFonts w:ascii="Arial" w:hAnsi="Arial" w:cs="Arial"/>
          <w:b/>
          <w:u w:val="single"/>
        </w:rPr>
      </w:pPr>
    </w:p>
    <w:p w:rsidR="000415B9" w:rsidRPr="00D56770" w:rsidRDefault="00D56770" w:rsidP="000415B9">
      <w:pPr>
        <w:rPr>
          <w:rFonts w:ascii="Arial" w:hAnsi="Arial" w:cs="Arial"/>
          <w:b/>
          <w:u w:val="single"/>
        </w:rPr>
      </w:pPr>
      <w:r w:rsidRPr="00D56770">
        <w:rPr>
          <w:rFonts w:ascii="Arial" w:hAnsi="Arial" w:cs="Arial"/>
          <w:b/>
          <w:u w:val="single"/>
        </w:rPr>
        <w:lastRenderedPageBreak/>
        <w:t>ANNEX</w:t>
      </w:r>
    </w:p>
    <w:tbl>
      <w:tblPr>
        <w:tblStyle w:val="TableGrid"/>
        <w:tblW w:w="9401" w:type="dxa"/>
        <w:jc w:val="center"/>
        <w:tblInd w:w="-5" w:type="dxa"/>
        <w:tblLayout w:type="fixed"/>
        <w:tblLook w:val="04A0" w:firstRow="1" w:lastRow="0" w:firstColumn="1" w:lastColumn="0" w:noHBand="0" w:noVBand="1"/>
      </w:tblPr>
      <w:tblGrid>
        <w:gridCol w:w="2694"/>
        <w:gridCol w:w="6707"/>
      </w:tblGrid>
      <w:tr w:rsidR="00AC4E63" w:rsidRPr="000415B9" w:rsidTr="00D56770">
        <w:trPr>
          <w:jc w:val="center"/>
        </w:trPr>
        <w:tc>
          <w:tcPr>
            <w:tcW w:w="9401" w:type="dxa"/>
            <w:gridSpan w:val="2"/>
            <w:shd w:val="clear" w:color="auto" w:fill="D9D9D9" w:themeFill="background1" w:themeFillShade="D9"/>
          </w:tcPr>
          <w:p w:rsidR="00AC4E63" w:rsidRPr="000415B9" w:rsidRDefault="000415B9" w:rsidP="000415B9">
            <w:pPr>
              <w:jc w:val="center"/>
              <w:rPr>
                <w:rFonts w:ascii="Arial" w:hAnsi="Arial" w:cs="Arial"/>
                <w:b/>
              </w:rPr>
            </w:pPr>
            <w:r w:rsidRPr="000415B9">
              <w:rPr>
                <w:rFonts w:ascii="Arial" w:hAnsi="Arial" w:cs="Arial"/>
                <w:b/>
              </w:rPr>
              <w:t>Intended Nationally Determined Contribution of Montenegro</w:t>
            </w:r>
          </w:p>
        </w:tc>
      </w:tr>
      <w:tr w:rsidR="00CD36E9" w:rsidRPr="000415B9" w:rsidTr="000415B9">
        <w:trPr>
          <w:jc w:val="center"/>
        </w:trPr>
        <w:tc>
          <w:tcPr>
            <w:tcW w:w="2694" w:type="dxa"/>
          </w:tcPr>
          <w:p w:rsidR="00CD36E9" w:rsidRPr="000415B9" w:rsidRDefault="00CD36E9">
            <w:pPr>
              <w:rPr>
                <w:rFonts w:ascii="Arial" w:hAnsi="Arial" w:cs="Arial"/>
              </w:rPr>
            </w:pPr>
            <w:r w:rsidRPr="000415B9">
              <w:rPr>
                <w:rFonts w:ascii="Arial" w:hAnsi="Arial" w:cs="Arial"/>
              </w:rPr>
              <w:t>Type</w:t>
            </w:r>
          </w:p>
        </w:tc>
        <w:tc>
          <w:tcPr>
            <w:tcW w:w="6707" w:type="dxa"/>
          </w:tcPr>
          <w:p w:rsidR="00CD36E9" w:rsidRPr="000415B9" w:rsidRDefault="00FC5721">
            <w:pPr>
              <w:rPr>
                <w:rFonts w:ascii="Arial" w:hAnsi="Arial" w:cs="Arial"/>
              </w:rPr>
            </w:pPr>
            <w:r w:rsidRPr="000415B9">
              <w:rPr>
                <w:rFonts w:ascii="Arial" w:hAnsi="Arial" w:cs="Arial"/>
              </w:rPr>
              <w:t>Economy-wide base year based emission reduction target</w:t>
            </w:r>
          </w:p>
        </w:tc>
      </w:tr>
      <w:tr w:rsidR="00AC4E63" w:rsidRPr="000415B9" w:rsidTr="000415B9">
        <w:trPr>
          <w:jc w:val="center"/>
        </w:trPr>
        <w:tc>
          <w:tcPr>
            <w:tcW w:w="2694" w:type="dxa"/>
          </w:tcPr>
          <w:p w:rsidR="00AC4E63" w:rsidRPr="000415B9" w:rsidRDefault="00AC4E63">
            <w:pPr>
              <w:rPr>
                <w:rFonts w:ascii="Arial" w:hAnsi="Arial" w:cs="Arial"/>
              </w:rPr>
            </w:pPr>
            <w:r w:rsidRPr="000415B9">
              <w:rPr>
                <w:rFonts w:ascii="Arial" w:hAnsi="Arial" w:cs="Arial"/>
              </w:rPr>
              <w:t>Gases covered</w:t>
            </w:r>
          </w:p>
        </w:tc>
        <w:tc>
          <w:tcPr>
            <w:tcW w:w="6707" w:type="dxa"/>
          </w:tcPr>
          <w:p w:rsidR="001A6A4C" w:rsidRPr="000415B9" w:rsidRDefault="001A6A4C">
            <w:pPr>
              <w:rPr>
                <w:rFonts w:ascii="Arial" w:hAnsi="Arial" w:cs="Arial"/>
              </w:rPr>
            </w:pPr>
            <w:r w:rsidRPr="000415B9">
              <w:rPr>
                <w:rFonts w:ascii="Arial" w:hAnsi="Arial" w:cs="Arial"/>
              </w:rPr>
              <w:t>All greenhouse gases not controlled by the Montreal Protocol:</w:t>
            </w:r>
          </w:p>
          <w:p w:rsidR="001A6A4C" w:rsidRPr="000415B9" w:rsidRDefault="00CD36E9" w:rsidP="001B7065">
            <w:pPr>
              <w:ind w:left="720"/>
              <w:rPr>
                <w:rFonts w:ascii="Arial" w:hAnsi="Arial" w:cs="Arial"/>
              </w:rPr>
            </w:pPr>
            <w:r w:rsidRPr="000415B9">
              <w:rPr>
                <w:rFonts w:ascii="Arial" w:hAnsi="Arial" w:cs="Arial"/>
              </w:rPr>
              <w:t>Carbon Dioxide (CO2)</w:t>
            </w:r>
            <w:r w:rsidR="004C4AF7" w:rsidRPr="000415B9">
              <w:rPr>
                <w:rFonts w:ascii="Arial" w:hAnsi="Arial" w:cs="Arial"/>
              </w:rPr>
              <w:t xml:space="preserve">, </w:t>
            </w:r>
          </w:p>
          <w:p w:rsidR="001A6A4C" w:rsidRPr="000415B9" w:rsidRDefault="001A6A4C" w:rsidP="001B7065">
            <w:pPr>
              <w:ind w:left="720"/>
              <w:rPr>
                <w:rFonts w:ascii="Arial" w:hAnsi="Arial" w:cs="Arial"/>
              </w:rPr>
            </w:pPr>
            <w:r w:rsidRPr="000415B9">
              <w:rPr>
                <w:rFonts w:ascii="Arial" w:hAnsi="Arial" w:cs="Arial"/>
              </w:rPr>
              <w:t>Methane (CH</w:t>
            </w:r>
            <w:r w:rsidRPr="000415B9">
              <w:rPr>
                <w:rFonts w:ascii="Arial" w:hAnsi="Arial" w:cs="Arial"/>
                <w:vertAlign w:val="subscript"/>
              </w:rPr>
              <w:t>4</w:t>
            </w:r>
            <w:r w:rsidRPr="000415B9">
              <w:rPr>
                <w:rFonts w:ascii="Arial" w:hAnsi="Arial" w:cs="Arial"/>
              </w:rPr>
              <w:t>)</w:t>
            </w:r>
          </w:p>
          <w:p w:rsidR="001A6A4C" w:rsidRPr="000415B9" w:rsidRDefault="001A6A4C" w:rsidP="001B7065">
            <w:pPr>
              <w:ind w:left="720"/>
              <w:rPr>
                <w:rFonts w:ascii="Arial" w:hAnsi="Arial" w:cs="Arial"/>
              </w:rPr>
            </w:pPr>
            <w:r w:rsidRPr="000415B9">
              <w:rPr>
                <w:rFonts w:ascii="Arial" w:hAnsi="Arial" w:cs="Arial"/>
              </w:rPr>
              <w:t>Nitrous Oxide (N</w:t>
            </w:r>
            <w:r w:rsidRPr="000415B9">
              <w:rPr>
                <w:rFonts w:ascii="Arial" w:hAnsi="Arial" w:cs="Arial"/>
                <w:vertAlign w:val="subscript"/>
              </w:rPr>
              <w:t>2</w:t>
            </w:r>
            <w:r w:rsidRPr="000415B9">
              <w:rPr>
                <w:rFonts w:ascii="Arial" w:hAnsi="Arial" w:cs="Arial"/>
              </w:rPr>
              <w:t>O)</w:t>
            </w:r>
          </w:p>
          <w:p w:rsidR="001A6A4C" w:rsidRPr="000415B9" w:rsidRDefault="00A74591" w:rsidP="001B7065">
            <w:pPr>
              <w:ind w:left="720"/>
              <w:rPr>
                <w:rFonts w:ascii="Arial" w:hAnsi="Arial" w:cs="Arial"/>
              </w:rPr>
            </w:pPr>
            <w:proofErr w:type="spellStart"/>
            <w:r w:rsidRPr="000415B9">
              <w:rPr>
                <w:rFonts w:ascii="Arial" w:hAnsi="Arial" w:cs="Arial"/>
              </w:rPr>
              <w:t>Hydrofluorocarbons</w:t>
            </w:r>
            <w:proofErr w:type="spellEnd"/>
            <w:r w:rsidR="001A6A4C" w:rsidRPr="000415B9">
              <w:rPr>
                <w:rFonts w:ascii="Arial" w:hAnsi="Arial" w:cs="Arial"/>
              </w:rPr>
              <w:t xml:space="preserve"> (HFCs)</w:t>
            </w:r>
          </w:p>
          <w:p w:rsidR="00AC4E63" w:rsidRPr="000415B9" w:rsidRDefault="004C4AF7" w:rsidP="001B7065">
            <w:pPr>
              <w:ind w:left="720"/>
              <w:rPr>
                <w:rFonts w:ascii="Arial" w:hAnsi="Arial" w:cs="Arial"/>
              </w:rPr>
            </w:pPr>
            <w:proofErr w:type="spellStart"/>
            <w:r w:rsidRPr="000415B9">
              <w:rPr>
                <w:rFonts w:ascii="Arial" w:hAnsi="Arial" w:cs="Arial"/>
              </w:rPr>
              <w:t>Perfluorocarbons</w:t>
            </w:r>
            <w:proofErr w:type="spellEnd"/>
            <w:r w:rsidRPr="000415B9">
              <w:rPr>
                <w:rFonts w:ascii="Arial" w:hAnsi="Arial" w:cs="Arial"/>
              </w:rPr>
              <w:t xml:space="preserve"> (PFCs)</w:t>
            </w:r>
          </w:p>
          <w:p w:rsidR="001A6A4C" w:rsidRPr="000415B9" w:rsidRDefault="00153A5E" w:rsidP="001B7065">
            <w:pPr>
              <w:ind w:left="720"/>
              <w:rPr>
                <w:rFonts w:ascii="Arial" w:hAnsi="Arial" w:cs="Arial"/>
              </w:rPr>
            </w:pPr>
            <w:proofErr w:type="spellStart"/>
            <w:r w:rsidRPr="000415B9">
              <w:rPr>
                <w:rFonts w:ascii="Arial" w:hAnsi="Arial" w:cs="Arial"/>
              </w:rPr>
              <w:t>Solapur</w:t>
            </w:r>
            <w:proofErr w:type="spellEnd"/>
            <w:r w:rsidR="001A6A4C" w:rsidRPr="000415B9">
              <w:rPr>
                <w:rFonts w:ascii="Arial" w:hAnsi="Arial" w:cs="Arial"/>
              </w:rPr>
              <w:t xml:space="preserve"> hexafluoride (SF</w:t>
            </w:r>
            <w:r w:rsidR="001A6A4C" w:rsidRPr="000415B9">
              <w:rPr>
                <w:rFonts w:ascii="Arial" w:hAnsi="Arial" w:cs="Arial"/>
                <w:vertAlign w:val="subscript"/>
              </w:rPr>
              <w:t>6</w:t>
            </w:r>
            <w:r w:rsidR="001A6A4C" w:rsidRPr="000415B9">
              <w:rPr>
                <w:rFonts w:ascii="Arial" w:hAnsi="Arial" w:cs="Arial"/>
              </w:rPr>
              <w:t>)</w:t>
            </w:r>
          </w:p>
          <w:p w:rsidR="001A6A4C" w:rsidRPr="000415B9" w:rsidRDefault="001A6A4C" w:rsidP="001B7065">
            <w:pPr>
              <w:ind w:left="720"/>
              <w:rPr>
                <w:rFonts w:ascii="Arial" w:hAnsi="Arial" w:cs="Arial"/>
              </w:rPr>
            </w:pPr>
            <w:r w:rsidRPr="000415B9">
              <w:rPr>
                <w:rFonts w:ascii="Arial" w:hAnsi="Arial" w:cs="Arial"/>
              </w:rPr>
              <w:t xml:space="preserve">Nitrogen </w:t>
            </w:r>
            <w:proofErr w:type="spellStart"/>
            <w:r w:rsidRPr="000415B9">
              <w:rPr>
                <w:rFonts w:ascii="Arial" w:hAnsi="Arial" w:cs="Arial"/>
              </w:rPr>
              <w:t>trifluoride</w:t>
            </w:r>
            <w:proofErr w:type="spellEnd"/>
            <w:r w:rsidRPr="000415B9">
              <w:rPr>
                <w:rFonts w:ascii="Arial" w:hAnsi="Arial" w:cs="Arial"/>
              </w:rPr>
              <w:t xml:space="preserve"> (NF</w:t>
            </w:r>
            <w:r w:rsidRPr="000415B9">
              <w:rPr>
                <w:rFonts w:ascii="Arial" w:hAnsi="Arial" w:cs="Arial"/>
                <w:vertAlign w:val="subscript"/>
              </w:rPr>
              <w:t>3</w:t>
            </w:r>
            <w:r w:rsidRPr="000415B9">
              <w:rPr>
                <w:rFonts w:ascii="Arial" w:hAnsi="Arial" w:cs="Arial"/>
              </w:rPr>
              <w:t>)</w:t>
            </w:r>
          </w:p>
        </w:tc>
      </w:tr>
      <w:tr w:rsidR="00CD36E9" w:rsidRPr="000415B9" w:rsidTr="000415B9">
        <w:trPr>
          <w:jc w:val="center"/>
        </w:trPr>
        <w:tc>
          <w:tcPr>
            <w:tcW w:w="2694" w:type="dxa"/>
          </w:tcPr>
          <w:p w:rsidR="00CD36E9" w:rsidRPr="000415B9" w:rsidRDefault="00CD36E9">
            <w:pPr>
              <w:rPr>
                <w:rFonts w:ascii="Arial" w:hAnsi="Arial" w:cs="Arial"/>
              </w:rPr>
            </w:pPr>
            <w:r w:rsidRPr="000415B9">
              <w:rPr>
                <w:rFonts w:ascii="Arial" w:hAnsi="Arial" w:cs="Arial"/>
              </w:rPr>
              <w:t>Base year</w:t>
            </w:r>
          </w:p>
        </w:tc>
        <w:tc>
          <w:tcPr>
            <w:tcW w:w="6707" w:type="dxa"/>
          </w:tcPr>
          <w:p w:rsidR="00CD36E9" w:rsidRPr="000415B9" w:rsidRDefault="004C4AF7">
            <w:pPr>
              <w:rPr>
                <w:rFonts w:ascii="Arial" w:hAnsi="Arial" w:cs="Arial"/>
              </w:rPr>
            </w:pPr>
            <w:r w:rsidRPr="000415B9">
              <w:rPr>
                <w:rFonts w:ascii="Arial" w:hAnsi="Arial" w:cs="Arial"/>
              </w:rPr>
              <w:t>1990</w:t>
            </w:r>
          </w:p>
        </w:tc>
      </w:tr>
      <w:tr w:rsidR="00AC4E63" w:rsidRPr="000415B9" w:rsidTr="000415B9">
        <w:trPr>
          <w:jc w:val="center"/>
        </w:trPr>
        <w:tc>
          <w:tcPr>
            <w:tcW w:w="2694" w:type="dxa"/>
          </w:tcPr>
          <w:p w:rsidR="00AC4E63" w:rsidRPr="000415B9" w:rsidRDefault="00AC4E63">
            <w:pPr>
              <w:rPr>
                <w:rFonts w:ascii="Arial" w:hAnsi="Arial" w:cs="Arial"/>
              </w:rPr>
            </w:pPr>
            <w:r w:rsidRPr="000415B9">
              <w:rPr>
                <w:rFonts w:ascii="Arial" w:hAnsi="Arial" w:cs="Arial"/>
              </w:rPr>
              <w:t>Target year</w:t>
            </w:r>
          </w:p>
        </w:tc>
        <w:tc>
          <w:tcPr>
            <w:tcW w:w="6707" w:type="dxa"/>
          </w:tcPr>
          <w:p w:rsidR="00AC4E63" w:rsidRPr="000415B9" w:rsidRDefault="00CD36E9">
            <w:pPr>
              <w:rPr>
                <w:rFonts w:ascii="Arial" w:hAnsi="Arial" w:cs="Arial"/>
              </w:rPr>
            </w:pPr>
            <w:r w:rsidRPr="000415B9">
              <w:rPr>
                <w:rFonts w:ascii="Arial" w:hAnsi="Arial" w:cs="Arial"/>
              </w:rPr>
              <w:t>2030</w:t>
            </w:r>
          </w:p>
        </w:tc>
      </w:tr>
      <w:tr w:rsidR="00FD1942" w:rsidRPr="000415B9" w:rsidTr="000415B9">
        <w:trPr>
          <w:jc w:val="center"/>
        </w:trPr>
        <w:tc>
          <w:tcPr>
            <w:tcW w:w="2694" w:type="dxa"/>
          </w:tcPr>
          <w:p w:rsidR="00FD1942" w:rsidRPr="000415B9" w:rsidRDefault="00FD1942">
            <w:pPr>
              <w:rPr>
                <w:rFonts w:ascii="Arial" w:hAnsi="Arial" w:cs="Arial"/>
              </w:rPr>
            </w:pPr>
            <w:r>
              <w:rPr>
                <w:rFonts w:ascii="Arial" w:hAnsi="Arial" w:cs="Arial"/>
              </w:rPr>
              <w:t>Reduction level</w:t>
            </w:r>
          </w:p>
        </w:tc>
        <w:tc>
          <w:tcPr>
            <w:tcW w:w="6707" w:type="dxa"/>
          </w:tcPr>
          <w:p w:rsidR="00FD1942" w:rsidRPr="000415B9" w:rsidRDefault="00FD1942" w:rsidP="00245E41">
            <w:pPr>
              <w:ind w:left="31"/>
              <w:rPr>
                <w:rFonts w:ascii="Arial" w:hAnsi="Arial" w:cs="Arial"/>
              </w:rPr>
            </w:pPr>
            <w:r>
              <w:rPr>
                <w:rFonts w:ascii="Arial" w:hAnsi="Arial" w:cs="Arial"/>
              </w:rPr>
              <w:t xml:space="preserve">30% </w:t>
            </w:r>
            <w:r w:rsidRPr="00FD1942">
              <w:rPr>
                <w:rFonts w:ascii="Arial" w:hAnsi="Arial" w:cs="Arial"/>
              </w:rPr>
              <w:t xml:space="preserve">emission reduction by 2030 compared to the 1990 </w:t>
            </w:r>
          </w:p>
        </w:tc>
      </w:tr>
      <w:tr w:rsidR="001A6A4C" w:rsidRPr="000415B9" w:rsidTr="000415B9">
        <w:trPr>
          <w:trHeight w:val="392"/>
          <w:jc w:val="center"/>
        </w:trPr>
        <w:tc>
          <w:tcPr>
            <w:tcW w:w="2694" w:type="dxa"/>
          </w:tcPr>
          <w:p w:rsidR="001A6A4C" w:rsidRPr="000415B9" w:rsidRDefault="001A6A4C">
            <w:pPr>
              <w:rPr>
                <w:rFonts w:ascii="Arial" w:hAnsi="Arial" w:cs="Arial"/>
              </w:rPr>
            </w:pPr>
            <w:r w:rsidRPr="000415B9">
              <w:rPr>
                <w:rFonts w:ascii="Arial" w:hAnsi="Arial" w:cs="Arial"/>
              </w:rPr>
              <w:t>Sectors covered</w:t>
            </w:r>
          </w:p>
        </w:tc>
        <w:tc>
          <w:tcPr>
            <w:tcW w:w="6707" w:type="dxa"/>
          </w:tcPr>
          <w:p w:rsidR="00C91472" w:rsidRPr="000415B9" w:rsidRDefault="001A6A4C" w:rsidP="00C91472">
            <w:pPr>
              <w:rPr>
                <w:rFonts w:ascii="Arial" w:hAnsi="Arial" w:cs="Arial"/>
              </w:rPr>
            </w:pPr>
            <w:r w:rsidRPr="000415B9">
              <w:rPr>
                <w:rFonts w:ascii="Arial" w:hAnsi="Arial" w:cs="Arial"/>
              </w:rPr>
              <w:t>Sectors included are</w:t>
            </w:r>
            <w:r w:rsidR="00114386" w:rsidRPr="000415B9">
              <w:rPr>
                <w:rFonts w:ascii="Arial" w:hAnsi="Arial" w:cs="Arial"/>
              </w:rPr>
              <w:t>:</w:t>
            </w:r>
            <w:r w:rsidRPr="000415B9">
              <w:rPr>
                <w:rFonts w:ascii="Arial" w:hAnsi="Arial" w:cs="Arial"/>
              </w:rPr>
              <w:t xml:space="preserve"> </w:t>
            </w:r>
          </w:p>
          <w:p w:rsidR="00C91472" w:rsidRPr="000415B9" w:rsidRDefault="00C91472" w:rsidP="00C91472">
            <w:pPr>
              <w:rPr>
                <w:rFonts w:ascii="Arial" w:hAnsi="Arial" w:cs="Arial"/>
              </w:rPr>
            </w:pPr>
            <w:r w:rsidRPr="000415B9">
              <w:rPr>
                <w:rFonts w:ascii="Arial" w:hAnsi="Arial" w:cs="Arial"/>
              </w:rPr>
              <w:t>Energy</w:t>
            </w:r>
          </w:p>
          <w:p w:rsidR="00C91472" w:rsidRPr="000415B9" w:rsidRDefault="00C91472" w:rsidP="00C91472">
            <w:pPr>
              <w:ind w:left="720"/>
              <w:rPr>
                <w:rFonts w:ascii="Arial" w:hAnsi="Arial" w:cs="Arial"/>
              </w:rPr>
            </w:pPr>
            <w:r w:rsidRPr="000415B9">
              <w:rPr>
                <w:rFonts w:ascii="Arial" w:hAnsi="Arial" w:cs="Arial"/>
              </w:rPr>
              <w:t>Fuel Combustion</w:t>
            </w:r>
            <w:r w:rsidRPr="000415B9">
              <w:rPr>
                <w:rFonts w:ascii="Arial" w:hAnsi="Arial" w:cs="Arial"/>
              </w:rPr>
              <w:br/>
              <w:t>Fugitive emissions from fuels</w:t>
            </w:r>
            <w:r w:rsidRPr="000415B9">
              <w:rPr>
                <w:rFonts w:ascii="Arial" w:hAnsi="Arial" w:cs="Arial"/>
              </w:rPr>
              <w:br/>
              <w:t>CO2 transport and storage</w:t>
            </w:r>
          </w:p>
          <w:p w:rsidR="00C91472" w:rsidRPr="000415B9" w:rsidRDefault="00C91472" w:rsidP="00C91472">
            <w:pPr>
              <w:rPr>
                <w:rFonts w:ascii="Arial" w:hAnsi="Arial" w:cs="Arial"/>
              </w:rPr>
            </w:pPr>
            <w:r w:rsidRPr="000415B9">
              <w:rPr>
                <w:rFonts w:ascii="Arial" w:hAnsi="Arial" w:cs="Arial"/>
              </w:rPr>
              <w:t>Industrial processes</w:t>
            </w:r>
          </w:p>
          <w:p w:rsidR="00C91472" w:rsidRPr="000415B9" w:rsidRDefault="00C91472" w:rsidP="00C91472">
            <w:pPr>
              <w:ind w:left="720"/>
              <w:rPr>
                <w:rFonts w:ascii="Arial" w:hAnsi="Arial" w:cs="Arial"/>
              </w:rPr>
            </w:pPr>
            <w:r w:rsidRPr="000415B9">
              <w:rPr>
                <w:rFonts w:ascii="Arial" w:hAnsi="Arial" w:cs="Arial"/>
              </w:rPr>
              <w:t>Mineral industry</w:t>
            </w:r>
          </w:p>
          <w:p w:rsidR="00C91472" w:rsidRPr="000415B9" w:rsidRDefault="00C91472" w:rsidP="00C91472">
            <w:pPr>
              <w:ind w:left="720"/>
              <w:rPr>
                <w:rFonts w:ascii="Arial" w:hAnsi="Arial" w:cs="Arial"/>
              </w:rPr>
            </w:pPr>
            <w:r w:rsidRPr="000415B9">
              <w:rPr>
                <w:rFonts w:ascii="Arial" w:hAnsi="Arial" w:cs="Arial"/>
              </w:rPr>
              <w:t>Chemical industry</w:t>
            </w:r>
          </w:p>
          <w:p w:rsidR="00C91472" w:rsidRPr="000415B9" w:rsidRDefault="00C91472" w:rsidP="00C91472">
            <w:pPr>
              <w:ind w:left="720"/>
              <w:rPr>
                <w:rFonts w:ascii="Arial" w:hAnsi="Arial" w:cs="Arial"/>
              </w:rPr>
            </w:pPr>
            <w:r w:rsidRPr="000415B9">
              <w:rPr>
                <w:rFonts w:ascii="Arial" w:hAnsi="Arial" w:cs="Arial"/>
              </w:rPr>
              <w:t>Metal industry</w:t>
            </w:r>
          </w:p>
          <w:p w:rsidR="00C91472" w:rsidRPr="000415B9" w:rsidRDefault="00C91472" w:rsidP="00C91472">
            <w:pPr>
              <w:ind w:left="720"/>
              <w:rPr>
                <w:rFonts w:ascii="Arial" w:hAnsi="Arial" w:cs="Arial"/>
              </w:rPr>
            </w:pPr>
            <w:r w:rsidRPr="000415B9">
              <w:rPr>
                <w:rFonts w:ascii="Arial" w:hAnsi="Arial" w:cs="Arial"/>
              </w:rPr>
              <w:t>Non-</w:t>
            </w:r>
            <w:r w:rsidR="00B270A9" w:rsidRPr="000415B9">
              <w:rPr>
                <w:rFonts w:ascii="Arial" w:hAnsi="Arial" w:cs="Arial"/>
              </w:rPr>
              <w:t xml:space="preserve">energy products from fuels and </w:t>
            </w:r>
            <w:r w:rsidRPr="000415B9">
              <w:rPr>
                <w:rFonts w:ascii="Arial" w:hAnsi="Arial" w:cs="Arial"/>
              </w:rPr>
              <w:t>solvent use</w:t>
            </w:r>
          </w:p>
          <w:p w:rsidR="00C91472" w:rsidRPr="000415B9" w:rsidRDefault="00C91472" w:rsidP="00C91472">
            <w:pPr>
              <w:ind w:left="720"/>
              <w:rPr>
                <w:rFonts w:ascii="Arial" w:hAnsi="Arial" w:cs="Arial"/>
              </w:rPr>
            </w:pPr>
            <w:r w:rsidRPr="000415B9">
              <w:rPr>
                <w:rFonts w:ascii="Arial" w:hAnsi="Arial" w:cs="Arial"/>
              </w:rPr>
              <w:t>Electronic industry</w:t>
            </w:r>
          </w:p>
          <w:p w:rsidR="00C91472" w:rsidRPr="000415B9" w:rsidRDefault="00C91472" w:rsidP="00C91472">
            <w:pPr>
              <w:ind w:left="720"/>
              <w:rPr>
                <w:rFonts w:ascii="Arial" w:hAnsi="Arial" w:cs="Arial"/>
              </w:rPr>
            </w:pPr>
            <w:r w:rsidRPr="000415B9">
              <w:rPr>
                <w:rFonts w:ascii="Arial" w:hAnsi="Arial" w:cs="Arial"/>
              </w:rPr>
              <w:t>Product uses as substitutes for ODS</w:t>
            </w:r>
          </w:p>
          <w:p w:rsidR="00B270A9" w:rsidRPr="000415B9" w:rsidRDefault="00B270A9" w:rsidP="00C91472">
            <w:pPr>
              <w:ind w:left="720"/>
              <w:rPr>
                <w:rFonts w:ascii="Arial" w:hAnsi="Arial" w:cs="Arial"/>
              </w:rPr>
            </w:pPr>
            <w:r w:rsidRPr="000415B9">
              <w:rPr>
                <w:rFonts w:ascii="Arial" w:hAnsi="Arial" w:cs="Arial"/>
              </w:rPr>
              <w:t>Other Product Manufacture and Use</w:t>
            </w:r>
          </w:p>
          <w:p w:rsidR="00C91472" w:rsidRPr="000415B9" w:rsidRDefault="00C91472" w:rsidP="00C91472">
            <w:pPr>
              <w:ind w:left="720"/>
              <w:rPr>
                <w:rFonts w:ascii="Arial" w:hAnsi="Arial" w:cs="Arial"/>
              </w:rPr>
            </w:pPr>
            <w:r w:rsidRPr="000415B9">
              <w:rPr>
                <w:rFonts w:ascii="Arial" w:hAnsi="Arial" w:cs="Arial"/>
              </w:rPr>
              <w:t>Other</w:t>
            </w:r>
          </w:p>
          <w:p w:rsidR="00C91472" w:rsidRPr="000415B9" w:rsidRDefault="00C91472" w:rsidP="00C91472">
            <w:pPr>
              <w:rPr>
                <w:rFonts w:ascii="Arial" w:hAnsi="Arial" w:cs="Arial"/>
              </w:rPr>
            </w:pPr>
            <w:r w:rsidRPr="000415B9">
              <w:rPr>
                <w:rFonts w:ascii="Arial" w:hAnsi="Arial" w:cs="Arial"/>
              </w:rPr>
              <w:t>Agriculture</w:t>
            </w:r>
          </w:p>
          <w:p w:rsidR="00C91472" w:rsidRPr="000415B9" w:rsidRDefault="00B270A9" w:rsidP="00C91472">
            <w:pPr>
              <w:ind w:left="720"/>
              <w:rPr>
                <w:rFonts w:ascii="Arial" w:hAnsi="Arial" w:cs="Arial"/>
              </w:rPr>
            </w:pPr>
            <w:r w:rsidRPr="000415B9">
              <w:rPr>
                <w:rFonts w:ascii="Arial" w:hAnsi="Arial" w:cs="Arial"/>
              </w:rPr>
              <w:t>Livestock</w:t>
            </w:r>
          </w:p>
          <w:p w:rsidR="00114386" w:rsidRPr="000415B9" w:rsidRDefault="00114386" w:rsidP="00114386">
            <w:pPr>
              <w:ind w:left="720"/>
              <w:rPr>
                <w:rFonts w:ascii="Arial" w:hAnsi="Arial" w:cs="Arial"/>
              </w:rPr>
            </w:pPr>
            <w:r w:rsidRPr="000415B9">
              <w:rPr>
                <w:rFonts w:ascii="Arial" w:hAnsi="Arial" w:cs="Arial"/>
              </w:rPr>
              <w:t>Aggregate sources and non-CO</w:t>
            </w:r>
            <w:r w:rsidRPr="000415B9">
              <w:rPr>
                <w:rFonts w:ascii="Arial" w:hAnsi="Arial" w:cs="Arial"/>
                <w:vertAlign w:val="subscript"/>
              </w:rPr>
              <w:t>2</w:t>
            </w:r>
            <w:r w:rsidRPr="000415B9">
              <w:rPr>
                <w:rFonts w:ascii="Arial" w:hAnsi="Arial" w:cs="Arial"/>
              </w:rPr>
              <w:t xml:space="preserve"> emissions sources on land</w:t>
            </w:r>
          </w:p>
          <w:p w:rsidR="00B270A9" w:rsidRPr="000415B9" w:rsidRDefault="00B270A9" w:rsidP="00B270A9">
            <w:pPr>
              <w:rPr>
                <w:rFonts w:ascii="Arial" w:hAnsi="Arial" w:cs="Arial"/>
              </w:rPr>
            </w:pPr>
            <w:r w:rsidRPr="000415B9">
              <w:rPr>
                <w:rFonts w:ascii="Arial" w:hAnsi="Arial" w:cs="Arial"/>
              </w:rPr>
              <w:t>Waste</w:t>
            </w:r>
          </w:p>
        </w:tc>
      </w:tr>
      <w:tr w:rsidR="001A6A4C" w:rsidRPr="000415B9" w:rsidTr="000415B9">
        <w:trPr>
          <w:jc w:val="center"/>
        </w:trPr>
        <w:tc>
          <w:tcPr>
            <w:tcW w:w="2694" w:type="dxa"/>
          </w:tcPr>
          <w:p w:rsidR="001A6A4C" w:rsidRPr="000415B9" w:rsidRDefault="001A6A4C">
            <w:pPr>
              <w:rPr>
                <w:rFonts w:ascii="Arial" w:hAnsi="Arial" w:cs="Arial"/>
              </w:rPr>
            </w:pPr>
            <w:r w:rsidRPr="000415B9">
              <w:rPr>
                <w:rFonts w:ascii="Arial" w:hAnsi="Arial" w:cs="Arial"/>
              </w:rPr>
              <w:t>Planning process</w:t>
            </w:r>
          </w:p>
        </w:tc>
        <w:tc>
          <w:tcPr>
            <w:tcW w:w="6707" w:type="dxa"/>
          </w:tcPr>
          <w:p w:rsidR="001A6A4C" w:rsidRPr="000415B9" w:rsidRDefault="001A6A4C" w:rsidP="003B07FC">
            <w:pPr>
              <w:jc w:val="both"/>
              <w:rPr>
                <w:rFonts w:ascii="Arial" w:hAnsi="Arial" w:cs="Arial"/>
              </w:rPr>
            </w:pPr>
            <w:r w:rsidRPr="000415B9">
              <w:rPr>
                <w:rFonts w:ascii="Arial" w:hAnsi="Arial" w:cs="Arial"/>
              </w:rPr>
              <w:t xml:space="preserve">Planning process of the INDC included the review of available data and </w:t>
            </w:r>
            <w:proofErr w:type="spellStart"/>
            <w:r w:rsidRPr="000415B9">
              <w:rPr>
                <w:rFonts w:ascii="Arial" w:hAnsi="Arial" w:cs="Arial"/>
              </w:rPr>
              <w:t>modelling</w:t>
            </w:r>
            <w:proofErr w:type="spellEnd"/>
            <w:r w:rsidRPr="000415B9">
              <w:rPr>
                <w:rFonts w:ascii="Arial" w:hAnsi="Arial" w:cs="Arial"/>
              </w:rPr>
              <w:t xml:space="preserve"> work applicable to greenhouse gas reduction pathway as well as consultations with government stakeholders</w:t>
            </w:r>
            <w:r w:rsidR="003B07FC" w:rsidRPr="000415B9">
              <w:rPr>
                <w:rFonts w:ascii="Arial" w:hAnsi="Arial" w:cs="Arial"/>
              </w:rPr>
              <w:t xml:space="preserve">, </w:t>
            </w:r>
            <w:r w:rsidR="00153A5E" w:rsidRPr="000415B9">
              <w:rPr>
                <w:rFonts w:ascii="Arial" w:hAnsi="Arial" w:cs="Arial"/>
              </w:rPr>
              <w:t>operators</w:t>
            </w:r>
            <w:r w:rsidR="003B07FC" w:rsidRPr="000415B9">
              <w:rPr>
                <w:rFonts w:ascii="Arial" w:hAnsi="Arial" w:cs="Arial"/>
              </w:rPr>
              <w:t xml:space="preserve"> of key installations</w:t>
            </w:r>
            <w:r w:rsidRPr="000415B9">
              <w:rPr>
                <w:rFonts w:ascii="Arial" w:hAnsi="Arial" w:cs="Arial"/>
              </w:rPr>
              <w:t xml:space="preserve"> as well as with the public.</w:t>
            </w:r>
          </w:p>
          <w:p w:rsidR="003B07FC" w:rsidRPr="000415B9" w:rsidRDefault="001A6A4C" w:rsidP="003B07FC">
            <w:pPr>
              <w:jc w:val="both"/>
              <w:rPr>
                <w:rFonts w:ascii="Arial" w:hAnsi="Arial" w:cs="Arial"/>
              </w:rPr>
            </w:pPr>
            <w:r w:rsidRPr="000415B9">
              <w:rPr>
                <w:rFonts w:ascii="Arial" w:hAnsi="Arial" w:cs="Arial"/>
              </w:rPr>
              <w:t xml:space="preserve">The scenarios for the INDC were developed in consultation with the authors of the </w:t>
            </w:r>
            <w:r w:rsidR="00832435">
              <w:rPr>
                <w:rFonts w:ascii="Arial" w:hAnsi="Arial" w:cs="Arial"/>
              </w:rPr>
              <w:t xml:space="preserve">National </w:t>
            </w:r>
            <w:r w:rsidRPr="000415B9">
              <w:rPr>
                <w:rFonts w:ascii="Arial" w:hAnsi="Arial" w:cs="Arial"/>
              </w:rPr>
              <w:t>Climate Change Strategy of Montenegro</w:t>
            </w:r>
            <w:r w:rsidR="003B07FC" w:rsidRPr="000415B9">
              <w:rPr>
                <w:rFonts w:ascii="Arial" w:hAnsi="Arial" w:cs="Arial"/>
              </w:rPr>
              <w:t>.</w:t>
            </w:r>
          </w:p>
          <w:p w:rsidR="001A6A4C" w:rsidRPr="000415B9" w:rsidRDefault="001A6A4C" w:rsidP="003B07FC">
            <w:pPr>
              <w:jc w:val="both"/>
              <w:rPr>
                <w:rFonts w:ascii="Arial" w:hAnsi="Arial" w:cs="Arial"/>
              </w:rPr>
            </w:pPr>
            <w:r w:rsidRPr="000415B9">
              <w:rPr>
                <w:rFonts w:ascii="Arial" w:hAnsi="Arial" w:cs="Arial"/>
              </w:rPr>
              <w:t>Within the preparation process of the INDC it became clear that significant data uncertainty exist regarding the emissions</w:t>
            </w:r>
            <w:r w:rsidR="003D365E" w:rsidRPr="000415B9">
              <w:rPr>
                <w:rFonts w:ascii="Arial" w:hAnsi="Arial" w:cs="Arial"/>
              </w:rPr>
              <w:t xml:space="preserve"> and removal </w:t>
            </w:r>
            <w:r w:rsidRPr="000415B9">
              <w:rPr>
                <w:rFonts w:ascii="Arial" w:hAnsi="Arial" w:cs="Arial"/>
              </w:rPr>
              <w:t xml:space="preserve">in </w:t>
            </w:r>
            <w:r w:rsidR="003D365E" w:rsidRPr="000415B9">
              <w:rPr>
                <w:rFonts w:ascii="Arial" w:hAnsi="Arial" w:cs="Arial"/>
              </w:rPr>
              <w:t xml:space="preserve">the land use, land use change and forestry </w:t>
            </w:r>
            <w:r w:rsidRPr="000415B9">
              <w:rPr>
                <w:rFonts w:ascii="Arial" w:hAnsi="Arial" w:cs="Arial"/>
              </w:rPr>
              <w:t>sectors.</w:t>
            </w:r>
          </w:p>
        </w:tc>
      </w:tr>
      <w:tr w:rsidR="001A6A4C" w:rsidRPr="000415B9" w:rsidTr="000415B9">
        <w:trPr>
          <w:jc w:val="center"/>
        </w:trPr>
        <w:tc>
          <w:tcPr>
            <w:tcW w:w="2694" w:type="dxa"/>
          </w:tcPr>
          <w:p w:rsidR="001A6A4C" w:rsidRPr="000415B9" w:rsidRDefault="001A6A4C">
            <w:pPr>
              <w:rPr>
                <w:rFonts w:ascii="Arial" w:hAnsi="Arial" w:cs="Arial"/>
              </w:rPr>
            </w:pPr>
            <w:r w:rsidRPr="000415B9">
              <w:rPr>
                <w:rFonts w:ascii="Arial" w:hAnsi="Arial" w:cs="Arial"/>
              </w:rPr>
              <w:t>Participation in international market mechanism</w:t>
            </w:r>
          </w:p>
        </w:tc>
        <w:tc>
          <w:tcPr>
            <w:tcW w:w="6707" w:type="dxa"/>
          </w:tcPr>
          <w:p w:rsidR="001A6A4C" w:rsidRPr="000415B9" w:rsidRDefault="001A6A4C" w:rsidP="003B07FC">
            <w:pPr>
              <w:jc w:val="both"/>
              <w:rPr>
                <w:rFonts w:ascii="Arial" w:hAnsi="Arial" w:cs="Arial"/>
              </w:rPr>
            </w:pPr>
            <w:r w:rsidRPr="000415B9">
              <w:rPr>
                <w:rFonts w:ascii="Arial" w:hAnsi="Arial" w:cs="Arial"/>
              </w:rPr>
              <w:t>Montenegro intends to sell carbon credits during the period to contribute towards achieving i</w:t>
            </w:r>
            <w:r w:rsidR="003B07FC" w:rsidRPr="000415B9">
              <w:rPr>
                <w:rFonts w:ascii="Arial" w:hAnsi="Arial" w:cs="Arial"/>
              </w:rPr>
              <w:t>t</w:t>
            </w:r>
            <w:r w:rsidRPr="000415B9">
              <w:rPr>
                <w:rFonts w:ascii="Arial" w:hAnsi="Arial" w:cs="Arial"/>
              </w:rPr>
              <w:t>s emission reduction objectives as assistance to cost-effective implementation of the low emission development pathway. Montenegro foresees that for the utilization of international market mechanism is conditional on having effective accounting rules developed under the UNFCCC to ensure the environmental integrity of the mechanisms.</w:t>
            </w:r>
          </w:p>
        </w:tc>
      </w:tr>
      <w:tr w:rsidR="004A5959" w:rsidRPr="000415B9" w:rsidTr="000415B9">
        <w:trPr>
          <w:jc w:val="center"/>
        </w:trPr>
        <w:tc>
          <w:tcPr>
            <w:tcW w:w="9401" w:type="dxa"/>
            <w:gridSpan w:val="2"/>
          </w:tcPr>
          <w:p w:rsidR="004A5959" w:rsidRPr="000415B9" w:rsidRDefault="004A5959" w:rsidP="004A5959">
            <w:pPr>
              <w:jc w:val="center"/>
              <w:rPr>
                <w:rFonts w:ascii="Arial" w:hAnsi="Arial" w:cs="Arial"/>
              </w:rPr>
            </w:pPr>
            <w:r w:rsidRPr="000415B9">
              <w:rPr>
                <w:rFonts w:ascii="Arial" w:hAnsi="Arial" w:cs="Arial"/>
                <w:b/>
              </w:rPr>
              <w:lastRenderedPageBreak/>
              <w:t>Fairness, equity, ambition and Means of Implementation</w:t>
            </w:r>
          </w:p>
        </w:tc>
      </w:tr>
      <w:tr w:rsidR="00A74591" w:rsidRPr="000415B9" w:rsidTr="000415B9">
        <w:trPr>
          <w:jc w:val="center"/>
        </w:trPr>
        <w:tc>
          <w:tcPr>
            <w:tcW w:w="2694" w:type="dxa"/>
          </w:tcPr>
          <w:p w:rsidR="00A74591" w:rsidRPr="000415B9" w:rsidRDefault="00A74591">
            <w:pPr>
              <w:rPr>
                <w:rFonts w:ascii="Arial" w:hAnsi="Arial" w:cs="Arial"/>
              </w:rPr>
            </w:pPr>
            <w:r w:rsidRPr="000415B9">
              <w:rPr>
                <w:rFonts w:ascii="Arial" w:hAnsi="Arial" w:cs="Arial"/>
              </w:rPr>
              <w:t>Fairness, equity and ambition</w:t>
            </w:r>
          </w:p>
        </w:tc>
        <w:tc>
          <w:tcPr>
            <w:tcW w:w="6707" w:type="dxa"/>
          </w:tcPr>
          <w:p w:rsidR="00A74591" w:rsidRPr="000415B9" w:rsidRDefault="00A74591" w:rsidP="00CE6D51">
            <w:pPr>
              <w:jc w:val="both"/>
              <w:rPr>
                <w:rFonts w:ascii="Arial" w:hAnsi="Arial" w:cs="Arial"/>
              </w:rPr>
            </w:pPr>
            <w:r w:rsidRPr="000415B9">
              <w:rPr>
                <w:rFonts w:ascii="Arial" w:hAnsi="Arial" w:cs="Arial"/>
              </w:rPr>
              <w:t xml:space="preserve">Montenegro is a </w:t>
            </w:r>
            <w:r w:rsidR="009278B2" w:rsidRPr="000415B9">
              <w:rPr>
                <w:rFonts w:ascii="Arial" w:hAnsi="Arial" w:cs="Arial"/>
              </w:rPr>
              <w:t>non-Annex I</w:t>
            </w:r>
            <w:r w:rsidRPr="000415B9">
              <w:rPr>
                <w:rFonts w:ascii="Arial" w:hAnsi="Arial" w:cs="Arial"/>
              </w:rPr>
              <w:t xml:space="preserve"> country, highly vulnerable to th</w:t>
            </w:r>
            <w:r w:rsidR="003D365E" w:rsidRPr="000415B9">
              <w:rPr>
                <w:rFonts w:ascii="Arial" w:hAnsi="Arial" w:cs="Arial"/>
              </w:rPr>
              <w:t>e effects of the climate change</w:t>
            </w:r>
            <w:r w:rsidRPr="000415B9">
              <w:rPr>
                <w:rFonts w:ascii="Arial" w:hAnsi="Arial" w:cs="Arial"/>
              </w:rPr>
              <w:t xml:space="preserve">. National emissions of the greenhouse gases represent only </w:t>
            </w:r>
            <w:r w:rsidR="00B94D48" w:rsidRPr="000415B9">
              <w:rPr>
                <w:rFonts w:ascii="Arial" w:hAnsi="Arial" w:cs="Arial"/>
              </w:rPr>
              <w:t>0,00</w:t>
            </w:r>
            <w:r w:rsidR="00A83FB2" w:rsidRPr="000415B9">
              <w:rPr>
                <w:rFonts w:ascii="Arial" w:hAnsi="Arial" w:cs="Arial"/>
              </w:rPr>
              <w:t>9</w:t>
            </w:r>
            <w:r w:rsidR="00B94D48" w:rsidRPr="000415B9">
              <w:rPr>
                <w:rFonts w:ascii="Arial" w:hAnsi="Arial" w:cs="Arial"/>
              </w:rPr>
              <w:t xml:space="preserve"> </w:t>
            </w:r>
            <w:r w:rsidRPr="000415B9">
              <w:rPr>
                <w:rFonts w:ascii="Arial" w:hAnsi="Arial" w:cs="Arial"/>
              </w:rPr>
              <w:t xml:space="preserve">% of global emissions and the net per capita GHG emissions in Montenegro was </w:t>
            </w:r>
            <w:r w:rsidR="00A83FB2" w:rsidRPr="000415B9">
              <w:rPr>
                <w:rFonts w:ascii="Arial" w:hAnsi="Arial" w:cs="Arial"/>
              </w:rPr>
              <w:t>7</w:t>
            </w:r>
            <w:r w:rsidR="00C345E0" w:rsidRPr="000415B9">
              <w:rPr>
                <w:rFonts w:ascii="Arial" w:hAnsi="Arial" w:cs="Arial"/>
              </w:rPr>
              <w:t>.2</w:t>
            </w:r>
            <w:r w:rsidR="00A83FB2" w:rsidRPr="000415B9">
              <w:rPr>
                <w:rFonts w:ascii="Arial" w:hAnsi="Arial" w:cs="Arial"/>
              </w:rPr>
              <w:t>5</w:t>
            </w:r>
            <w:r w:rsidRPr="000415B9">
              <w:rPr>
                <w:rFonts w:ascii="Arial" w:hAnsi="Arial" w:cs="Arial"/>
              </w:rPr>
              <w:t xml:space="preserve"> tCO</w:t>
            </w:r>
            <w:r w:rsidRPr="000415B9">
              <w:rPr>
                <w:rFonts w:ascii="Arial" w:hAnsi="Arial" w:cs="Arial"/>
                <w:vertAlign w:val="subscript"/>
              </w:rPr>
              <w:t>2</w:t>
            </w:r>
            <w:r w:rsidRPr="000415B9">
              <w:rPr>
                <w:rFonts w:ascii="Arial" w:hAnsi="Arial" w:cs="Arial"/>
              </w:rPr>
              <w:t>e</w:t>
            </w:r>
            <w:r w:rsidR="00A83FB2" w:rsidRPr="000415B9">
              <w:rPr>
                <w:rFonts w:ascii="Arial" w:hAnsi="Arial" w:cs="Arial"/>
              </w:rPr>
              <w:t>q</w:t>
            </w:r>
            <w:r w:rsidRPr="000415B9">
              <w:rPr>
                <w:rFonts w:ascii="Arial" w:hAnsi="Arial" w:cs="Arial"/>
              </w:rPr>
              <w:t xml:space="preserve"> in 20</w:t>
            </w:r>
            <w:r w:rsidR="00C345E0" w:rsidRPr="000415B9">
              <w:rPr>
                <w:rFonts w:ascii="Arial" w:hAnsi="Arial" w:cs="Arial"/>
              </w:rPr>
              <w:t>1</w:t>
            </w:r>
            <w:r w:rsidR="00A83FB2" w:rsidRPr="000415B9">
              <w:rPr>
                <w:rFonts w:ascii="Arial" w:hAnsi="Arial" w:cs="Arial"/>
              </w:rPr>
              <w:t>0</w:t>
            </w:r>
            <w:r w:rsidRPr="000415B9">
              <w:rPr>
                <w:rFonts w:ascii="Arial" w:hAnsi="Arial" w:cs="Arial"/>
              </w:rPr>
              <w:t>.</w:t>
            </w:r>
          </w:p>
          <w:p w:rsidR="00A74591" w:rsidRPr="000415B9" w:rsidRDefault="00A74591" w:rsidP="00CE6D51">
            <w:pPr>
              <w:jc w:val="both"/>
              <w:rPr>
                <w:rFonts w:ascii="Arial" w:hAnsi="Arial" w:cs="Arial"/>
              </w:rPr>
            </w:pPr>
            <w:r w:rsidRPr="000415B9">
              <w:rPr>
                <w:rFonts w:ascii="Arial" w:hAnsi="Arial" w:cs="Arial"/>
              </w:rPr>
              <w:t xml:space="preserve">Montenegro will take into account the ultimate objective of the UNFCCC in its future development and </w:t>
            </w:r>
            <w:r w:rsidR="00A83FB2" w:rsidRPr="000415B9">
              <w:rPr>
                <w:rFonts w:ascii="Arial" w:hAnsi="Arial" w:cs="Arial"/>
              </w:rPr>
              <w:t xml:space="preserve">will be </w:t>
            </w:r>
            <w:r w:rsidRPr="000415B9">
              <w:rPr>
                <w:rFonts w:ascii="Arial" w:hAnsi="Arial" w:cs="Arial"/>
              </w:rPr>
              <w:t>committed to decouple greenhouse gas emissions from its economic growth and embarks on a low emission development pathway.</w:t>
            </w:r>
          </w:p>
          <w:p w:rsidR="00A74591" w:rsidRPr="000415B9" w:rsidRDefault="00A74591" w:rsidP="00CE6D51">
            <w:pPr>
              <w:jc w:val="both"/>
              <w:rPr>
                <w:rFonts w:ascii="Arial" w:hAnsi="Arial" w:cs="Arial"/>
              </w:rPr>
            </w:pPr>
            <w:r w:rsidRPr="000415B9">
              <w:rPr>
                <w:rFonts w:ascii="Arial" w:hAnsi="Arial" w:cs="Arial"/>
              </w:rPr>
              <w:t xml:space="preserve">The INDC submitted by Montenegro is fair and ambitious because it aims to secure </w:t>
            </w:r>
            <w:r w:rsidR="00B94D48" w:rsidRPr="000415B9">
              <w:rPr>
                <w:rFonts w:ascii="Arial" w:hAnsi="Arial" w:cs="Arial"/>
              </w:rPr>
              <w:t xml:space="preserve">significant </w:t>
            </w:r>
            <w:r w:rsidR="009278B2" w:rsidRPr="000415B9">
              <w:rPr>
                <w:rFonts w:ascii="Arial" w:hAnsi="Arial" w:cs="Arial"/>
              </w:rPr>
              <w:t>reduction of</w:t>
            </w:r>
            <w:r w:rsidRPr="000415B9">
              <w:rPr>
                <w:rFonts w:ascii="Arial" w:hAnsi="Arial" w:cs="Arial"/>
              </w:rPr>
              <w:t xml:space="preserve"> its greenhouse gas emissions while </w:t>
            </w:r>
            <w:r w:rsidR="003D365E" w:rsidRPr="000415B9">
              <w:rPr>
                <w:rFonts w:ascii="Arial" w:hAnsi="Arial" w:cs="Arial"/>
              </w:rPr>
              <w:t xml:space="preserve">satisfies the country’s need for economic development, allowing a feasible pathway for long-term </w:t>
            </w:r>
            <w:proofErr w:type="spellStart"/>
            <w:r w:rsidR="003D365E" w:rsidRPr="000415B9">
              <w:rPr>
                <w:rFonts w:ascii="Arial" w:hAnsi="Arial" w:cs="Arial"/>
              </w:rPr>
              <w:t>decarbonisation</w:t>
            </w:r>
            <w:proofErr w:type="spellEnd"/>
            <w:r w:rsidR="003D365E" w:rsidRPr="000415B9">
              <w:rPr>
                <w:rFonts w:ascii="Arial" w:hAnsi="Arial" w:cs="Arial"/>
              </w:rPr>
              <w:t>.</w:t>
            </w:r>
          </w:p>
        </w:tc>
      </w:tr>
      <w:tr w:rsidR="001A6A4C" w:rsidRPr="000415B9" w:rsidTr="000415B9">
        <w:trPr>
          <w:jc w:val="center"/>
        </w:trPr>
        <w:tc>
          <w:tcPr>
            <w:tcW w:w="2694" w:type="dxa"/>
          </w:tcPr>
          <w:p w:rsidR="001A6A4C" w:rsidRPr="000415B9" w:rsidRDefault="001A6A4C">
            <w:pPr>
              <w:rPr>
                <w:rFonts w:ascii="Arial" w:hAnsi="Arial" w:cs="Arial"/>
              </w:rPr>
            </w:pPr>
            <w:r w:rsidRPr="000415B9">
              <w:rPr>
                <w:rFonts w:ascii="Arial" w:hAnsi="Arial" w:cs="Arial"/>
              </w:rPr>
              <w:t>Means of implementation</w:t>
            </w:r>
          </w:p>
        </w:tc>
        <w:tc>
          <w:tcPr>
            <w:tcW w:w="6707" w:type="dxa"/>
          </w:tcPr>
          <w:p w:rsidR="001A6A4C" w:rsidRPr="000415B9" w:rsidRDefault="003C0B30" w:rsidP="00A83FB2">
            <w:pPr>
              <w:jc w:val="both"/>
              <w:rPr>
                <w:rFonts w:ascii="Arial" w:hAnsi="Arial" w:cs="Arial"/>
              </w:rPr>
            </w:pPr>
            <w:r w:rsidRPr="000415B9">
              <w:rPr>
                <w:rFonts w:ascii="Arial" w:hAnsi="Arial" w:cs="Arial"/>
              </w:rPr>
              <w:t xml:space="preserve">The </w:t>
            </w:r>
            <w:r w:rsidR="00A464FF" w:rsidRPr="000415B9">
              <w:rPr>
                <w:rFonts w:ascii="Arial" w:hAnsi="Arial" w:cs="Arial"/>
              </w:rPr>
              <w:t>Na</w:t>
            </w:r>
            <w:r w:rsidRPr="000415B9">
              <w:rPr>
                <w:rFonts w:ascii="Arial" w:hAnsi="Arial" w:cs="Arial"/>
              </w:rPr>
              <w:t xml:space="preserve">tional Climate Change Strategy will be the main planning tool along with its action plans for the implementation of Montenegro’s </w:t>
            </w:r>
            <w:r w:rsidR="00832435">
              <w:rPr>
                <w:rFonts w:ascii="Arial" w:hAnsi="Arial" w:cs="Arial"/>
              </w:rPr>
              <w:t xml:space="preserve">intended </w:t>
            </w:r>
            <w:r w:rsidRPr="000415B9">
              <w:rPr>
                <w:rFonts w:ascii="Arial" w:hAnsi="Arial" w:cs="Arial"/>
              </w:rPr>
              <w:t>nationally determined contribution until 2030. The Energy Development Strategy of Montenegro by 2030 also takes into consideration climate change as one of its six objectives and the INDC is developed in line with the trends foreseen for the energy sector development of Montenegro.</w:t>
            </w:r>
          </w:p>
          <w:p w:rsidR="003C0B30" w:rsidRPr="000415B9" w:rsidRDefault="003C0B30" w:rsidP="00A83FB2">
            <w:pPr>
              <w:jc w:val="both"/>
              <w:rPr>
                <w:rFonts w:ascii="Arial" w:hAnsi="Arial" w:cs="Arial"/>
              </w:rPr>
            </w:pPr>
            <w:r w:rsidRPr="000415B9">
              <w:rPr>
                <w:rFonts w:ascii="Arial" w:hAnsi="Arial" w:cs="Arial"/>
              </w:rPr>
              <w:t xml:space="preserve">Montenegro is in the process of accession to the European </w:t>
            </w:r>
            <w:proofErr w:type="gramStart"/>
            <w:r w:rsidRPr="000415B9">
              <w:rPr>
                <w:rFonts w:ascii="Arial" w:hAnsi="Arial" w:cs="Arial"/>
              </w:rPr>
              <w:t>Union which</w:t>
            </w:r>
            <w:proofErr w:type="gramEnd"/>
            <w:r w:rsidRPr="000415B9">
              <w:rPr>
                <w:rFonts w:ascii="Arial" w:hAnsi="Arial" w:cs="Arial"/>
              </w:rPr>
              <w:t xml:space="preserve"> involves the gradual transposition and implementation of the European Union’s climate and energy legislation.</w:t>
            </w:r>
            <w:r w:rsidR="001B7065" w:rsidRPr="000415B9">
              <w:rPr>
                <w:rFonts w:ascii="Arial" w:hAnsi="Arial" w:cs="Arial"/>
              </w:rPr>
              <w:t xml:space="preserve"> </w:t>
            </w:r>
          </w:p>
        </w:tc>
      </w:tr>
      <w:tr w:rsidR="004A5959" w:rsidRPr="000415B9" w:rsidTr="000415B9">
        <w:trPr>
          <w:jc w:val="center"/>
        </w:trPr>
        <w:tc>
          <w:tcPr>
            <w:tcW w:w="9401" w:type="dxa"/>
            <w:gridSpan w:val="2"/>
          </w:tcPr>
          <w:p w:rsidR="004A5959" w:rsidRPr="000415B9" w:rsidRDefault="004A5959" w:rsidP="004A5959">
            <w:pPr>
              <w:jc w:val="center"/>
              <w:rPr>
                <w:rFonts w:ascii="Arial" w:hAnsi="Arial" w:cs="Arial"/>
              </w:rPr>
            </w:pPr>
            <w:r w:rsidRPr="000415B9">
              <w:rPr>
                <w:rFonts w:ascii="Arial" w:hAnsi="Arial" w:cs="Arial"/>
                <w:b/>
              </w:rPr>
              <w:t>Key Assumptions</w:t>
            </w:r>
          </w:p>
        </w:tc>
      </w:tr>
      <w:tr w:rsidR="00A74591" w:rsidRPr="000415B9" w:rsidTr="000415B9">
        <w:trPr>
          <w:jc w:val="center"/>
        </w:trPr>
        <w:tc>
          <w:tcPr>
            <w:tcW w:w="2694" w:type="dxa"/>
          </w:tcPr>
          <w:p w:rsidR="00A74591" w:rsidRPr="000415B9" w:rsidRDefault="00A74591">
            <w:pPr>
              <w:rPr>
                <w:rFonts w:ascii="Arial" w:hAnsi="Arial" w:cs="Arial"/>
              </w:rPr>
            </w:pPr>
            <w:r w:rsidRPr="000415B9">
              <w:rPr>
                <w:rFonts w:ascii="Arial" w:hAnsi="Arial" w:cs="Arial"/>
              </w:rPr>
              <w:t>Metric Applied</w:t>
            </w:r>
          </w:p>
        </w:tc>
        <w:tc>
          <w:tcPr>
            <w:tcW w:w="6707" w:type="dxa"/>
          </w:tcPr>
          <w:p w:rsidR="00A74591" w:rsidRPr="000415B9" w:rsidRDefault="00A74591" w:rsidP="00C91472">
            <w:pPr>
              <w:rPr>
                <w:rFonts w:ascii="Arial" w:hAnsi="Arial" w:cs="Arial"/>
              </w:rPr>
            </w:pPr>
            <w:r w:rsidRPr="000415B9">
              <w:rPr>
                <w:rFonts w:ascii="Arial" w:hAnsi="Arial" w:cs="Arial"/>
              </w:rPr>
              <w:t xml:space="preserve">The metric used for the GHG emissions is the Global Warming Potential on a 100 year timescale in accordance with the IPCC’s </w:t>
            </w:r>
            <w:r w:rsidR="00C91472" w:rsidRPr="000415B9">
              <w:rPr>
                <w:rFonts w:ascii="Arial" w:hAnsi="Arial" w:cs="Arial"/>
              </w:rPr>
              <w:t>2nd</w:t>
            </w:r>
            <w:r w:rsidRPr="000415B9">
              <w:rPr>
                <w:rFonts w:ascii="Arial" w:hAnsi="Arial" w:cs="Arial"/>
              </w:rPr>
              <w:t xml:space="preserve"> Assessment Report</w:t>
            </w:r>
          </w:p>
        </w:tc>
      </w:tr>
      <w:tr w:rsidR="00A74591" w:rsidRPr="000415B9" w:rsidTr="000415B9">
        <w:trPr>
          <w:trHeight w:val="378"/>
          <w:jc w:val="center"/>
        </w:trPr>
        <w:tc>
          <w:tcPr>
            <w:tcW w:w="2694" w:type="dxa"/>
          </w:tcPr>
          <w:p w:rsidR="00A74591" w:rsidRPr="000415B9" w:rsidRDefault="00A74591" w:rsidP="00F06903">
            <w:pPr>
              <w:rPr>
                <w:rFonts w:ascii="Arial" w:hAnsi="Arial" w:cs="Arial"/>
              </w:rPr>
            </w:pPr>
            <w:r w:rsidRPr="000415B9">
              <w:rPr>
                <w:rFonts w:ascii="Arial" w:hAnsi="Arial" w:cs="Arial"/>
              </w:rPr>
              <w:t>Inventory methodology</w:t>
            </w:r>
          </w:p>
        </w:tc>
        <w:tc>
          <w:tcPr>
            <w:tcW w:w="6707" w:type="dxa"/>
          </w:tcPr>
          <w:p w:rsidR="00A74591" w:rsidRPr="000415B9" w:rsidRDefault="00153A5E" w:rsidP="00F06903">
            <w:pPr>
              <w:rPr>
                <w:rFonts w:ascii="Arial" w:hAnsi="Arial" w:cs="Arial"/>
              </w:rPr>
            </w:pPr>
            <w:r w:rsidRPr="000415B9">
              <w:rPr>
                <w:rFonts w:ascii="Arial" w:hAnsi="Arial" w:cs="Arial"/>
              </w:rPr>
              <w:t>IPCC 2006 Guidelines are used for the inventory. Improved inventory data was used to the INDC and also for the Biennial Update Report of Montenegro compared to the 2</w:t>
            </w:r>
            <w:r w:rsidRPr="000415B9">
              <w:rPr>
                <w:rFonts w:ascii="Arial" w:hAnsi="Arial" w:cs="Arial"/>
                <w:vertAlign w:val="superscript"/>
              </w:rPr>
              <w:t>nd</w:t>
            </w:r>
            <w:r w:rsidRPr="000415B9">
              <w:rPr>
                <w:rFonts w:ascii="Arial" w:hAnsi="Arial" w:cs="Arial"/>
              </w:rPr>
              <w:t xml:space="preserve"> National Communication.</w:t>
            </w:r>
          </w:p>
        </w:tc>
      </w:tr>
      <w:tr w:rsidR="001A6A4C" w:rsidRPr="000415B9" w:rsidTr="000415B9">
        <w:trPr>
          <w:jc w:val="center"/>
        </w:trPr>
        <w:tc>
          <w:tcPr>
            <w:tcW w:w="2694" w:type="dxa"/>
          </w:tcPr>
          <w:p w:rsidR="001A6A4C" w:rsidRPr="000415B9" w:rsidRDefault="001A6A4C" w:rsidP="00415BD6">
            <w:pPr>
              <w:rPr>
                <w:rFonts w:ascii="Arial" w:hAnsi="Arial" w:cs="Arial"/>
              </w:rPr>
            </w:pPr>
            <w:r w:rsidRPr="000415B9">
              <w:rPr>
                <w:rFonts w:ascii="Arial" w:hAnsi="Arial" w:cs="Arial"/>
              </w:rPr>
              <w:t>Approach to accounting for agriculture, forestry and other land uses</w:t>
            </w:r>
          </w:p>
        </w:tc>
        <w:tc>
          <w:tcPr>
            <w:tcW w:w="6707" w:type="dxa"/>
          </w:tcPr>
          <w:p w:rsidR="001A6A4C" w:rsidRPr="000415B9" w:rsidRDefault="001A6A4C" w:rsidP="00203D70">
            <w:pPr>
              <w:rPr>
                <w:rFonts w:ascii="Arial" w:hAnsi="Arial" w:cs="Arial"/>
              </w:rPr>
            </w:pPr>
            <w:r w:rsidRPr="000415B9">
              <w:rPr>
                <w:rFonts w:ascii="Arial" w:hAnsi="Arial" w:cs="Arial"/>
              </w:rPr>
              <w:t xml:space="preserve">Greenhouse gas emissions and removals from agriculture, forestry and other land uses are </w:t>
            </w:r>
            <w:r w:rsidR="00A74591" w:rsidRPr="000415B9">
              <w:rPr>
                <w:rFonts w:ascii="Arial" w:hAnsi="Arial" w:cs="Arial"/>
              </w:rPr>
              <w:t xml:space="preserve">currently </w:t>
            </w:r>
            <w:r w:rsidRPr="000415B9">
              <w:rPr>
                <w:rFonts w:ascii="Arial" w:hAnsi="Arial" w:cs="Arial"/>
              </w:rPr>
              <w:t>not included in the accounting.</w:t>
            </w:r>
            <w:r w:rsidR="00A74591" w:rsidRPr="000415B9">
              <w:rPr>
                <w:rFonts w:ascii="Arial" w:hAnsi="Arial" w:cs="Arial"/>
              </w:rPr>
              <w:t xml:space="preserve">  Emissions and removals from these sectors can be included in the INDC at a later stage when technical conditions allow for that.</w:t>
            </w:r>
          </w:p>
        </w:tc>
      </w:tr>
    </w:tbl>
    <w:p w:rsidR="007B2922" w:rsidRPr="000415B9" w:rsidRDefault="007B2922">
      <w:pPr>
        <w:rPr>
          <w:rFonts w:ascii="Arial" w:hAnsi="Arial" w:cs="Arial"/>
        </w:rPr>
      </w:pPr>
    </w:p>
    <w:p w:rsidR="009278B2" w:rsidRPr="000415B9" w:rsidRDefault="009278B2" w:rsidP="00153A5E">
      <w:pPr>
        <w:jc w:val="both"/>
        <w:rPr>
          <w:rFonts w:ascii="Arial" w:hAnsi="Arial" w:cs="Arial"/>
        </w:rPr>
      </w:pPr>
      <w:r w:rsidRPr="000415B9">
        <w:rPr>
          <w:rFonts w:ascii="Arial" w:hAnsi="Arial" w:cs="Arial"/>
        </w:rPr>
        <w:t xml:space="preserve">Having relatively high uncertainty regarding emissions in the LULUCF sector Montenegro reserves its right to review </w:t>
      </w:r>
      <w:proofErr w:type="gramStart"/>
      <w:r w:rsidRPr="000415B9">
        <w:rPr>
          <w:rFonts w:ascii="Arial" w:hAnsi="Arial" w:cs="Arial"/>
        </w:rPr>
        <w:t>its  INDC</w:t>
      </w:r>
      <w:proofErr w:type="gramEnd"/>
      <w:r w:rsidRPr="000415B9">
        <w:rPr>
          <w:rFonts w:ascii="Arial" w:hAnsi="Arial" w:cs="Arial"/>
        </w:rPr>
        <w:t xml:space="preserve"> until 2020 upon the availably of more accurate data and improved technical conditions regarding land use, land use change and forestry  and include it in its nationally determined contribution.</w:t>
      </w:r>
    </w:p>
    <w:p w:rsidR="009278B2" w:rsidRPr="000415B9" w:rsidRDefault="009278B2" w:rsidP="00153A5E">
      <w:pPr>
        <w:jc w:val="both"/>
        <w:rPr>
          <w:rFonts w:ascii="Arial" w:hAnsi="Arial" w:cs="Arial"/>
        </w:rPr>
      </w:pPr>
      <w:r w:rsidRPr="000415B9">
        <w:rPr>
          <w:rFonts w:ascii="Arial" w:hAnsi="Arial" w:cs="Arial"/>
        </w:rPr>
        <w:t xml:space="preserve">If the agreement or related COP decisions are amended before their entry into force in such a way that they include rules or provisions that </w:t>
      </w:r>
      <w:r w:rsidR="00153A5E" w:rsidRPr="000415B9">
        <w:rPr>
          <w:rFonts w:ascii="Arial" w:hAnsi="Arial" w:cs="Arial"/>
        </w:rPr>
        <w:t>significantly affect</w:t>
      </w:r>
      <w:r w:rsidRPr="000415B9">
        <w:rPr>
          <w:rFonts w:ascii="Arial" w:hAnsi="Arial" w:cs="Arial"/>
        </w:rPr>
        <w:t xml:space="preserve"> the assumptions under which this INDC has been developed, Montenegro reserves the right to revisit the INDC.</w:t>
      </w:r>
    </w:p>
    <w:p w:rsidR="009278B2" w:rsidRPr="000415B9" w:rsidRDefault="009278B2" w:rsidP="009278B2">
      <w:pPr>
        <w:autoSpaceDE w:val="0"/>
        <w:autoSpaceDN w:val="0"/>
        <w:adjustRightInd w:val="0"/>
        <w:spacing w:after="0" w:line="240" w:lineRule="auto"/>
        <w:rPr>
          <w:rFonts w:ascii="Arial" w:hAnsi="Arial" w:cs="Arial"/>
        </w:rPr>
      </w:pPr>
      <w:r w:rsidRPr="000415B9">
        <w:rPr>
          <w:rFonts w:ascii="Arial" w:hAnsi="Arial" w:cs="Arial"/>
          <w:color w:val="000000"/>
        </w:rPr>
        <w:lastRenderedPageBreak/>
        <w:t xml:space="preserve">Montenegro requests the UNFCCC Secretariat that this submission is published on the UNFCCC webpage and that our INDC is included in the synthesis report to be prepared by the Secretariat. </w:t>
      </w:r>
    </w:p>
    <w:sectPr w:rsidR="009278B2" w:rsidRPr="000415B9">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1FF" w:rsidRDefault="00FF71FF" w:rsidP="009278B2">
      <w:pPr>
        <w:spacing w:after="0" w:line="240" w:lineRule="auto"/>
      </w:pPr>
      <w:r>
        <w:separator/>
      </w:r>
    </w:p>
  </w:endnote>
  <w:endnote w:type="continuationSeparator" w:id="0">
    <w:p w:rsidR="00FF71FF" w:rsidRDefault="00FF71FF" w:rsidP="0092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650768"/>
      <w:docPartObj>
        <w:docPartGallery w:val="Page Numbers (Bottom of Page)"/>
        <w:docPartUnique/>
      </w:docPartObj>
    </w:sdtPr>
    <w:sdtEndPr>
      <w:rPr>
        <w:noProof/>
      </w:rPr>
    </w:sdtEndPr>
    <w:sdtContent>
      <w:p w:rsidR="009278B2" w:rsidRDefault="009278B2">
        <w:pPr>
          <w:pStyle w:val="Footer"/>
          <w:jc w:val="right"/>
        </w:pPr>
        <w:r>
          <w:fldChar w:fldCharType="begin"/>
        </w:r>
        <w:r>
          <w:instrText xml:space="preserve"> PAGE   \* MERGEFORMAT </w:instrText>
        </w:r>
        <w:r>
          <w:fldChar w:fldCharType="separate"/>
        </w:r>
        <w:r w:rsidR="003D6177">
          <w:rPr>
            <w:noProof/>
          </w:rPr>
          <w:t>4</w:t>
        </w:r>
        <w:r>
          <w:rPr>
            <w:noProof/>
          </w:rPr>
          <w:fldChar w:fldCharType="end"/>
        </w:r>
      </w:p>
    </w:sdtContent>
  </w:sdt>
  <w:p w:rsidR="009278B2" w:rsidRDefault="009278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1FF" w:rsidRDefault="00FF71FF" w:rsidP="009278B2">
      <w:pPr>
        <w:spacing w:after="0" w:line="240" w:lineRule="auto"/>
      </w:pPr>
      <w:r>
        <w:separator/>
      </w:r>
    </w:p>
  </w:footnote>
  <w:footnote w:type="continuationSeparator" w:id="0">
    <w:p w:rsidR="00FF71FF" w:rsidRDefault="00FF71FF" w:rsidP="009278B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47AC2"/>
    <w:multiLevelType w:val="hybridMultilevel"/>
    <w:tmpl w:val="55BC9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zsef Feiler">
    <w15:presenceInfo w15:providerId="Windows Live" w15:userId="3cb17904c3caa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F9"/>
    <w:rsid w:val="0000427C"/>
    <w:rsid w:val="000415B9"/>
    <w:rsid w:val="00114386"/>
    <w:rsid w:val="00153A5E"/>
    <w:rsid w:val="001963A3"/>
    <w:rsid w:val="001A29BE"/>
    <w:rsid w:val="001A6A4C"/>
    <w:rsid w:val="001B7065"/>
    <w:rsid w:val="00245E41"/>
    <w:rsid w:val="003B07FC"/>
    <w:rsid w:val="003C0B30"/>
    <w:rsid w:val="003D365E"/>
    <w:rsid w:val="003D6177"/>
    <w:rsid w:val="00415BD6"/>
    <w:rsid w:val="0045509B"/>
    <w:rsid w:val="004A5959"/>
    <w:rsid w:val="004C4AF7"/>
    <w:rsid w:val="00521B25"/>
    <w:rsid w:val="0058554C"/>
    <w:rsid w:val="00595C4A"/>
    <w:rsid w:val="005B0269"/>
    <w:rsid w:val="00653BAB"/>
    <w:rsid w:val="00774B5E"/>
    <w:rsid w:val="007B2922"/>
    <w:rsid w:val="007B435E"/>
    <w:rsid w:val="007E6A59"/>
    <w:rsid w:val="00832435"/>
    <w:rsid w:val="008D57F9"/>
    <w:rsid w:val="009166D9"/>
    <w:rsid w:val="00926D1D"/>
    <w:rsid w:val="009278B2"/>
    <w:rsid w:val="00950FD3"/>
    <w:rsid w:val="009A45CC"/>
    <w:rsid w:val="00A464FF"/>
    <w:rsid w:val="00A74591"/>
    <w:rsid w:val="00A83FB2"/>
    <w:rsid w:val="00A8514E"/>
    <w:rsid w:val="00AC4E63"/>
    <w:rsid w:val="00B270A9"/>
    <w:rsid w:val="00B86A86"/>
    <w:rsid w:val="00B94D48"/>
    <w:rsid w:val="00BB52D0"/>
    <w:rsid w:val="00BD32D1"/>
    <w:rsid w:val="00C170E2"/>
    <w:rsid w:val="00C345E0"/>
    <w:rsid w:val="00C85512"/>
    <w:rsid w:val="00C9038B"/>
    <w:rsid w:val="00C91472"/>
    <w:rsid w:val="00CD36E9"/>
    <w:rsid w:val="00CE6D51"/>
    <w:rsid w:val="00D56371"/>
    <w:rsid w:val="00D56770"/>
    <w:rsid w:val="00D7283E"/>
    <w:rsid w:val="00DA6974"/>
    <w:rsid w:val="00E1264D"/>
    <w:rsid w:val="00EB22DE"/>
    <w:rsid w:val="00EE564A"/>
    <w:rsid w:val="00F12E19"/>
    <w:rsid w:val="00F95809"/>
    <w:rsid w:val="00FC5721"/>
    <w:rsid w:val="00FC5B4A"/>
    <w:rsid w:val="00FD1942"/>
    <w:rsid w:val="00FF7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2922"/>
    <w:pPr>
      <w:ind w:left="720"/>
      <w:contextualSpacing/>
    </w:pPr>
  </w:style>
  <w:style w:type="paragraph" w:styleId="Header">
    <w:name w:val="header"/>
    <w:basedOn w:val="Normal"/>
    <w:link w:val="HeaderChar"/>
    <w:uiPriority w:val="99"/>
    <w:unhideWhenUsed/>
    <w:rsid w:val="0092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8B2"/>
  </w:style>
  <w:style w:type="paragraph" w:styleId="Footer">
    <w:name w:val="footer"/>
    <w:basedOn w:val="Normal"/>
    <w:link w:val="FooterChar"/>
    <w:uiPriority w:val="99"/>
    <w:unhideWhenUsed/>
    <w:rsid w:val="0092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8B2"/>
  </w:style>
  <w:style w:type="character" w:styleId="CommentReference">
    <w:name w:val="annotation reference"/>
    <w:basedOn w:val="DefaultParagraphFont"/>
    <w:uiPriority w:val="99"/>
    <w:semiHidden/>
    <w:unhideWhenUsed/>
    <w:rsid w:val="00B86A86"/>
    <w:rPr>
      <w:sz w:val="16"/>
      <w:szCs w:val="16"/>
    </w:rPr>
  </w:style>
  <w:style w:type="paragraph" w:styleId="CommentText">
    <w:name w:val="annotation text"/>
    <w:basedOn w:val="Normal"/>
    <w:link w:val="CommentTextChar"/>
    <w:uiPriority w:val="99"/>
    <w:semiHidden/>
    <w:unhideWhenUsed/>
    <w:rsid w:val="00B86A86"/>
    <w:pPr>
      <w:spacing w:line="240" w:lineRule="auto"/>
    </w:pPr>
    <w:rPr>
      <w:sz w:val="20"/>
      <w:szCs w:val="20"/>
    </w:rPr>
  </w:style>
  <w:style w:type="character" w:customStyle="1" w:styleId="CommentTextChar">
    <w:name w:val="Comment Text Char"/>
    <w:basedOn w:val="DefaultParagraphFont"/>
    <w:link w:val="CommentText"/>
    <w:uiPriority w:val="99"/>
    <w:semiHidden/>
    <w:rsid w:val="00B86A86"/>
    <w:rPr>
      <w:sz w:val="20"/>
      <w:szCs w:val="20"/>
    </w:rPr>
  </w:style>
  <w:style w:type="paragraph" w:styleId="CommentSubject">
    <w:name w:val="annotation subject"/>
    <w:basedOn w:val="CommentText"/>
    <w:next w:val="CommentText"/>
    <w:link w:val="CommentSubjectChar"/>
    <w:uiPriority w:val="99"/>
    <w:semiHidden/>
    <w:unhideWhenUsed/>
    <w:rsid w:val="00B86A86"/>
    <w:rPr>
      <w:b/>
      <w:bCs/>
    </w:rPr>
  </w:style>
  <w:style w:type="character" w:customStyle="1" w:styleId="CommentSubjectChar">
    <w:name w:val="Comment Subject Char"/>
    <w:basedOn w:val="CommentTextChar"/>
    <w:link w:val="CommentSubject"/>
    <w:uiPriority w:val="99"/>
    <w:semiHidden/>
    <w:rsid w:val="00B86A86"/>
    <w:rPr>
      <w:b/>
      <w:bCs/>
      <w:sz w:val="20"/>
      <w:szCs w:val="20"/>
    </w:rPr>
  </w:style>
  <w:style w:type="paragraph" w:styleId="BalloonText">
    <w:name w:val="Balloon Text"/>
    <w:basedOn w:val="Normal"/>
    <w:link w:val="BalloonTextChar"/>
    <w:uiPriority w:val="99"/>
    <w:semiHidden/>
    <w:unhideWhenUsed/>
    <w:rsid w:val="00B8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86"/>
    <w:rPr>
      <w:rFonts w:ascii="Segoe UI" w:hAnsi="Segoe UI" w:cs="Segoe UI"/>
      <w:sz w:val="18"/>
      <w:szCs w:val="18"/>
    </w:rPr>
  </w:style>
  <w:style w:type="character" w:customStyle="1" w:styleId="tekst1">
    <w:name w:val="tekst1"/>
    <w:basedOn w:val="DefaultParagraphFont"/>
    <w:rsid w:val="003D365E"/>
    <w:rPr>
      <w:rFonts w:ascii="Verdana" w:hAnsi="Verdana" w:hint="default"/>
      <w:color w:val="555448"/>
      <w:sz w:val="17"/>
      <w:szCs w:val="17"/>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4E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2922"/>
    <w:pPr>
      <w:ind w:left="720"/>
      <w:contextualSpacing/>
    </w:pPr>
  </w:style>
  <w:style w:type="paragraph" w:styleId="Header">
    <w:name w:val="header"/>
    <w:basedOn w:val="Normal"/>
    <w:link w:val="HeaderChar"/>
    <w:uiPriority w:val="99"/>
    <w:unhideWhenUsed/>
    <w:rsid w:val="0092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8B2"/>
  </w:style>
  <w:style w:type="paragraph" w:styleId="Footer">
    <w:name w:val="footer"/>
    <w:basedOn w:val="Normal"/>
    <w:link w:val="FooterChar"/>
    <w:uiPriority w:val="99"/>
    <w:unhideWhenUsed/>
    <w:rsid w:val="0092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8B2"/>
  </w:style>
  <w:style w:type="character" w:styleId="CommentReference">
    <w:name w:val="annotation reference"/>
    <w:basedOn w:val="DefaultParagraphFont"/>
    <w:uiPriority w:val="99"/>
    <w:semiHidden/>
    <w:unhideWhenUsed/>
    <w:rsid w:val="00B86A86"/>
    <w:rPr>
      <w:sz w:val="16"/>
      <w:szCs w:val="16"/>
    </w:rPr>
  </w:style>
  <w:style w:type="paragraph" w:styleId="CommentText">
    <w:name w:val="annotation text"/>
    <w:basedOn w:val="Normal"/>
    <w:link w:val="CommentTextChar"/>
    <w:uiPriority w:val="99"/>
    <w:semiHidden/>
    <w:unhideWhenUsed/>
    <w:rsid w:val="00B86A86"/>
    <w:pPr>
      <w:spacing w:line="240" w:lineRule="auto"/>
    </w:pPr>
    <w:rPr>
      <w:sz w:val="20"/>
      <w:szCs w:val="20"/>
    </w:rPr>
  </w:style>
  <w:style w:type="character" w:customStyle="1" w:styleId="CommentTextChar">
    <w:name w:val="Comment Text Char"/>
    <w:basedOn w:val="DefaultParagraphFont"/>
    <w:link w:val="CommentText"/>
    <w:uiPriority w:val="99"/>
    <w:semiHidden/>
    <w:rsid w:val="00B86A86"/>
    <w:rPr>
      <w:sz w:val="20"/>
      <w:szCs w:val="20"/>
    </w:rPr>
  </w:style>
  <w:style w:type="paragraph" w:styleId="CommentSubject">
    <w:name w:val="annotation subject"/>
    <w:basedOn w:val="CommentText"/>
    <w:next w:val="CommentText"/>
    <w:link w:val="CommentSubjectChar"/>
    <w:uiPriority w:val="99"/>
    <w:semiHidden/>
    <w:unhideWhenUsed/>
    <w:rsid w:val="00B86A86"/>
    <w:rPr>
      <w:b/>
      <w:bCs/>
    </w:rPr>
  </w:style>
  <w:style w:type="character" w:customStyle="1" w:styleId="CommentSubjectChar">
    <w:name w:val="Comment Subject Char"/>
    <w:basedOn w:val="CommentTextChar"/>
    <w:link w:val="CommentSubject"/>
    <w:uiPriority w:val="99"/>
    <w:semiHidden/>
    <w:rsid w:val="00B86A86"/>
    <w:rPr>
      <w:b/>
      <w:bCs/>
      <w:sz w:val="20"/>
      <w:szCs w:val="20"/>
    </w:rPr>
  </w:style>
  <w:style w:type="paragraph" w:styleId="BalloonText">
    <w:name w:val="Balloon Text"/>
    <w:basedOn w:val="Normal"/>
    <w:link w:val="BalloonTextChar"/>
    <w:uiPriority w:val="99"/>
    <w:semiHidden/>
    <w:unhideWhenUsed/>
    <w:rsid w:val="00B8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A86"/>
    <w:rPr>
      <w:rFonts w:ascii="Segoe UI" w:hAnsi="Segoe UI" w:cs="Segoe UI"/>
      <w:sz w:val="18"/>
      <w:szCs w:val="18"/>
    </w:rPr>
  </w:style>
  <w:style w:type="character" w:customStyle="1" w:styleId="tekst1">
    <w:name w:val="tekst1"/>
    <w:basedOn w:val="DefaultParagraphFont"/>
    <w:rsid w:val="003D365E"/>
    <w:rPr>
      <w:rFonts w:ascii="Verdana" w:hAnsi="Verdana" w:hint="default"/>
      <w:color w:val="555448"/>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730409">
      <w:bodyDiv w:val="1"/>
      <w:marLeft w:val="0"/>
      <w:marRight w:val="0"/>
      <w:marTop w:val="0"/>
      <w:marBottom w:val="0"/>
      <w:divBdr>
        <w:top w:val="none" w:sz="0" w:space="0" w:color="auto"/>
        <w:left w:val="none" w:sz="0" w:space="0" w:color="auto"/>
        <w:bottom w:val="none" w:sz="0" w:space="0" w:color="auto"/>
        <w:right w:val="none" w:sz="0" w:space="0" w:color="auto"/>
      </w:divBdr>
    </w:div>
    <w:div w:id="90618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12" Type="http://schemas.microsoft.com/office/2011/relationships/people" Target="people.xml"/><Relationship Id="rId7" Type="http://schemas.openxmlformats.org/officeDocument/2006/relationships/endnotes" Target="endnotes.xml"/><Relationship Id="rId2" Type="http://schemas.openxmlformats.org/officeDocument/2006/relationships/styles" Target="styles.xml"/><Relationship Id="rId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ubmission xmlns="4a67b500-675c-4a0e-be83-649364ee36bb">328</Submission>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0F88338101094194638516AF2E04EC" ma:contentTypeVersion="1" ma:contentTypeDescription="Create a new document." ma:contentTypeScope="" ma:versionID="7dd202dc080da66d2c4b4e58eb9f971c">
  <xsd:schema xmlns:xsd="http://www.w3.org/2001/XMLSchema" xmlns:xs="http://www.w3.org/2001/XMLSchema" xmlns:p="http://schemas.microsoft.com/office/2006/metadata/properties" xmlns:ns2="4a67b500-675c-4a0e-be83-649364ee36bb" targetNamespace="http://schemas.microsoft.com/office/2006/metadata/properties" ma:root="true" ma:fieldsID="31a7f4ea7dd673bf8f16b2ef2c2d4be3" ns2:_="">
    <xsd:import namespace="4a67b500-675c-4a0e-be83-649364ee36bb"/>
    <xsd:element name="properties">
      <xsd:complexType>
        <xsd:sequence>
          <xsd:element name="documentManagement">
            <xsd:complexType>
              <xsd:all>
                <xsd:element ref="ns2:Submis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67b500-675c-4a0e-be83-649364ee36bb" elementFormDefault="qualified">
    <xsd:import namespace="http://schemas.microsoft.com/office/2006/documentManagement/types"/>
    <xsd:import namespace="http://schemas.microsoft.com/office/infopath/2007/PartnerControls"/>
    <xsd:element name="Submission" ma:index="8" nillable="true" ma:displayName="Submission" ma:list="{994b8fb1-7fca-4b72-b2c1-919cb6e7a01e}" ma:internalName="Submission" ma:showField="Title" ma:web="a7976897-2996-4018-9d51-a46c68a2aa5c">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AC2F5C-8A09-4AAB-857F-EDDA10DDAF91}"/>
</file>

<file path=customXml/itemProps2.xml><?xml version="1.0" encoding="utf-8"?>
<ds:datastoreItem xmlns:ds="http://schemas.openxmlformats.org/officeDocument/2006/customXml" ds:itemID="{4A751270-5689-4609-8D5D-26AFC02CFD48}"/>
</file>

<file path=customXml/itemProps3.xml><?xml version="1.0" encoding="utf-8"?>
<ds:datastoreItem xmlns:ds="http://schemas.openxmlformats.org/officeDocument/2006/customXml" ds:itemID="{29AF7D26-E3C1-4C88-B86B-A606624D922D}"/>
</file>

<file path=docProps/app.xml><?xml version="1.0" encoding="utf-8"?>
<Properties xmlns="http://schemas.openxmlformats.org/officeDocument/2006/extended-properties" xmlns:vt="http://schemas.openxmlformats.org/officeDocument/2006/docPropsVTypes">
  <Template>Normal.dotm</Template>
  <TotalTime>1</TotalTime>
  <Pages>4</Pages>
  <Words>1025</Words>
  <Characters>5848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INDCSubmission_ Montenegro.docx</dc:title>
  <dc:creator>Jozsef Feiler</dc:creator>
  <cp:lastModifiedBy>Drecun</cp:lastModifiedBy>
  <cp:revision>2</cp:revision>
  <cp:lastPrinted>2015-09-18T12:40:00Z</cp:lastPrinted>
  <dcterms:created xsi:type="dcterms:W3CDTF">2015-09-23T09:31:00Z</dcterms:created>
  <dcterms:modified xsi:type="dcterms:W3CDTF">2015-09-23T09:31:00Z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0x010100680F88338101094194638516AF2E04EC</vt:lpwstr>
  </property>
  <property fmtid="{D5CDD505-2E9C-101B-9397-08002B2CF9AE}" pid="3" name="TemplateUrl">
    <vt:lpwstr/>
  </property>
  <property fmtid="{D5CDD505-2E9C-101B-9397-08002B2CF9AE}" pid="4" name="Order">
    <vt:r8>67900</vt:r8>
  </property>
  <property fmtid="{D5CDD505-2E9C-101B-9397-08002B2CF9AE}" pid="5" name="xd_ProgID">
    <vt:lpwstr/>
  </property>
  <property fmtid="{D5CDD505-2E9C-101B-9397-08002B2CF9AE}" pid="6" name="_CopySource">
    <vt:lpwstr>https://process.unfccc.int/sites/submissions/INDC/Drop Off Library/328/INDCSubmission_ Montenegro.docx</vt:lpwstr>
  </property>
  <property fmtid="{D5CDD505-2E9C-101B-9397-08002B2CF9AE}" pid="7" name="_SourceUrl">
    <vt:lpwstr/>
  </property>
  <property fmtid="{D5CDD505-2E9C-101B-9397-08002B2CF9AE}" pid="8" name="_SharedFileIndex">
    <vt:lpwstr/>
  </property>
  <property fmtid="{D5CDD505-2E9C-101B-9397-08002B2CF9AE}" pid="9" name="xd_Signature">
    <vt:bool>false</vt:bool>
  </property>
</Properties>
</file>