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40"/>
          <w:szCs w:val="40"/>
        </w:rPr>
        <w:t xml:space="preserve">BLUUU TOURS BALI</w:t>
      </w:r>
    </w:p>
    <w:p>
      <w:pPr>
        <w:spacing w:after="120"/>
        <w:jc w:val="center"/>
      </w:pPr>
      <w:r>
        <w:rPr>
          <w:rFonts w:ascii="Arial" w:cs="Arial" w:eastAsia="Arial" w:hAnsi="Arial"/>
          <w:color w:val="2C3E50"/>
          <w:sz w:val="24"/>
          <w:szCs w:val="24"/>
        </w:rPr>
        <w:t xml:space="preserve">PT Day Trip Bali Group</w:t>
      </w:r>
    </w:p>
    <w:p>
      <w:pPr>
        <w:pBdr>
          <w:bottom w:val="single" w:color="1B4F72" w:sz="6" w:space="1"/>
        </w:pBdr>
        <w:spacing w:after="600"/>
        <w:jc w:val="center"/>
      </w:pPr>
    </w:p>
    <w:p>
      <w:pPr>
        <w:spacing w:after="80"/>
        <w:jc w:val="center"/>
      </w:pPr>
      <w:r>
        <w:rPr>
          <w:rFonts w:ascii="Arial" w:cs="Arial" w:eastAsia="Arial" w:hAnsi="Arial"/>
          <w:b/>
          <w:bCs/>
          <w:color w:val="2C3E50"/>
          <w:sz w:val="36"/>
          <w:szCs w:val="36"/>
        </w:rPr>
        <w:t xml:space="preserve">STRATEGIC ACTION PLAN</w:t>
      </w:r>
    </w:p>
    <w:p>
      <w:pPr>
        <w:spacing w:after="200"/>
        <w:jc w:val="center"/>
      </w:pPr>
      <w:r>
        <w:rPr>
          <w:rFonts w:ascii="Arial" w:cs="Arial" w:eastAsia="Arial" w:hAnsi="Arial"/>
          <w:color w:val="E67E22"/>
          <w:sz w:val="28"/>
          <w:szCs w:val="28"/>
        </w:rPr>
        <w:t xml:space="preserve">Low Season Cash Gap Elimination</w:t>
      </w:r>
    </w:p>
    <w:p>
      <w:pPr>
        <w:spacing w:after="40"/>
        <w:jc w:val="center"/>
      </w:pPr>
      <w:r>
        <w:rPr>
          <w:rFonts w:ascii="Arial" w:cs="Arial" w:eastAsia="Arial" w:hAnsi="Arial"/>
          <w:color w:val="E67E22"/>
          <w:sz w:val="28"/>
          <w:szCs w:val="28"/>
        </w:rPr>
        <w:t xml:space="preserve">Reserve Fund Formation</w:t>
      </w:r>
    </w:p>
    <w:p>
      <w:pPr>
        <w:spacing w:after="40"/>
        <w:jc w:val="center"/>
      </w:pPr>
      <w:r>
        <w:rPr>
          <w:rFonts w:ascii="Arial" w:cs="Arial" w:eastAsia="Arial" w:hAnsi="Arial"/>
          <w:color w:val="E67E22"/>
          <w:sz w:val="28"/>
          <w:szCs w:val="28"/>
        </w:rPr>
        <w:t xml:space="preserve">Revenue Diversification Strategy</w:t>
      </w:r>
    </w:p>
    <w:p>
      <w:pPr>
        <w:spacing w:before="800"/>
      </w:pPr>
    </w:p>
    <w:p>
      <w:pPr>
        <w:jc w:val="center"/>
      </w:pPr>
      <w:r>
        <w:rPr>
          <w:rFonts w:ascii="Arial" w:cs="Arial" w:eastAsia="Arial" w:hAnsi="Arial"/>
          <w:color w:val="666666"/>
          <w:sz w:val="22"/>
          <w:szCs w:val="22"/>
        </w:rPr>
        <w:t xml:space="preserve">February 2026</w:t>
      </w:r>
    </w:p>
    <w:p>
      <w:pPr>
        <w:spacing w:after="80"/>
        <w:jc w:val="center"/>
      </w:pPr>
      <w:r>
        <w:rPr>
          <w:rFonts w:ascii="Arial" w:cs="Arial" w:eastAsia="Arial" w:hAnsi="Arial"/>
          <w:color w:val="666666"/>
          <w:sz w:val="20"/>
          <w:szCs w:val="20"/>
        </w:rPr>
        <w:t xml:space="preserve">Prepared for Alex Lavushenko, Founder &amp; Investor</w:t>
      </w:r>
    </w:p>
    <w:p>
      <w:r>
        <w:br w:type="page"/>
      </w:r>
    </w:p>
    <w:p>
      <w:pPr>
        <w:pStyle w:val="Heading1"/>
        <w:spacing w:before="360" w:after="200"/>
      </w:pPr>
      <w:r>
        <w:rPr>
          <w:rFonts w:ascii="Arial" w:cs="Arial" w:eastAsia="Arial" w:hAnsi="Arial"/>
          <w:b/>
          <w:bCs/>
          <w:color w:val="1B4F72"/>
          <w:sz w:val="28"/>
          <w:szCs w:val="28"/>
        </w:rPr>
        <w:t xml:space="preserve">1. Executive Summary</w:t>
      </w:r>
    </w:p>
    <w:p>
      <w:pPr>
        <w:spacing w:before="80" w:after="80"/>
      </w:pPr>
      <w:r>
        <w:rPr>
          <w:rFonts w:ascii="Arial" w:cs="Arial" w:eastAsia="Arial" w:hAnsi="Arial"/>
          <w:b w:val="false"/>
          <w:bCs w:val="false"/>
          <w:color w:val="333333"/>
          <w:sz w:val="21"/>
          <w:szCs w:val="21"/>
        </w:rPr>
        <w:t xml:space="preserve">Bluuu Tours Bali (PT Day Trip Bali Group) closed 2025 with a net profit of IDR 10.24 billion, down 14% from IDR 11.88 billion in 2024. While the business demonstrated strong fundamentals with gross profit margin improving from 41.7% to 50.6%, the company faces a critical structural vulnerability: recurring cash gaps of IDR 300-700 million during the low season (October-April), with no reserve fund to absorb shocks.</w:t>
      </w:r>
    </w:p>
    <w:p>
      <w:pPr>
        <w:spacing w:before="120" w:after="80"/>
      </w:pPr>
      <w:r>
        <w:rPr>
          <w:rFonts w:ascii="Arial" w:cs="Arial" w:eastAsia="Arial" w:hAnsi="Arial"/>
          <w:b w:val="false"/>
          <w:bCs w:val="false"/>
          <w:color w:val="333333"/>
          <w:sz w:val="21"/>
          <w:szCs w:val="21"/>
        </w:rPr>
        <w:t xml:space="preserve">January 2026 started with a net profit of IDR 266 million (up 44% vs January 2025), but the analytical memo warns of an expected loss in February. With the ambitious 2026 target of IDR 15.3 billion net profit and the Eldorado yacht program launching in late March, eliminating this seasonal cash vulnerability is the single most important strategic priority.</w:t>
      </w:r>
    </w:p>
    <w:p>
      <w:pPr>
        <w:spacing w:before="120" w:after="80"/>
      </w:pPr>
      <w:r>
        <w:rPr>
          <w:rFonts w:ascii="Arial" w:cs="Arial" w:eastAsia="Arial" w:hAnsi="Arial"/>
          <w:b w:val="false"/>
          <w:bCs w:val="false"/>
          <w:color w:val="333333"/>
          <w:sz w:val="21"/>
          <w:szCs w:val="21"/>
        </w:rPr>
        <w:t xml:space="preserve">This document presents a three-pillar action plan: (1) immediate reserve fund formation from high-season profits, (2) low-season revenue diversification to reduce cash drain, and (3) operational cost optimization to lower the breakeven threshold during weak months.</w:t>
      </w:r>
    </w:p>
    <w:p>
      <w:r>
        <w:br w:type="page"/>
      </w:r>
    </w:p>
    <w:p>
      <w:pPr>
        <w:pStyle w:val="Heading1"/>
        <w:spacing w:before="360" w:after="200"/>
      </w:pPr>
      <w:r>
        <w:rPr>
          <w:rFonts w:ascii="Arial" w:cs="Arial" w:eastAsia="Arial" w:hAnsi="Arial"/>
          <w:b/>
          <w:bCs/>
          <w:color w:val="1B4F72"/>
          <w:sz w:val="28"/>
          <w:szCs w:val="28"/>
        </w:rPr>
        <w:t xml:space="preserve">2. Problem Diagnosis: The Cash Gap Cycle</w:t>
      </w:r>
    </w:p>
    <w:p>
      <w:pPr>
        <w:pStyle w:val="Heading2"/>
        <w:spacing w:before="240" w:after="120"/>
      </w:pPr>
      <w:r>
        <w:rPr>
          <w:rFonts w:ascii="Arial" w:cs="Arial" w:eastAsia="Arial" w:hAnsi="Arial"/>
          <w:b/>
          <w:bCs/>
          <w:color w:val="2C3E50"/>
          <w:sz w:val="24"/>
          <w:szCs w:val="24"/>
        </w:rPr>
        <w:t xml:space="preserve">2.1 Monthly Net Profit Seasonality (2025)</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640"/>
        <w:gridCol w:w="2640"/>
        <w:gridCol w:w="264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2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(IDR B)</w:t>
            </w:r>
          </w:p>
        </w:tc>
        <w:tc>
          <w:tcPr>
            <w:tcW w:type="dxa" w:w="2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Net Profit (IDR M)</w:t>
            </w:r>
          </w:p>
        </w:tc>
        <w:tc>
          <w:tcPr>
            <w:tcW w:type="dxa" w:w="2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Jan</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4.27</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+185</w:t>
            </w:r>
          </w:p>
        </w:tc>
        <w:tc>
          <w:tcPr>
            <w:tcW w:type="dxa" w:w="264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Low Season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Feb</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2.77</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C0392B"/>
                <w:sz w:val="19"/>
                <w:szCs w:val="19"/>
              </w:rPr>
              <w:t xml:space="preserve">-257</w:t>
            </w:r>
          </w:p>
        </w:tc>
        <w:tc>
          <w:tcPr>
            <w:tcW w:type="dxa" w:w="264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LOSS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Mar</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3.61</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C0392B"/>
                <w:sz w:val="19"/>
                <w:szCs w:val="19"/>
              </w:rPr>
              <w:t xml:space="preserve">-24</w:t>
            </w:r>
          </w:p>
        </w:tc>
        <w:tc>
          <w:tcPr>
            <w:tcW w:type="dxa" w:w="264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LOSS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Apr</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8.23</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+1,971</w:t>
            </w:r>
          </w:p>
        </w:tc>
        <w:tc>
          <w:tcPr>
            <w:tcW w:type="dxa" w:w="264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High Season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May</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7.08</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+1,114</w:t>
            </w:r>
          </w:p>
        </w:tc>
        <w:tc>
          <w:tcPr>
            <w:tcW w:type="dxa" w:w="264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High Season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Jun</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8.11</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+1,422</w:t>
            </w:r>
          </w:p>
        </w:tc>
        <w:tc>
          <w:tcPr>
            <w:tcW w:type="dxa" w:w="264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High Season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Jul</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8.91</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+1,748</w:t>
            </w:r>
          </w:p>
        </w:tc>
        <w:tc>
          <w:tcPr>
            <w:tcW w:type="dxa" w:w="264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Peak Season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Aug</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9.40</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+1,669</w:t>
            </w:r>
          </w:p>
        </w:tc>
        <w:tc>
          <w:tcPr>
            <w:tcW w:type="dxa" w:w="264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Peak Season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Sep</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7.27</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+872</w:t>
            </w:r>
          </w:p>
        </w:tc>
        <w:tc>
          <w:tcPr>
            <w:tcW w:type="dxa" w:w="264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Shoulder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Oct</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8.74</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+1,560</w:t>
            </w:r>
          </w:p>
        </w:tc>
        <w:tc>
          <w:tcPr>
            <w:tcW w:type="dxa" w:w="264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High Season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Nov</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4.26</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C0392B"/>
                <w:sz w:val="19"/>
                <w:szCs w:val="19"/>
              </w:rPr>
              <w:t xml:space="preserve">-421</w:t>
            </w:r>
          </w:p>
        </w:tc>
        <w:tc>
          <w:tcPr>
            <w:tcW w:type="dxa" w:w="264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LOSS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Dec</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4.75</w:t>
            </w:r>
          </w:p>
        </w:tc>
        <w:tc>
          <w:tcPr>
            <w:tcW w:type="dxa" w:w="2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+397</w:t>
            </w:r>
          </w:p>
        </w:tc>
        <w:tc>
          <w:tcPr>
            <w:tcW w:type="dxa" w:w="264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Holiday boost</w:t>
            </w:r>
          </w:p>
        </w:tc>
      </w:tr>
    </w:tbl>
    <w:p>
      <w:pPr>
        <w:spacing w:before="80" w:after="80"/>
      </w:pPr>
      <w:r>
        <w:rPr>
          <w:rFonts w:ascii="Arial" w:cs="Arial" w:eastAsia="Arial" w:hAnsi="Arial"/>
          <w:b w:val="false"/>
          <w:bCs w:val="false"/>
          <w:color w:val="333333"/>
          <w:sz w:val="21"/>
          <w:szCs w:val="21"/>
        </w:rPr>
        <w:t xml:space="preserve"/>
      </w:r>
    </w:p>
    <w:p>
      <w:pPr>
        <w:spacing w:before="80" w:after="80"/>
      </w:pPr>
      <w:r>
        <w:rPr>
          <w:rFonts w:ascii="Arial" w:cs="Arial" w:eastAsia="Arial" w:hAnsi="Arial"/>
          <w:b/>
          <w:bCs/>
          <w:color w:val="333333"/>
          <w:sz w:val="21"/>
          <w:szCs w:val="21"/>
        </w:rPr>
        <w:t xml:space="preserve">Key insight: </w:t>
      </w:r>
      <w:r>
        <w:rPr>
          <w:rFonts w:ascii="Arial" w:cs="Arial" w:eastAsia="Arial" w:hAnsi="Arial"/>
          <w:b w:val="false"/>
          <w:bCs w:val="false"/>
          <w:color w:val="333333"/>
          <w:sz w:val="21"/>
          <w:szCs w:val="21"/>
        </w:rPr>
        <w:t xml:space="preserve">Three months in 2025 were loss-making (Feb: -257M, Mar: -24M, Nov: -421M), with a total seasonal drain of approximately IDR 700 million. The business survived each cycle on the edge of bankruptcy, as confirmed by management.</w:t>
      </w:r>
    </w:p>
    <w:p>
      <w:pPr>
        <w:pStyle w:val="Heading2"/>
        <w:spacing w:before="240" w:after="120"/>
      </w:pPr>
      <w:r>
        <w:rPr>
          <w:rFonts w:ascii="Arial" w:cs="Arial" w:eastAsia="Arial" w:hAnsi="Arial"/>
          <w:b/>
          <w:bCs/>
          <w:color w:val="2C3E50"/>
          <w:sz w:val="24"/>
          <w:szCs w:val="24"/>
        </w:rPr>
        <w:t xml:space="preserve">2.2 Root Causes of the Cash Gap</w:t>
      </w:r>
    </w:p>
    <w:p>
      <w:pPr>
        <w:pStyle w:val="ListParagraph"/>
        <w:numPr>
          <w:ilvl w:val="0"/>
          <w:numId w:val="2"/>
        </w:numPr>
        <w:spacing w:before="80" w:after="60"/>
      </w:pPr>
      <w:r>
        <w:rPr>
          <w:rFonts w:ascii="Arial" w:cs="Arial" w:eastAsia="Arial" w:hAnsi="Arial"/>
          <w:b/>
          <w:bCs/>
          <w:sz w:val="21"/>
          <w:szCs w:val="21"/>
        </w:rPr>
        <w:t xml:space="preserve">Demand seasonality: </w:t>
      </w:r>
      <w:r>
        <w:rPr>
          <w:rFonts w:ascii="Arial" w:cs="Arial" w:eastAsia="Arial" w:hAnsi="Arial"/>
          <w:sz w:val="21"/>
          <w:szCs w:val="21"/>
        </w:rPr>
        <w:t xml:space="preserve">Booking rate drops from 80-95% in peak season to 37% in low season (January data). Bali's wet season (Nov-Mar) coincides with lower tourism demand and NOGO weather days.</w:t>
      </w:r>
    </w:p>
    <w:p>
      <w:pPr>
        <w:pStyle w:val="ListParagraph"/>
        <w:numPr>
          <w:ilvl w:val="0"/>
          <w:numId w:val="2"/>
        </w:numPr>
        <w:spacing w:before="60" w:after="60"/>
      </w:pPr>
      <w:r>
        <w:rPr>
          <w:rFonts w:ascii="Arial" w:cs="Arial" w:eastAsia="Arial" w:hAnsi="Arial"/>
          <w:b/>
          <w:bCs/>
          <w:sz w:val="21"/>
          <w:szCs w:val="21"/>
        </w:rPr>
        <w:t xml:space="preserve">Fixed cost base: </w:t>
      </w:r>
      <w:r>
        <w:rPr>
          <w:rFonts w:ascii="Arial" w:cs="Arial" w:eastAsia="Arial" w:hAnsi="Arial"/>
          <w:sz w:val="21"/>
          <w:szCs w:val="21"/>
        </w:rPr>
        <w:t xml:space="preserve">Monthly operating expenses (wages, rent, depreciation, insurance) total approximately IDR 900-1,000M regardless of revenue, creating a high breakeven threshold.</w:t>
      </w:r>
    </w:p>
    <w:p>
      <w:pPr>
        <w:pStyle w:val="ListParagraph"/>
        <w:numPr>
          <w:ilvl w:val="0"/>
          <w:numId w:val="2"/>
        </w:numPr>
        <w:spacing w:before="60" w:after="60"/>
      </w:pPr>
      <w:r>
        <w:rPr>
          <w:rFonts w:ascii="Arial" w:cs="Arial" w:eastAsia="Arial" w:hAnsi="Arial"/>
          <w:b/>
          <w:bCs/>
          <w:sz w:val="21"/>
          <w:szCs w:val="21"/>
        </w:rPr>
        <w:t xml:space="preserve">No cash reserves: </w:t>
      </w:r>
      <w:r>
        <w:rPr>
          <w:rFonts w:ascii="Arial" w:cs="Arial" w:eastAsia="Arial" w:hAnsi="Arial"/>
          <w:sz w:val="21"/>
          <w:szCs w:val="21"/>
        </w:rPr>
        <w:t xml:space="preserve">High-season profits are distributed without retaining a buffer. There is no reserve fund, emergency fund, or credit facility to bridge low-season shortfalls.</w:t>
      </w:r>
    </w:p>
    <w:p>
      <w:pPr>
        <w:pStyle w:val="ListParagraph"/>
        <w:numPr>
          <w:ilvl w:val="0"/>
          <w:numId w:val="2"/>
        </w:numPr>
        <w:spacing w:before="60" w:after="60"/>
      </w:pPr>
      <w:r>
        <w:rPr>
          <w:rFonts w:ascii="Arial" w:cs="Arial" w:eastAsia="Arial" w:hAnsi="Arial"/>
          <w:b/>
          <w:bCs/>
          <w:sz w:val="21"/>
          <w:szCs w:val="21"/>
        </w:rPr>
        <w:t xml:space="preserve">OTA payment lag: </w:t>
      </w:r>
      <w:r>
        <w:rPr>
          <w:rFonts w:ascii="Arial" w:cs="Arial" w:eastAsia="Arial" w:hAnsi="Arial"/>
          <w:sz w:val="21"/>
          <w:szCs w:val="21"/>
        </w:rPr>
        <w:t xml:space="preserve">TripAdvisor and other OTAs pay monthly, creating a 30-45 day receivable cycle that worsens cash timing.</w:t>
      </w:r>
    </w:p>
    <w:p>
      <w:pPr>
        <w:pStyle w:val="ListParagraph"/>
        <w:numPr>
          <w:ilvl w:val="0"/>
          <w:numId w:val="2"/>
        </w:numPr>
        <w:spacing w:before="60" w:after="80"/>
      </w:pPr>
      <w:r>
        <w:rPr>
          <w:rFonts w:ascii="Arial" w:cs="Arial" w:eastAsia="Arial" w:hAnsi="Arial"/>
          <w:b/>
          <w:bCs/>
          <w:sz w:val="21"/>
          <w:szCs w:val="21"/>
        </w:rPr>
        <w:t xml:space="preserve">Weather disruptions: </w:t>
      </w:r>
      <w:r>
        <w:rPr>
          <w:rFonts w:ascii="Arial" w:cs="Arial" w:eastAsia="Arial" w:hAnsi="Arial"/>
          <w:sz w:val="21"/>
          <w:szCs w:val="21"/>
        </w:rPr>
        <w:t xml:space="preserve">NOGO days (3 in December, 3 in January) directly eliminate revenue but costs continue. Each NOGO day costs approximately IDR 80-100M in lost revenue.</w:t>
      </w:r>
    </w:p>
    <w:p>
      <w:r>
        <w:br w:type="page"/>
      </w:r>
    </w:p>
    <w:p>
      <w:pPr>
        <w:pStyle w:val="Heading1"/>
        <w:spacing w:before="360" w:after="200"/>
      </w:pPr>
      <w:r>
        <w:rPr>
          <w:rFonts w:ascii="Arial" w:cs="Arial" w:eastAsia="Arial" w:hAnsi="Arial"/>
          <w:b/>
          <w:bCs/>
          <w:color w:val="1B4F72"/>
          <w:sz w:val="28"/>
          <w:szCs w:val="28"/>
        </w:rPr>
        <w:t xml:space="preserve">3. Pillar 1: Reserve Fund Formation</w:t>
      </w:r>
    </w:p>
    <w:p>
      <w:pPr>
        <w:pStyle w:val="Heading2"/>
        <w:spacing w:before="240" w:after="120"/>
      </w:pPr>
      <w:r>
        <w:rPr>
          <w:rFonts w:ascii="Arial" w:cs="Arial" w:eastAsia="Arial" w:hAnsi="Arial"/>
          <w:b/>
          <w:bCs/>
          <w:color w:val="2C3E50"/>
          <w:sz w:val="24"/>
          <w:szCs w:val="24"/>
        </w:rPr>
        <w:t xml:space="preserve">3.1 Target Reserve Amount</w:t>
      </w:r>
    </w:p>
    <w:p>
      <w:pPr>
        <w:spacing w:before="80" w:after="80"/>
      </w:pPr>
      <w:r>
        <w:rPr>
          <w:rFonts w:ascii="Arial" w:cs="Arial" w:eastAsia="Arial" w:hAnsi="Arial"/>
          <w:b w:val="false"/>
          <w:bCs w:val="false"/>
          <w:color w:val="333333"/>
          <w:sz w:val="21"/>
          <w:szCs w:val="21"/>
        </w:rPr>
        <w:t xml:space="preserve">Based on 2025 data, the worst-case monthly loss was IDR 421M (November). With the business consistently hitting IDR 300-700M cash gaps, the minimum reserve fund must cover 2 months of worst-case losses plus a safety margin.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0"/>
        <w:gridCol w:w="4320"/>
      </w:tblGrid>
      <w:tr>
        <w:tc>
          <w:tcPr>
            <w:tcW w:type="dxa" w:w="5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43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Amount (IDR)</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Worst monthly loss (Nov 2025)</w:t>
            </w:r>
          </w:p>
        </w:tc>
        <w:tc>
          <w:tcPr>
            <w:tcW w:type="dxa" w:w="43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b w:val="false"/>
                <w:bCs w:val="false"/>
                <w:color w:val="333333"/>
                <w:sz w:val="19"/>
                <w:szCs w:val="19"/>
              </w:rPr>
              <w:t xml:space="preserve">-421,000,000</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Second worst monthly loss (Feb 2025)</w:t>
            </w:r>
          </w:p>
        </w:tc>
        <w:tc>
          <w:tcPr>
            <w:tcW w:type="dxa" w:w="43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b w:val="false"/>
                <w:bCs w:val="false"/>
                <w:color w:val="333333"/>
                <w:sz w:val="19"/>
                <w:szCs w:val="19"/>
              </w:rPr>
              <w:t xml:space="preserve">-257,000,000</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Average monthly fixed OpEx</w:t>
            </w:r>
          </w:p>
        </w:tc>
        <w:tc>
          <w:tcPr>
            <w:tcW w:type="dxa" w:w="43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b w:val="false"/>
                <w:bCs w:val="false"/>
                <w:color w:val="333333"/>
                <w:sz w:val="19"/>
                <w:szCs w:val="19"/>
              </w:rPr>
              <w:t xml:space="preserve">~1,000,000,000</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2-month coverage needed</w:t>
            </w:r>
          </w:p>
        </w:tc>
        <w:tc>
          <w:tcPr>
            <w:tcW w:type="dxa" w:w="43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b/>
                <w:bCs/>
                <w:color w:val="333333"/>
                <w:sz w:val="19"/>
                <w:szCs w:val="19"/>
              </w:rPr>
              <w:t xml:space="preserve">1,400,000,000</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Safety margin (+25%)</w:t>
            </w:r>
          </w:p>
        </w:tc>
        <w:tc>
          <w:tcPr>
            <w:tcW w:type="dxa" w:w="43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b w:val="false"/>
                <w:bCs w:val="false"/>
                <w:color w:val="333333"/>
                <w:sz w:val="19"/>
                <w:szCs w:val="19"/>
              </w:rPr>
              <w:t xml:space="preserve">350,000,000</w:t>
            </w:r>
          </w:p>
        </w:tc>
      </w:tr>
      <w:tr>
        <w:tc>
          <w:tcPr>
            <w:tcW w:type="dxa" w:w="5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B4F72"/>
                <w:sz w:val="21"/>
                <w:szCs w:val="21"/>
              </w:rPr>
              <w:t xml:space="preserve">TARGET RESERVE FUND</w:t>
            </w:r>
          </w:p>
        </w:tc>
        <w:tc>
          <w:tcPr>
            <w:tcW w:type="dxa" w:w="43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right"/>
            </w:pPr>
            <w:r>
              <w:rPr>
                <w:rFonts w:ascii="Arial" w:cs="Arial" w:eastAsia="Arial" w:hAnsi="Arial"/>
                <w:b/>
                <w:bCs/>
                <w:color w:val="1B4F72"/>
                <w:sz w:val="21"/>
                <w:szCs w:val="21"/>
              </w:rPr>
              <w:t xml:space="preserve">1,750,000,000</w:t>
            </w:r>
          </w:p>
        </w:tc>
      </w:tr>
    </w:tbl>
    <w:p>
      <w:pPr>
        <w:spacing w:before="80" w:after="80"/>
      </w:pPr>
      <w:r>
        <w:rPr>
          <w:rFonts w:ascii="Arial" w:cs="Arial" w:eastAsia="Arial" w:hAnsi="Arial"/>
          <w:b w:val="false"/>
          <w:bCs w:val="false"/>
          <w:color w:val="333333"/>
          <w:sz w:val="21"/>
          <w:szCs w:val="21"/>
        </w:rPr>
        <w:t xml:space="preserve"/>
      </w:r>
    </w:p>
    <w:p>
      <w:pPr>
        <w:spacing w:before="80" w:after="80"/>
      </w:pPr>
      <w:r>
        <w:rPr>
          <w:rFonts w:ascii="Arial" w:cs="Arial" w:eastAsia="Arial" w:hAnsi="Arial"/>
          <w:b/>
          <w:bCs/>
          <w:color w:val="1B4F72"/>
          <w:sz w:val="21"/>
          <w:szCs w:val="21"/>
        </w:rPr>
        <w:t xml:space="preserve">Recommendation: </w:t>
      </w:r>
      <w:r>
        <w:rPr>
          <w:rFonts w:ascii="Arial" w:cs="Arial" w:eastAsia="Arial" w:hAnsi="Arial"/>
          <w:b w:val="false"/>
          <w:bCs w:val="false"/>
          <w:color w:val="333333"/>
          <w:sz w:val="21"/>
          <w:szCs w:val="21"/>
        </w:rPr>
        <w:t xml:space="preserve">IDR 1.75 billion (approx. USD 107,000) as the target reserve, held in a separate high-yield deposit account. This covers the two worst months with a 25% safety margin for NOGO days and unexpected expenses.</w:t>
      </w:r>
    </w:p>
    <w:p>
      <w:pPr>
        <w:pStyle w:val="Heading2"/>
        <w:spacing w:before="240" w:after="120"/>
      </w:pPr>
      <w:r>
        <w:rPr>
          <w:rFonts w:ascii="Arial" w:cs="Arial" w:eastAsia="Arial" w:hAnsi="Arial"/>
          <w:b/>
          <w:bCs/>
          <w:color w:val="2C3E50"/>
          <w:sz w:val="24"/>
          <w:szCs w:val="24"/>
        </w:rPr>
        <w:t xml:space="preserve">3.2 Funding Mechanism</w:t>
      </w:r>
    </w:p>
    <w:p>
      <w:pPr>
        <w:spacing w:before="80" w:after="80"/>
      </w:pPr>
      <w:r>
        <w:rPr>
          <w:rFonts w:ascii="Arial" w:cs="Arial" w:eastAsia="Arial" w:hAnsi="Arial"/>
          <w:b w:val="false"/>
          <w:bCs w:val="false"/>
          <w:color w:val="333333"/>
          <w:sz w:val="21"/>
          <w:szCs w:val="21"/>
        </w:rPr>
        <w:t xml:space="preserve">The reserve fund must be built from high-season profits using a mandatory monthly allocation. Based on the 2026 net profit target of IDR 15.3 billion, we recommend the following progressive allocation schedule: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520"/>
        <w:gridCol w:w="2520"/>
      </w:tblGrid>
      <w:tr>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Season</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Months</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Net Profit</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Monthly (IDR M)</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9"/>
                <w:szCs w:val="19"/>
              </w:rPr>
              <w:t xml:space="preserve">Peak</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Jul-Aug</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15%</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~250</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9"/>
                <w:szCs w:val="19"/>
              </w:rPr>
              <w:t xml:space="preserve">High</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Apr-Jun, Sep-Oct</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12%</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~150</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9"/>
                <w:szCs w:val="19"/>
              </w:rPr>
              <w:t xml:space="preserve">Shoulder/Holiday</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Dec</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8%</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~30</w:t>
            </w:r>
          </w:p>
        </w:tc>
      </w:tr>
      <w:tr>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9"/>
                <w:szCs w:val="19"/>
              </w:rPr>
              <w:t xml:space="preserve">Low</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Jan-Mar, Nov</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0%</w:t>
            </w:r>
          </w:p>
        </w:tc>
        <w:tc>
          <w:tcPr>
            <w:tcW w:type="dxa" w:w="25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0</w:t>
            </w:r>
          </w:p>
        </w:tc>
      </w:tr>
    </w:tbl>
    <w:p>
      <w:pPr>
        <w:spacing w:before="80" w:after="80"/>
      </w:pPr>
      <w:r>
        <w:rPr>
          <w:rFonts w:ascii="Arial" w:cs="Arial" w:eastAsia="Arial" w:hAnsi="Arial"/>
          <w:b w:val="false"/>
          <w:bCs w:val="false"/>
          <w:color w:val="333333"/>
          <w:sz w:val="21"/>
          <w:szCs w:val="21"/>
        </w:rPr>
        <w:t xml:space="preserve"/>
      </w:r>
    </w:p>
    <w:p>
      <w:pPr>
        <w:spacing w:before="80" w:after="80"/>
      </w:pPr>
      <w:r>
        <w:rPr>
          <w:rFonts w:ascii="Arial" w:cs="Arial" w:eastAsia="Arial" w:hAnsi="Arial"/>
          <w:b/>
          <w:bCs/>
          <w:color w:val="333333"/>
          <w:sz w:val="21"/>
          <w:szCs w:val="21"/>
        </w:rPr>
        <w:t xml:space="preserve">Projected accumulation: </w:t>
      </w:r>
      <w:r>
        <w:rPr>
          <w:rFonts w:ascii="Arial" w:cs="Arial" w:eastAsia="Arial" w:hAnsi="Arial"/>
          <w:b w:val="false"/>
          <w:bCs w:val="false"/>
          <w:color w:val="333333"/>
          <w:sz w:val="21"/>
          <w:szCs w:val="21"/>
        </w:rPr>
        <w:t xml:space="preserve">By end of October 2026, the reserve fund should reach approximately IDR 1.5-1.8 billion, fully covering the next low season cycle. The allocation is automatic and non-negotiable: it is treated as a fixed expense line, not a discretionary savings.</w:t>
      </w:r>
    </w:p>
    <w:p>
      <w:pPr>
        <w:pStyle w:val="Heading2"/>
        <w:spacing w:before="240" w:after="120"/>
      </w:pPr>
      <w:r>
        <w:rPr>
          <w:rFonts w:ascii="Arial" w:cs="Arial" w:eastAsia="Arial" w:hAnsi="Arial"/>
          <w:b/>
          <w:bCs/>
          <w:color w:val="2C3E50"/>
          <w:sz w:val="24"/>
          <w:szCs w:val="24"/>
        </w:rPr>
        <w:t xml:space="preserve">3.3 Rules and Governance</w:t>
      </w:r>
    </w:p>
    <w:p>
      <w:pPr>
        <w:pStyle w:val="ListParagraph"/>
        <w:numPr>
          <w:ilvl w:val="0"/>
          <w:numId w:val="3"/>
        </w:numPr>
        <w:spacing w:before="80" w:after="60"/>
      </w:pPr>
      <w:r>
        <w:rPr>
          <w:rFonts w:ascii="Arial" w:cs="Arial" w:eastAsia="Arial" w:hAnsi="Arial"/>
          <w:sz w:val="21"/>
          <w:szCs w:val="21"/>
        </w:rPr>
        <w:t xml:space="preserve">Reserve can only be used when the operating account balance falls below IDR 200M.</w:t>
      </w:r>
    </w:p>
    <w:p>
      <w:pPr>
        <w:pStyle w:val="ListParagraph"/>
        <w:numPr>
          <w:ilvl w:val="0"/>
          <w:numId w:val="3"/>
        </w:numPr>
        <w:spacing w:before="60" w:after="60"/>
      </w:pPr>
      <w:r>
        <w:rPr>
          <w:rFonts w:ascii="Arial" w:cs="Arial" w:eastAsia="Arial" w:hAnsi="Arial"/>
          <w:sz w:val="21"/>
          <w:szCs w:val="21"/>
        </w:rPr>
        <w:t xml:space="preserve">Maximum withdrawal per month: IDR 500M (to prevent full depletion in a single bad month).</w:t>
      </w:r>
    </w:p>
    <w:p>
      <w:pPr>
        <w:pStyle w:val="ListParagraph"/>
        <w:numPr>
          <w:ilvl w:val="0"/>
          <w:numId w:val="3"/>
        </w:numPr>
        <w:spacing w:before="60" w:after="60"/>
      </w:pPr>
      <w:r>
        <w:rPr>
          <w:rFonts w:ascii="Arial" w:cs="Arial" w:eastAsia="Arial" w:hAnsi="Arial"/>
          <w:sz w:val="21"/>
          <w:szCs w:val="21"/>
        </w:rPr>
        <w:t xml:space="preserve">Any withdrawal must be replenished within the next profitable month at 1.5x the withdrawn amount.</w:t>
      </w:r>
    </w:p>
    <w:p>
      <w:pPr>
        <w:pStyle w:val="ListParagraph"/>
        <w:numPr>
          <w:ilvl w:val="0"/>
          <w:numId w:val="3"/>
        </w:numPr>
        <w:spacing w:before="60" w:after="60"/>
      </w:pPr>
      <w:r>
        <w:rPr>
          <w:rFonts w:ascii="Arial" w:cs="Arial" w:eastAsia="Arial" w:hAnsi="Arial"/>
          <w:sz w:val="21"/>
          <w:szCs w:val="21"/>
        </w:rPr>
        <w:t xml:space="preserve">Profit sharing (PSA with investors) is calculated AFTER the reserve allocation, not before.</w:t>
      </w:r>
    </w:p>
    <w:p>
      <w:pPr>
        <w:pStyle w:val="ListParagraph"/>
        <w:numPr>
          <w:ilvl w:val="0"/>
          <w:numId w:val="3"/>
        </w:numPr>
        <w:spacing w:before="60" w:after="80"/>
      </w:pPr>
      <w:r>
        <w:rPr>
          <w:rFonts w:ascii="Arial" w:cs="Arial" w:eastAsia="Arial" w:hAnsi="Arial"/>
          <w:sz w:val="21"/>
          <w:szCs w:val="21"/>
        </w:rPr>
        <w:t xml:space="preserve">Quarterly review: if the fund exceeds IDR 2.5B, excess can be redirected to growth investments.</w:t>
      </w:r>
    </w:p>
    <w:p>
      <w:r>
        <w:br w:type="page"/>
      </w:r>
    </w:p>
    <w:p>
      <w:pPr>
        <w:pStyle w:val="Heading1"/>
        <w:spacing w:before="360" w:after="200"/>
      </w:pPr>
      <w:r>
        <w:rPr>
          <w:rFonts w:ascii="Arial" w:cs="Arial" w:eastAsia="Arial" w:hAnsi="Arial"/>
          <w:b/>
          <w:bCs/>
          <w:color w:val="1B4F72"/>
          <w:sz w:val="28"/>
          <w:szCs w:val="28"/>
        </w:rPr>
        <w:t xml:space="preserve">4. Pillar 2: Low Season Revenue Strategy</w:t>
      </w:r>
    </w:p>
    <w:p>
      <w:pPr>
        <w:spacing w:before="80" w:after="80"/>
      </w:pPr>
      <w:r>
        <w:rPr>
          <w:rFonts w:ascii="Arial" w:cs="Arial" w:eastAsia="Arial" w:hAnsi="Arial"/>
          <w:b w:val="false"/>
          <w:bCs w:val="false"/>
          <w:color w:val="333333"/>
          <w:sz w:val="21"/>
          <w:szCs w:val="21"/>
        </w:rPr>
        <w:t xml:space="preserve">Currently there is no low-season strategy. The business simply absorbs losses during weak months. This section proposes concrete actions to increase low-season revenue by IDR 300-500M per month, which would turn loss-making months into breakeven or marginally profitable periods.</w:t>
      </w:r>
    </w:p>
    <w:p>
      <w:pPr>
        <w:pStyle w:val="Heading2"/>
        <w:spacing w:before="240" w:after="120"/>
      </w:pPr>
      <w:r>
        <w:rPr>
          <w:rFonts w:ascii="Arial" w:cs="Arial" w:eastAsia="Arial" w:hAnsi="Arial"/>
          <w:b/>
          <w:bCs/>
          <w:color w:val="2C3E50"/>
          <w:sz w:val="24"/>
          <w:szCs w:val="24"/>
        </w:rPr>
        <w:t xml:space="preserve">4.1 Product Diversification for Wet Season</w:t>
      </w:r>
    </w:p>
    <w:p>
      <w:pPr>
        <w:spacing w:before="80" w:after="80"/>
      </w:pPr>
      <w:r>
        <w:rPr>
          <w:rFonts w:ascii="Arial" w:cs="Arial" w:eastAsia="Arial" w:hAnsi="Arial"/>
          <w:b/>
          <w:bCs/>
          <w:color w:val="E67E22"/>
          <w:sz w:val="21"/>
          <w:szCs w:val="21"/>
        </w:rPr>
        <w:t xml:space="preserve">A) Sunset &amp; Evening Tours. </w:t>
      </w:r>
      <w:r>
        <w:rPr>
          <w:rFonts w:ascii="Arial" w:cs="Arial" w:eastAsia="Arial" w:hAnsi="Arial"/>
          <w:b w:val="false"/>
          <w:bCs w:val="false"/>
          <w:color w:val="333333"/>
          <w:sz w:val="21"/>
          <w:szCs w:val="21"/>
        </w:rPr>
        <w:t xml:space="preserve">Wet season weather is often better in the afternoon. Launch 2-3 hour sunset cruises from Serangan harbor at a premium price point (IDR 2-3M per person). Target: 1 boat, 8-12 pax, 4 evenings/week = 128-192 additional guests/month. Revenue potential: IDR 250-500M/month.</w:t>
      </w:r>
    </w:p>
    <w:p>
      <w:pPr>
        <w:spacing w:before="80" w:after="80"/>
      </w:pPr>
      <w:r>
        <w:rPr>
          <w:rFonts w:ascii="Arial" w:cs="Arial" w:eastAsia="Arial" w:hAnsi="Arial"/>
          <w:b/>
          <w:bCs/>
          <w:color w:val="E67E22"/>
          <w:sz w:val="21"/>
          <w:szCs w:val="21"/>
        </w:rPr>
        <w:t xml:space="preserve">B) Rain Guarantee Program. </w:t>
      </w:r>
      <w:r>
        <w:rPr>
          <w:rFonts w:ascii="Arial" w:cs="Arial" w:eastAsia="Arial" w:hAnsi="Arial"/>
          <w:b w:val="false"/>
          <w:bCs w:val="false"/>
          <w:color w:val="333333"/>
          <w:sz w:val="21"/>
          <w:szCs w:val="21"/>
        </w:rPr>
        <w:t xml:space="preserve">Offer free rescheduling or a 30% discount voucher for tours affected by heavy rain. This removes the biggest booking objection during wet season and increases conversion rates from the existing traffic.</w:t>
      </w:r>
    </w:p>
    <w:p>
      <w:pPr>
        <w:spacing w:before="80" w:after="80"/>
      </w:pPr>
      <w:r>
        <w:rPr>
          <w:rFonts w:ascii="Arial" w:cs="Arial" w:eastAsia="Arial" w:hAnsi="Arial"/>
          <w:b/>
          <w:bCs/>
          <w:color w:val="E67E22"/>
          <w:sz w:val="21"/>
          <w:szCs w:val="21"/>
        </w:rPr>
        <w:t xml:space="preserve">C) Eldorado Premium Experiences. </w:t>
      </w:r>
      <w:r>
        <w:rPr>
          <w:rFonts w:ascii="Arial" w:cs="Arial" w:eastAsia="Arial" w:hAnsi="Arial"/>
          <w:b w:val="false"/>
          <w:bCs w:val="false"/>
          <w:color w:val="333333"/>
          <w:sz w:val="21"/>
          <w:szCs w:val="21"/>
        </w:rPr>
        <w:t xml:space="preserve">With the first Eldorado yacht ready by end of March, time the launch to coincide with the transition season (April). However, begin pre-sales and waitlisting in February-March to capture early demand. The Elite Shared Tour at IDR 3M per person creates a new price tier between standard shared (IDR 1.46M) and private.</w:t>
      </w:r>
    </w:p>
    <w:p>
      <w:pPr>
        <w:spacing w:before="80" w:after="80"/>
      </w:pPr>
      <w:r>
        <w:rPr>
          <w:rFonts w:ascii="Arial" w:cs="Arial" w:eastAsia="Arial" w:hAnsi="Arial"/>
          <w:b/>
          <w:bCs/>
          <w:color w:val="E67E22"/>
          <w:sz w:val="21"/>
          <w:szCs w:val="21"/>
        </w:rPr>
        <w:t xml:space="preserve">D) Fishing &amp; Diving Packages. </w:t>
      </w:r>
      <w:r>
        <w:rPr>
          <w:rFonts w:ascii="Arial" w:cs="Arial" w:eastAsia="Arial" w:hAnsi="Arial"/>
          <w:b w:val="false"/>
          <w:bCs w:val="false"/>
          <w:color w:val="333333"/>
          <w:sz w:val="21"/>
          <w:szCs w:val="21"/>
        </w:rPr>
        <w:t xml:space="preserve">Fishing and diving are less weather-dependent than Nusa Penida tours. Currently these are negligible revenue lines (diving COGS was only IDR 3.5M all year). Build dedicated fishing half-day packages at IDR 5-8M for groups of 4-6, targeting expat community in Bali and long-stay digital nomads.</w:t>
      </w:r>
    </w:p>
    <w:p>
      <w:pPr>
        <w:pStyle w:val="Heading2"/>
        <w:spacing w:before="240" w:after="120"/>
      </w:pPr>
      <w:r>
        <w:rPr>
          <w:rFonts w:ascii="Arial" w:cs="Arial" w:eastAsia="Arial" w:hAnsi="Arial"/>
          <w:b/>
          <w:bCs/>
          <w:color w:val="2C3E50"/>
          <w:sz w:val="24"/>
          <w:szCs w:val="24"/>
        </w:rPr>
        <w:t xml:space="preserve">4.2 Geographic &amp; Channel Diversification</w:t>
      </w:r>
    </w:p>
    <w:p>
      <w:pPr>
        <w:spacing w:before="80" w:after="80"/>
      </w:pPr>
      <w:r>
        <w:rPr>
          <w:rFonts w:ascii="Arial" w:cs="Arial" w:eastAsia="Arial" w:hAnsi="Arial"/>
          <w:b/>
          <w:bCs/>
          <w:color w:val="E67E22"/>
          <w:sz w:val="21"/>
          <w:szCs w:val="21"/>
        </w:rPr>
        <w:t xml:space="preserve">A) Southeast Asian markets. </w:t>
      </w:r>
      <w:r>
        <w:rPr>
          <w:rFonts w:ascii="Arial" w:cs="Arial" w:eastAsia="Arial" w:hAnsi="Arial"/>
          <w:b w:val="false"/>
          <w:bCs w:val="false"/>
          <w:color w:val="333333"/>
          <w:sz w:val="21"/>
          <w:szCs w:val="21"/>
        </w:rPr>
        <w:t xml:space="preserve">Your GA data shows zero traffic from Singapore, Malaysia, and Thailand, yet these markets have short-haul flights to Bali and travel year-round. A targeted Google Ads campaign for Singapore and KL with IDR 15-20M/month budget could open a new demand stream during your low season (which is their travel season).</w:t>
      </w:r>
    </w:p>
    <w:p>
      <w:pPr>
        <w:spacing w:before="80" w:after="80"/>
      </w:pPr>
      <w:r>
        <w:rPr>
          <w:rFonts w:ascii="Arial" w:cs="Arial" w:eastAsia="Arial" w:hAnsi="Arial"/>
          <w:b/>
          <w:bCs/>
          <w:color w:val="E67E22"/>
          <w:sz w:val="21"/>
          <w:szCs w:val="21"/>
        </w:rPr>
        <w:t xml:space="preserve">B) Domestic Indonesian market. </w:t>
      </w:r>
      <w:r>
        <w:rPr>
          <w:rFonts w:ascii="Arial" w:cs="Arial" w:eastAsia="Arial" w:hAnsi="Arial"/>
          <w:b w:val="false"/>
          <w:bCs w:val="false"/>
          <w:color w:val="333333"/>
          <w:sz w:val="21"/>
          <w:szCs w:val="21"/>
        </w:rPr>
        <w:t xml:space="preserve">Denpasar is your #2 city by traffic (1,159 sessions). Indonesian domestic tourism peaks during school holidays (December-January, June-July). Create lower-priced domestic packages on shared tours, with marketing on Indonesian social media (TikTok, Instagram Reels in Bahasa).</w:t>
      </w:r>
    </w:p>
    <w:p>
      <w:pPr>
        <w:spacing w:before="80" w:after="80"/>
      </w:pPr>
      <w:r>
        <w:rPr>
          <w:rFonts w:ascii="Arial" w:cs="Arial" w:eastAsia="Arial" w:hAnsi="Arial"/>
          <w:b/>
          <w:bCs/>
          <w:color w:val="E67E22"/>
          <w:sz w:val="21"/>
          <w:szCs w:val="21"/>
        </w:rPr>
        <w:t xml:space="preserve">C) ChatGPT/AI channel optimization. </w:t>
      </w:r>
      <w:r>
        <w:rPr>
          <w:rFonts w:ascii="Arial" w:cs="Arial" w:eastAsia="Arial" w:hAnsi="Arial"/>
          <w:b w:val="false"/>
          <w:bCs w:val="false"/>
          <w:color w:val="333333"/>
          <w:sz w:val="21"/>
          <w:szCs w:val="21"/>
        </w:rPr>
        <w:t xml:space="preserve">Your GA already shows 170 sessions from ChatGPT with growing trend. Optimize your website content for AI scraping: add structured FAQ pages, schema markup, and detailed tour descriptions. This is free traffic that will grow exponentially as AI-powered travel planning becomes mainstream.</w:t>
      </w:r>
    </w:p>
    <w:p>
      <w:pPr>
        <w:pStyle w:val="Heading2"/>
        <w:spacing w:before="240" w:after="120"/>
      </w:pPr>
      <w:r>
        <w:rPr>
          <w:rFonts w:ascii="Arial" w:cs="Arial" w:eastAsia="Arial" w:hAnsi="Arial"/>
          <w:b/>
          <w:bCs/>
          <w:color w:val="2C3E50"/>
          <w:sz w:val="24"/>
          <w:szCs w:val="24"/>
        </w:rPr>
        <w:t xml:space="preserve">4.3 Low Season Pricing Strategy</w:t>
      </w:r>
    </w:p>
    <w:p>
      <w:pPr>
        <w:spacing w:before="80" w:after="80"/>
      </w:pPr>
      <w:r>
        <w:rPr>
          <w:rFonts w:ascii="Arial" w:cs="Arial" w:eastAsia="Arial" w:hAnsi="Arial"/>
          <w:b w:val="false"/>
          <w:bCs w:val="false"/>
          <w:color w:val="333333"/>
          <w:sz w:val="21"/>
          <w:szCs w:val="21"/>
        </w:rPr>
        <w:t xml:space="preserve">Your current dynamic pricing system operates 3 trigger levels that increase prices as demand rises. For low season, implement the reverse: a 4th trigger level that activates promotional pricing when bookings fall below minimum thresholds.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 Level</w:t>
            </w:r>
          </w:p>
        </w:tc>
        <w:tc>
          <w:tcPr>
            <w:tcW w:type="dxa" w:w="2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w:t>
            </w:r>
          </w:p>
        </w:tc>
        <w:tc>
          <w:tcPr>
            <w:tcW w:type="dxa" w:w="2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Pricing Action</w:t>
            </w:r>
          </w:p>
        </w:tc>
        <w:tc>
          <w:tcPr>
            <w:tcW w:type="dxa" w:w="2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Effect</w:t>
            </w:r>
          </w:p>
        </w:tc>
      </w:tr>
      <w:tr>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C0392B"/>
                <w:sz w:val="19"/>
                <w:szCs w:val="19"/>
              </w:rPr>
              <w:t xml:space="preserve">Trigger 0 (NEW)</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&lt; 30% booking rate 7 days out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-15% from base price</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Fill empty capacity</w:t>
            </w:r>
          </w:p>
        </w:tc>
      </w:tr>
      <w:tr>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Trigger 1</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Normal demand</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Base price</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Standard margin</w:t>
            </w:r>
          </w:p>
        </w:tc>
      </w:tr>
      <w:tr>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Trigger 2</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Above average demand</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+10-15%</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Capture surplus</w:t>
            </w:r>
          </w:p>
        </w:tc>
      </w:tr>
      <w:tr>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Trigger 3</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High demand / near capacity</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+20-30%</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Maximum yield</w:t>
            </w:r>
          </w:p>
        </w:tc>
      </w:tr>
    </w:tbl>
    <w:p>
      <w:pPr>
        <w:spacing w:before="80" w:after="80"/>
      </w:pPr>
      <w:r>
        <w:rPr>
          <w:rFonts w:ascii="Arial" w:cs="Arial" w:eastAsia="Arial" w:hAnsi="Arial"/>
          <w:b w:val="false"/>
          <w:bCs w:val="false"/>
          <w:color w:val="333333"/>
          <w:sz w:val="21"/>
          <w:szCs w:val="21"/>
        </w:rPr>
        <w:t xml:space="preserve"/>
      </w:r>
    </w:p>
    <w:p>
      <w:pPr>
        <w:spacing w:before="80" w:after="80"/>
      </w:pPr>
      <w:r>
        <w:rPr>
          <w:rFonts w:ascii="Arial" w:cs="Arial" w:eastAsia="Arial" w:hAnsi="Arial"/>
          <w:b w:val="false"/>
          <w:bCs w:val="false"/>
          <w:color w:val="333333"/>
          <w:sz w:val="21"/>
          <w:szCs w:val="21"/>
        </w:rPr>
        <w:t xml:space="preserve">The promotional pricing should be activated only for direct channel (Bluuu.tours) bookings to protect OTA price parity agreements. Use promo codes distributed via email remarketing to past customers and via Instagram stories.</w:t>
      </w:r>
    </w:p>
    <w:p>
      <w:r>
        <w:br w:type="page"/>
      </w:r>
    </w:p>
    <w:p>
      <w:pPr>
        <w:pStyle w:val="Heading1"/>
        <w:spacing w:before="360" w:after="200"/>
      </w:pPr>
      <w:r>
        <w:rPr>
          <w:rFonts w:ascii="Arial" w:cs="Arial" w:eastAsia="Arial" w:hAnsi="Arial"/>
          <w:b/>
          <w:bCs/>
          <w:color w:val="1B4F72"/>
          <w:sz w:val="28"/>
          <w:szCs w:val="28"/>
        </w:rPr>
        <w:t xml:space="preserve">5. Pillar 3: Low-Season Cost Optimization</w:t>
      </w:r>
    </w:p>
    <w:p>
      <w:pPr>
        <w:spacing w:before="80" w:after="80"/>
      </w:pPr>
      <w:r>
        <w:rPr>
          <w:rFonts w:ascii="Arial" w:cs="Arial" w:eastAsia="Arial" w:hAnsi="Arial"/>
          <w:b w:val="false"/>
          <w:bCs w:val="false"/>
          <w:color w:val="333333"/>
          <w:sz w:val="21"/>
          <w:szCs w:val="21"/>
        </w:rPr>
        <w:t xml:space="preserve">The goal is to reduce the monthly breakeven threshold by IDR 200-300M during low-season months without compromising service quality or losing key staff.</w:t>
      </w:r>
    </w:p>
    <w:p>
      <w:pPr>
        <w:pStyle w:val="Heading2"/>
        <w:spacing w:before="240" w:after="120"/>
      </w:pPr>
      <w:r>
        <w:rPr>
          <w:rFonts w:ascii="Arial" w:cs="Arial" w:eastAsia="Arial" w:hAnsi="Arial"/>
          <w:b/>
          <w:bCs/>
          <w:color w:val="2C3E50"/>
          <w:sz w:val="24"/>
          <w:szCs w:val="24"/>
        </w:rPr>
        <w:t xml:space="preserve">5.1 Variable Fleet Management</w:t>
      </w:r>
    </w:p>
    <w:p>
      <w:pPr>
        <w:spacing w:before="80" w:after="80"/>
      </w:pPr>
      <w:r>
        <w:rPr>
          <w:rFonts w:ascii="Arial" w:cs="Arial" w:eastAsia="Arial" w:hAnsi="Arial"/>
          <w:b w:val="false"/>
          <w:bCs w:val="false"/>
          <w:color w:val="333333"/>
          <w:sz w:val="21"/>
          <w:szCs w:val="21"/>
        </w:rPr>
        <w:t xml:space="preserve">You already have fleet flexibility. Formalize this into a seasonal fleet plan: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Season</w:t>
            </w:r>
          </w:p>
        </w:tc>
        <w:tc>
          <w:tcPr>
            <w:tcW w:type="dxa" w:w="2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Fleet Active</w:t>
            </w:r>
          </w:p>
        </w:tc>
        <w:tc>
          <w:tcPr>
            <w:tcW w:type="dxa" w:w="2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Boats Parked</w:t>
            </w:r>
          </w:p>
        </w:tc>
        <w:tc>
          <w:tcPr>
            <w:tcW w:type="dxa" w:w="2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Monthly Savings</w:t>
            </w:r>
          </w:p>
        </w:tc>
      </w:tr>
      <w:tr>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Peak (Jul-Aug)</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21+ boats</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0</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w:t>
            </w:r>
          </w:p>
        </w:tc>
      </w:tr>
      <w:tr>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High (Apr-Jun, Oct)</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18-20 boats</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1-3</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~50-150M</w:t>
            </w:r>
          </w:p>
        </w:tc>
      </w:tr>
      <w:tr>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Low (Nov-Mar)</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12-14 boats</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7-9</w:t>
            </w:r>
          </w:p>
        </w:tc>
        <w:tc>
          <w:tcPr>
            <w:tcW w:type="dxa" w:w="243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~250-400M</w:t>
            </w:r>
          </w:p>
        </w:tc>
      </w:tr>
    </w:tbl>
    <w:p>
      <w:pPr>
        <w:spacing w:before="80" w:after="80"/>
      </w:pPr>
      <w:r>
        <w:rPr>
          <w:rFonts w:ascii="Arial" w:cs="Arial" w:eastAsia="Arial" w:hAnsi="Arial"/>
          <w:b w:val="false"/>
          <w:bCs w:val="false"/>
          <w:color w:val="333333"/>
          <w:sz w:val="21"/>
          <w:szCs w:val="21"/>
        </w:rPr>
        <w:t xml:space="preserve"/>
      </w:r>
    </w:p>
    <w:p>
      <w:pPr>
        <w:spacing w:before="80" w:after="80"/>
      </w:pPr>
      <w:r>
        <w:rPr>
          <w:rFonts w:ascii="Arial" w:cs="Arial" w:eastAsia="Arial" w:hAnsi="Arial"/>
          <w:b w:val="false"/>
          <w:bCs w:val="false"/>
          <w:color w:val="333333"/>
          <w:sz w:val="21"/>
          <w:szCs w:val="21"/>
        </w:rPr>
        <w:t xml:space="preserve">Priority for parking: rented boats first (eliminate rental cost entirely), then management boats with lowest utilization. Own boats and Eldorado yachts stay active.</w:t>
      </w:r>
    </w:p>
    <w:p>
      <w:pPr>
        <w:pStyle w:val="Heading2"/>
        <w:spacing w:before="240" w:after="120"/>
      </w:pPr>
      <w:r>
        <w:rPr>
          <w:rFonts w:ascii="Arial" w:cs="Arial" w:eastAsia="Arial" w:hAnsi="Arial"/>
          <w:b/>
          <w:bCs/>
          <w:color w:val="2C3E50"/>
          <w:sz w:val="24"/>
          <w:szCs w:val="24"/>
        </w:rPr>
        <w:t xml:space="preserve">5.2 Marketing Spend Reallocation</w:t>
      </w:r>
    </w:p>
    <w:p>
      <w:pPr>
        <w:spacing w:before="80" w:after="80"/>
      </w:pPr>
      <w:r>
        <w:rPr>
          <w:rFonts w:ascii="Arial" w:cs="Arial" w:eastAsia="Arial" w:hAnsi="Arial"/>
          <w:b w:val="false"/>
          <w:bCs w:val="false"/>
          <w:color w:val="333333"/>
          <w:sz w:val="21"/>
          <w:szCs w:val="21"/>
        </w:rPr>
        <w:t xml:space="preserve">January 2026 marketing was IDR 137M (down from 296M in December). For low season, further reduce to IDR 80-100M but reallocate budget entirely to high-ROI channels: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2160"/>
      </w:tblGrid>
      <w:tr>
        <w:tc>
          <w:tcPr>
            <w:tcW w:type="dxa" w:w="3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Channel</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Spend</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ROAS</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Google Ads (Brand + Nusa Penida)</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~50M</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40M</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5-8x</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Google Ads (Remarketing)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~15M</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20M</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8-12x</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Instagram CPC</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~25M</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C0392B"/>
                <w:sz w:val="19"/>
                <w:szCs w:val="19"/>
              </w:rPr>
              <w:t xml:space="preserve">0</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C0392B"/>
                <w:sz w:val="19"/>
                <w:szCs w:val="19"/>
              </w:rPr>
              <w:t xml:space="preserve">0.04x (cut)</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SEO / Content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0</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15M</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20x+ (long term)</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Email/WhatsApp remarketing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0</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5M</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15-25x</w:t>
            </w:r>
          </w:p>
        </w:tc>
      </w:tr>
    </w:tbl>
    <w:p>
      <w:pPr>
        <w:spacing w:before="80" w:after="80"/>
      </w:pPr>
      <w:r>
        <w:rPr>
          <w:rFonts w:ascii="Arial" w:cs="Arial" w:eastAsia="Arial" w:hAnsi="Arial"/>
          <w:b w:val="false"/>
          <w:bCs w:val="false"/>
          <w:color w:val="333333"/>
          <w:sz w:val="21"/>
          <w:szCs w:val="21"/>
        </w:rPr>
        <w:t xml:space="preserve"/>
      </w:r>
    </w:p>
    <w:p>
      <w:pPr>
        <w:spacing w:before="80" w:after="80"/>
      </w:pPr>
      <w:r>
        <w:rPr>
          <w:rFonts w:ascii="Arial" w:cs="Arial" w:eastAsia="Arial" w:hAnsi="Arial"/>
          <w:b/>
          <w:bCs/>
          <w:color w:val="C0392B"/>
          <w:sz w:val="21"/>
          <w:szCs w:val="21"/>
        </w:rPr>
        <w:t xml:space="preserve">Critical action: </w:t>
      </w:r>
      <w:r>
        <w:rPr>
          <w:rFonts w:ascii="Arial" w:cs="Arial" w:eastAsia="Arial" w:hAnsi="Arial"/>
          <w:b w:val="false"/>
          <w:bCs w:val="false"/>
          <w:color w:val="333333"/>
          <w:sz w:val="21"/>
          <w:szCs w:val="21"/>
        </w:rPr>
        <w:t xml:space="preserve">Cut Instagram CPC immediately. Your GA data shows 876 first-interaction sessions but only $520 in attributed revenue, meaning a ROAS of approximately 0.04x. This channel is burning cash with near-zero conversions.</w:t>
      </w:r>
    </w:p>
    <w:p>
      <w:pPr>
        <w:pStyle w:val="Heading2"/>
        <w:spacing w:before="240" w:after="120"/>
      </w:pPr>
      <w:r>
        <w:rPr>
          <w:rFonts w:ascii="Arial" w:cs="Arial" w:eastAsia="Arial" w:hAnsi="Arial"/>
          <w:b/>
          <w:bCs/>
          <w:color w:val="2C3E50"/>
          <w:sz w:val="24"/>
          <w:szCs w:val="24"/>
        </w:rPr>
        <w:t xml:space="preserve">5.3 Staffing Flexibility</w:t>
      </w:r>
    </w:p>
    <w:p>
      <w:pPr>
        <w:spacing w:before="80" w:after="80"/>
      </w:pPr>
      <w:r>
        <w:rPr>
          <w:rFonts w:ascii="Arial" w:cs="Arial" w:eastAsia="Arial" w:hAnsi="Arial"/>
          <w:b w:val="false"/>
          <w:bCs w:val="false"/>
          <w:color w:val="333333"/>
          <w:sz w:val="21"/>
          <w:szCs w:val="21"/>
        </w:rPr>
        <w:t xml:space="preserve">With ~35 freelance guides, the variable labor cost already flexes with demand. However, the fixed salary bill (Wages &amp; Salary line) was IDR 429M in January 2026. Consider implementing a seasonal bonus structure where 15-20% of base salary for non-essential administrative roles is converted to a performance-based bonus linked to monthly revenue targets. This would reduce the fixed wage bill by IDR 60-80M per month during low season while maintaining take-home pay during profitable months.</w:t>
      </w:r>
    </w:p>
    <w:p>
      <w:r>
        <w:br w:type="page"/>
      </w:r>
    </w:p>
    <w:p>
      <w:pPr>
        <w:pStyle w:val="Heading1"/>
        <w:spacing w:before="360" w:after="200"/>
      </w:pPr>
      <w:r>
        <w:rPr>
          <w:rFonts w:ascii="Arial" w:cs="Arial" w:eastAsia="Arial" w:hAnsi="Arial"/>
          <w:b/>
          <w:bCs/>
          <w:color w:val="1B4F72"/>
          <w:sz w:val="28"/>
          <w:szCs w:val="28"/>
        </w:rPr>
        <w:t xml:space="preserve">6. Implementation Roadmap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2700"/>
        <w:gridCol w:w="2700"/>
        <w:gridCol w:w="2700"/>
      </w:tblGrid>
      <w:tr>
        <w:tc>
          <w:tcPr>
            <w:tcW w:type="dxa" w:w="16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Impact</w:t>
            </w:r>
          </w:p>
        </w:tc>
      </w:tr>
      <w:tr>
        <w:tc>
          <w:tcPr>
            <w:tcW w:type="dxa" w:w="162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r>
              <w:rPr>
                <w:rFonts w:ascii="Arial" w:cs="Arial" w:eastAsia="Arial" w:hAnsi="Arial"/>
                <w:b/>
                <w:bCs/>
                <w:color w:val="C0392B"/>
                <w:sz w:val="18"/>
                <w:szCs w:val="18"/>
              </w:rPr>
              <w:t xml:space="preserve">IMMEDIATE</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Cut Instagram CPC to zero</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Ollie / Marketing</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Save ~25M/month</w:t>
            </w:r>
          </w:p>
        </w:tc>
      </w:tr>
      <w:tr>
        <w:tc>
          <w:tcPr>
            <w:tcW w:type="dxa" w:w="162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r>
              <w:rPr>
                <w:rFonts w:ascii="Arial" w:cs="Arial" w:eastAsia="Arial" w:hAnsi="Arial"/>
                <w:b/>
                <w:bCs/>
                <w:color w:val="C0392B"/>
                <w:sz w:val="18"/>
                <w:szCs w:val="18"/>
              </w:rPr>
              <w:t xml:space="preserve">IMMEDIATE</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Open separate reserve fund bank account</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Alex / Accounting</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Foundation for reserve</w:t>
            </w:r>
          </w:p>
        </w:tc>
      </w:tr>
      <w:tr>
        <w:tc>
          <w:tcPr>
            <w:tcW w:type="dxa" w:w="162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120"/>
            </w:tcMar>
          </w:tcPr>
          <w:p>
            <w:r>
              <w:rPr>
                <w:rFonts w:ascii="Arial" w:cs="Arial" w:eastAsia="Arial" w:hAnsi="Arial"/>
                <w:b/>
                <w:bCs/>
                <w:color w:val="C0392B"/>
                <w:sz w:val="18"/>
                <w:szCs w:val="18"/>
              </w:rPr>
              <w:t xml:space="preserve">IMMEDIATE</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Add Trigger 0 (promo pricing) to system</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Operations</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Increase low-season fill rate</w:t>
            </w:r>
          </w:p>
        </w:tc>
      </w:tr>
      <w:tr>
        <w:tc>
          <w:tcPr>
            <w:tcW w:type="dxa" w:w="162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E67E22"/>
                <w:sz w:val="18"/>
                <w:szCs w:val="18"/>
              </w:rPr>
              <w:t xml:space="preserve">MAR 2026</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Launch sunset cruise product</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Operations / Marketing</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+250-500M/month potential</w:t>
            </w:r>
          </w:p>
        </w:tc>
      </w:tr>
      <w:tr>
        <w:tc>
          <w:tcPr>
            <w:tcW w:type="dxa" w:w="162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E67E22"/>
                <w:sz w:val="18"/>
                <w:szCs w:val="18"/>
              </w:rPr>
              <w:t xml:space="preserve">MAR 2026</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Begin Eldorado pre-sales campaign</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Marketing / Sales</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Build demand pipeline</w:t>
            </w:r>
          </w:p>
        </w:tc>
      </w:tr>
      <w:tr>
        <w:tc>
          <w:tcPr>
            <w:tcW w:type="dxa" w:w="162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E67E22"/>
                <w:sz w:val="18"/>
                <w:szCs w:val="18"/>
              </w:rPr>
              <w:t xml:space="preserve">MAR 2026</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Start SEO content program (blog, FAQ pages)</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Ollie + Freelancer</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Long-term organic growth</w:t>
            </w:r>
          </w:p>
        </w:tc>
      </w:tr>
      <w:tr>
        <w:tc>
          <w:tcPr>
            <w:tcW w:type="dxa" w:w="162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r>
              <w:rPr>
                <w:rFonts w:ascii="Arial" w:cs="Arial" w:eastAsia="Arial" w:hAnsi="Arial"/>
                <w:b/>
                <w:bCs/>
                <w:color w:val="27AE60"/>
                <w:sz w:val="18"/>
                <w:szCs w:val="18"/>
              </w:rPr>
              <w:t xml:space="preserve">APR 2026</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Begin 15% reserve fund allocations</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Accounting / Alex</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Build to 1.75B by Oct</w:t>
            </w:r>
          </w:p>
        </w:tc>
      </w:tr>
      <w:tr>
        <w:tc>
          <w:tcPr>
            <w:tcW w:type="dxa" w:w="162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r>
              <w:rPr>
                <w:rFonts w:ascii="Arial" w:cs="Arial" w:eastAsia="Arial" w:hAnsi="Arial"/>
                <w:b/>
                <w:bCs/>
                <w:color w:val="27AE60"/>
                <w:sz w:val="18"/>
                <w:szCs w:val="18"/>
              </w:rPr>
              <w:t xml:space="preserve">APR 2026</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Launch Eldorado Elite Shared Tours</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Operations / Sales</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New revenue tier at 3M IDR</w:t>
            </w:r>
          </w:p>
        </w:tc>
      </w:tr>
      <w:tr>
        <w:tc>
          <w:tcPr>
            <w:tcW w:type="dxa" w:w="162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r>
              <w:rPr>
                <w:rFonts w:ascii="Arial" w:cs="Arial" w:eastAsia="Arial" w:hAnsi="Arial"/>
                <w:b/>
                <w:bCs/>
                <w:color w:val="27AE60"/>
                <w:sz w:val="18"/>
                <w:szCs w:val="18"/>
              </w:rPr>
              <w:t xml:space="preserve">APR 2026</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Launch SE Asia Google Ads campaigns</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Ollie</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New geographic demand</w:t>
            </w:r>
          </w:p>
        </w:tc>
      </w:tr>
      <w:tr>
        <w:tc>
          <w:tcPr>
            <w:tcW w:type="dxa" w:w="162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B4F72"/>
                <w:sz w:val="18"/>
                <w:szCs w:val="18"/>
              </w:rPr>
              <w:t xml:space="preserve">Q3-Q4 2026</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Full fleet seasonal plan active</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Operations</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Save 250-400M/month in low season</w:t>
            </w:r>
          </w:p>
        </w:tc>
      </w:tr>
      <w:tr>
        <w:tc>
          <w:tcPr>
            <w:tcW w:type="dxa" w:w="162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r>
              <w:rPr>
                <w:rFonts w:ascii="Arial" w:cs="Arial" w:eastAsia="Arial" w:hAnsi="Arial"/>
                <w:b/>
                <w:bCs/>
                <w:color w:val="1B4F72"/>
                <w:sz w:val="18"/>
                <w:szCs w:val="18"/>
              </w:rPr>
              <w:t xml:space="preserve">Q3-Q4 2026</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Reserve fund fully funded at 1.75B</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Alex / CFO</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19"/>
                <w:szCs w:val="19"/>
              </w:rPr>
              <w:t xml:space="preserve">Eliminate bankruptcy risk</w:t>
            </w:r>
          </w:p>
        </w:tc>
      </w:tr>
    </w:tbl>
    <w:p>
      <w:r>
        <w:br w:type="page"/>
      </w:r>
    </w:p>
    <w:p>
      <w:pPr>
        <w:pStyle w:val="Heading1"/>
        <w:spacing w:before="360" w:after="200"/>
      </w:pPr>
      <w:r>
        <w:rPr>
          <w:rFonts w:ascii="Arial" w:cs="Arial" w:eastAsia="Arial" w:hAnsi="Arial"/>
          <w:b/>
          <w:bCs/>
          <w:color w:val="1B4F72"/>
          <w:sz w:val="28"/>
          <w:szCs w:val="28"/>
        </w:rPr>
        <w:t xml:space="preserve">7. Projected Financial Impact</w:t>
      </w:r>
    </w:p>
    <w:p>
      <w:pPr>
        <w:spacing w:before="80" w:after="80"/>
      </w:pPr>
      <w:r>
        <w:rPr>
          <w:rFonts w:ascii="Arial" w:cs="Arial" w:eastAsia="Arial" w:hAnsi="Arial"/>
          <w:b w:val="false"/>
          <w:bCs w:val="false"/>
          <w:color w:val="333333"/>
          <w:sz w:val="21"/>
          <w:szCs w:val="21"/>
        </w:rPr>
        <w:t xml:space="preserve">If all three pillars are implemented, the projected impact on the worst low-season months would be: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2025 Actual (Nov)</w:t>
            </w:r>
          </w:p>
        </w:tc>
        <w:tc>
          <w:tcPr>
            <w:tcW w:type="dxa" w:w="3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2026 Target (Nov)</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9"/>
                <w:szCs w:val="19"/>
              </w:rPr>
              <w:t xml:space="preserve">Revenue</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4.26B</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4.8-5.2B</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9"/>
                <w:szCs w:val="19"/>
              </w:rPr>
              <w:t xml:space="preserve">COGS (optimized fleet)</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2.62B</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2.2-2.4B</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9"/>
                <w:szCs w:val="19"/>
              </w:rPr>
              <w:t xml:space="preserve">OpEx (optimized)</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19"/>
                <w:szCs w:val="19"/>
              </w:rPr>
              <w:t xml:space="preserve">1.93B</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7AE60"/>
                <w:sz w:val="19"/>
                <w:szCs w:val="19"/>
              </w:rPr>
              <w:t xml:space="preserve">1.5-1.6B</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9"/>
                <w:szCs w:val="19"/>
              </w:rPr>
              <w:t xml:space="preserve">Net Profit</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C0392B"/>
                <w:sz w:val="19"/>
                <w:szCs w:val="19"/>
              </w:rPr>
              <w:t xml:space="preserve">-421M</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19"/>
                <w:szCs w:val="19"/>
              </w:rPr>
              <w:t xml:space="preserve">+100 to +300M</w:t>
            </w:r>
          </w:p>
        </w:tc>
      </w:tr>
      <w:tr>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19"/>
                <w:szCs w:val="19"/>
              </w:rPr>
              <w:t xml:space="preserve">Reserve Fund Available</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C0392B"/>
                <w:sz w:val="19"/>
                <w:szCs w:val="19"/>
              </w:rPr>
              <w:t xml:space="preserve">0</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19"/>
                <w:szCs w:val="19"/>
              </w:rPr>
              <w:t xml:space="preserve">1,750M</w:t>
            </w:r>
          </w:p>
        </w:tc>
      </w:tr>
    </w:tbl>
    <w:p>
      <w:pPr>
        <w:spacing w:before="80" w:after="80"/>
      </w:pPr>
      <w:r>
        <w:rPr>
          <w:rFonts w:ascii="Arial" w:cs="Arial" w:eastAsia="Arial" w:hAnsi="Arial"/>
          <w:b w:val="false"/>
          <w:bCs w:val="false"/>
          <w:color w:val="333333"/>
          <w:sz w:val="21"/>
          <w:szCs w:val="21"/>
        </w:rPr>
        <w:t xml:space="preserve"/>
      </w:r>
    </w:p>
    <w:p>
      <w:pPr>
        <w:spacing w:before="80" w:after="80"/>
      </w:pPr>
      <w:r>
        <w:rPr>
          <w:rFonts w:ascii="Arial" w:cs="Arial" w:eastAsia="Arial" w:hAnsi="Arial"/>
          <w:b/>
          <w:bCs/>
          <w:color w:val="1B4F72"/>
          <w:sz w:val="21"/>
          <w:szCs w:val="21"/>
        </w:rPr>
        <w:t xml:space="preserve">Bottom line: </w:t>
      </w:r>
      <w:r>
        <w:rPr>
          <w:rFonts w:ascii="Arial" w:cs="Arial" w:eastAsia="Arial" w:hAnsi="Arial"/>
          <w:b w:val="false"/>
          <w:bCs w:val="false"/>
          <w:color w:val="333333"/>
          <w:sz w:val="21"/>
          <w:szCs w:val="21"/>
        </w:rPr>
        <w:t xml:space="preserve">The combined effect of revenue diversification (+500-900M annually), cost optimization (-200-400M per low-season month), and a IDR 1.75B reserve fund transforms the business from surviving the low season on the brink of bankruptcy to weathering it comfortably with a positive or breakeven P&amp;L. This is not about incremental improvement; it is about removing the single greatest existential risk to a IDR 10+ billion per year business.</w:t>
      </w:r>
    </w:p>
    <w:p>
      <w:pPr>
        <w:pStyle w:val="Heading1"/>
        <w:spacing w:before="360" w:after="200"/>
      </w:pPr>
      <w:r>
        <w:rPr>
          <w:rFonts w:ascii="Arial" w:cs="Arial" w:eastAsia="Arial" w:hAnsi="Arial"/>
          <w:b/>
          <w:bCs/>
          <w:color w:val="1B4F72"/>
          <w:sz w:val="28"/>
          <w:szCs w:val="28"/>
        </w:rPr>
        <w:t xml:space="preserve">8. Immediate Next Steps</w:t>
      </w:r>
    </w:p>
    <w:p>
      <w:pPr>
        <w:pStyle w:val="ListParagraph"/>
        <w:numPr>
          <w:ilvl w:val="0"/>
          <w:numId w:val="4"/>
        </w:numPr>
        <w:spacing w:before="80" w:after="60"/>
      </w:pPr>
      <w:r>
        <w:rPr>
          <w:rFonts w:ascii="Arial" w:cs="Arial" w:eastAsia="Arial" w:hAnsi="Arial"/>
          <w:b/>
          <w:bCs/>
          <w:sz w:val="21"/>
          <w:szCs w:val="21"/>
        </w:rPr>
        <w:t xml:space="preserve">Review and approve this strategy document (this week)</w:t>
      </w:r>
    </w:p>
    <w:p>
      <w:pPr>
        <w:pStyle w:val="ListParagraph"/>
        <w:numPr>
          <w:ilvl w:val="0"/>
          <w:numId w:val="4"/>
        </w:numPr>
        <w:spacing w:before="60" w:after="60"/>
      </w:pPr>
      <w:r>
        <w:rPr>
          <w:rFonts w:ascii="Arial" w:cs="Arial" w:eastAsia="Arial" w:hAnsi="Arial"/>
          <w:sz w:val="21"/>
          <w:szCs w:val="21"/>
        </w:rPr>
        <w:t xml:space="preserve">Open a dedicated reserve fund account at your primary bank</w:t>
      </w:r>
    </w:p>
    <w:p>
      <w:pPr>
        <w:pStyle w:val="ListParagraph"/>
        <w:numPr>
          <w:ilvl w:val="0"/>
          <w:numId w:val="4"/>
        </w:numPr>
        <w:spacing w:before="60" w:after="60"/>
      </w:pPr>
      <w:r>
        <w:rPr>
          <w:rFonts w:ascii="Arial" w:cs="Arial" w:eastAsia="Arial" w:hAnsi="Arial"/>
          <w:sz w:val="21"/>
          <w:szCs w:val="21"/>
        </w:rPr>
        <w:t xml:space="preserve">Instruct Ollie to cut Instagram CPC and reallocate to remarketing + SEO</w:t>
      </w:r>
    </w:p>
    <w:p>
      <w:pPr>
        <w:pStyle w:val="ListParagraph"/>
        <w:numPr>
          <w:ilvl w:val="0"/>
          <w:numId w:val="4"/>
        </w:numPr>
        <w:spacing w:before="60" w:after="60"/>
      </w:pPr>
      <w:r>
        <w:rPr>
          <w:rFonts w:ascii="Arial" w:cs="Arial" w:eastAsia="Arial" w:hAnsi="Arial"/>
          <w:sz w:val="21"/>
          <w:szCs w:val="21"/>
        </w:rPr>
        <w:t xml:space="preserve">Add Trigger 0 (promotional pricing) to the trigger pricing spreadsheet</w:t>
      </w:r>
    </w:p>
    <w:p>
      <w:pPr>
        <w:pStyle w:val="ListParagraph"/>
        <w:numPr>
          <w:ilvl w:val="0"/>
          <w:numId w:val="4"/>
        </w:numPr>
        <w:spacing w:before="60" w:after="60"/>
      </w:pPr>
      <w:r>
        <w:rPr>
          <w:rFonts w:ascii="Arial" w:cs="Arial" w:eastAsia="Arial" w:hAnsi="Arial"/>
          <w:sz w:val="21"/>
          <w:szCs w:val="21"/>
        </w:rPr>
        <w:t xml:space="preserve">Begin planning sunset cruise product (boat selection, route, pricing, permits)</w:t>
      </w:r>
    </w:p>
    <w:p>
      <w:pPr>
        <w:pStyle w:val="ListParagraph"/>
        <w:numPr>
          <w:ilvl w:val="0"/>
          <w:numId w:val="4"/>
        </w:numPr>
        <w:spacing w:before="60" w:after="60"/>
      </w:pPr>
      <w:r>
        <w:rPr>
          <w:rFonts w:ascii="Arial" w:cs="Arial" w:eastAsia="Arial" w:hAnsi="Arial"/>
          <w:sz w:val="21"/>
          <w:szCs w:val="21"/>
        </w:rPr>
        <w:t xml:space="preserve">Prepare Eldorado pre-launch marketing materials</w:t>
      </w:r>
    </w:p>
    <w:p>
      <w:pPr>
        <w:pStyle w:val="ListParagraph"/>
        <w:numPr>
          <w:ilvl w:val="0"/>
          <w:numId w:val="4"/>
        </w:numPr>
        <w:spacing w:before="60" w:after="80"/>
      </w:pPr>
      <w:r>
        <w:rPr>
          <w:rFonts w:ascii="Arial" w:cs="Arial" w:eastAsia="Arial" w:hAnsi="Arial"/>
          <w:sz w:val="21"/>
          <w:szCs w:val="21"/>
        </w:rPr>
        <w:t xml:space="preserve">Schedule monthly review of reserve fund balance and seasonal P&amp;L vs. plan</w:t>
      </w:r>
    </w:p>
    <w:p>
      <w:pPr>
        <w:spacing w:before="80" w:after="80"/>
      </w:pPr>
      <w:r>
        <w:rPr>
          <w:rFonts w:ascii="Arial" w:cs="Arial" w:eastAsia="Arial" w:hAnsi="Arial"/>
          <w:b w:val="false"/>
          <w:bCs w:val="false"/>
          <w:color w:val="333333"/>
          <w:sz w:val="21"/>
          <w:szCs w:val="21"/>
        </w:rPr>
        <w:t xml:space="preserve"/>
      </w:r>
    </w:p>
    <w:p>
      <w:pPr>
        <w:spacing w:before="80" w:after="80"/>
      </w:pPr>
      <w:r>
        <w:rPr>
          <w:rFonts w:ascii="Arial" w:cs="Arial" w:eastAsia="Arial" w:hAnsi="Arial"/>
          <w:b w:val="false"/>
          <w:bCs w:val="false"/>
          <w:color w:val="333333"/>
          <w:sz w:val="21"/>
          <w:szCs w:val="21"/>
        </w:rPr>
        <w:t xml:space="preserve"/>
      </w:r>
    </w:p>
    <w:p>
      <w:pPr>
        <w:pBdr>
          <w:top w:val="single" w:color="1B4F72" w:sz="4" w:space="1"/>
        </w:pBdr>
        <w:spacing w:before="400" w:after="200"/>
        <w:jc w:val="center"/>
      </w:pPr>
      <w:r>
        <w:rPr>
          <w:rFonts w:ascii="Arial" w:cs="Arial" w:eastAsia="Arial" w:hAnsi="Arial"/>
          <w:i/>
          <w:iCs/>
          <w:color w:val="999999"/>
          <w:sz w:val="20"/>
          <w:szCs w:val="20"/>
        </w:rPr>
        <w:t xml:space="preserve">End of Strategic Action Plan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BLUUU TOURS BALI  |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2026-02-22T04:19:06.881Z</dcterms:created>
  <dcterms:modified xsi:type="dcterms:W3CDTF">2026-02-22T04:19:06.881Z</dcterms:modified>
</cp:coreProperties>
</file>

<file path=docProps/custom.xml><?xml version="1.0" encoding="utf-8"?>
<Properties xmlns="http://schemas.openxmlformats.org/officeDocument/2006/custom-properties" xmlns:vt="http://schemas.openxmlformats.org/officeDocument/2006/docPropsVTypes"/>
</file>